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常温，远红外陶瓷及制品项目情况报告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208" w:history="1">
        <w:r>
          <w:rPr>
            <w:rFonts w:ascii="仿宋" w:eastAsia="仿宋" w:hAnsi="仿宋" w:cs="仿宋" w:hint="eastAsia"/>
            <w:lang w:eastAsia="zh-CN"/>
          </w:rPr>
          <w:t>概论</w:t>
        </w:r>
        <w:r>
          <w:tab/>
        </w:r>
        <w:r>
          <w:fldChar w:fldCharType="begin"/>
        </w:r>
        <w:r>
          <w:instrText xml:space="preserve"> PAGEREF _Toc10208 \h </w:instrText>
        </w:r>
        <w:r>
          <w:fldChar w:fldCharType="separate"/>
        </w:r>
        <w:r>
          <w:t>3</w:t>
        </w:r>
        <w:r>
          <w:fldChar w:fldCharType="end"/>
        </w:r>
      </w:hyperlink>
    </w:p>
    <w:p>
      <w:pPr>
        <w:pStyle w:val="TOC1"/>
        <w:tabs>
          <w:tab w:val="right" w:leader="dot" w:pos="8306"/>
        </w:tabs>
      </w:pPr>
      <w:hyperlink w:anchor="_Toc10040" w:history="1">
        <w:r>
          <w:rPr>
            <w:rFonts w:ascii="仿宋" w:eastAsia="仿宋" w:hAnsi="仿宋" w:cs="仿宋" w:hint="eastAsia"/>
            <w:lang w:eastAsia="zh-CN"/>
          </w:rPr>
          <w:t>一、常温，远红外陶瓷及制品项目市场前景分析</w:t>
        </w:r>
        <w:r>
          <w:tab/>
        </w:r>
        <w:r>
          <w:fldChar w:fldCharType="begin"/>
        </w:r>
        <w:r>
          <w:instrText xml:space="preserve"> PAGEREF _Toc10040 \h </w:instrText>
        </w:r>
        <w:r>
          <w:fldChar w:fldCharType="separate"/>
        </w:r>
        <w:r>
          <w:t>3</w:t>
        </w:r>
        <w:r>
          <w:fldChar w:fldCharType="end"/>
        </w:r>
      </w:hyperlink>
    </w:p>
    <w:p>
      <w:pPr>
        <w:pStyle w:val="TOC2"/>
        <w:tabs>
          <w:tab w:val="right" w:leader="dot" w:pos="8306"/>
        </w:tabs>
      </w:pPr>
      <w:hyperlink w:anchor="_Toc6025" w:history="1">
        <w:r>
          <w:rPr>
            <w:rFonts w:ascii="仿宋" w:eastAsia="仿宋" w:hAnsi="仿宋" w:cs="仿宋" w:hint="eastAsia"/>
            <w:lang w:eastAsia="zh-CN"/>
          </w:rPr>
          <w:t>(一)、建设地经济发展概况</w:t>
        </w:r>
        <w:r>
          <w:tab/>
        </w:r>
        <w:r>
          <w:fldChar w:fldCharType="begin"/>
        </w:r>
        <w:r>
          <w:instrText xml:space="preserve"> PAGEREF _Toc6025 \h </w:instrText>
        </w:r>
        <w:r>
          <w:fldChar w:fldCharType="separate"/>
        </w:r>
        <w:r>
          <w:t>3</w:t>
        </w:r>
        <w:r>
          <w:fldChar w:fldCharType="end"/>
        </w:r>
      </w:hyperlink>
    </w:p>
    <w:p>
      <w:pPr>
        <w:pStyle w:val="TOC2"/>
        <w:tabs>
          <w:tab w:val="right" w:leader="dot" w:pos="8306"/>
        </w:tabs>
      </w:pPr>
      <w:hyperlink w:anchor="_Toc31483" w:history="1">
        <w:r>
          <w:rPr>
            <w:rFonts w:ascii="仿宋" w:eastAsia="仿宋" w:hAnsi="仿宋" w:cs="仿宋" w:hint="eastAsia"/>
            <w:lang w:eastAsia="zh-CN"/>
          </w:rPr>
          <w:t>(二)、行业市场分析</w:t>
        </w:r>
        <w:r>
          <w:tab/>
        </w:r>
        <w:r>
          <w:fldChar w:fldCharType="begin"/>
        </w:r>
        <w:r>
          <w:instrText xml:space="preserve"> PAGEREF _Toc31483 \h </w:instrText>
        </w:r>
        <w:r>
          <w:fldChar w:fldCharType="separate"/>
        </w:r>
        <w:r>
          <w:t>5</w:t>
        </w:r>
        <w:r>
          <w:fldChar w:fldCharType="end"/>
        </w:r>
      </w:hyperlink>
    </w:p>
    <w:p>
      <w:pPr>
        <w:pStyle w:val="TOC1"/>
        <w:tabs>
          <w:tab w:val="right" w:leader="dot" w:pos="8306"/>
        </w:tabs>
      </w:pPr>
      <w:hyperlink w:anchor="_Toc29989" w:history="1">
        <w:r>
          <w:rPr>
            <w:rFonts w:ascii="仿宋" w:eastAsia="仿宋" w:hAnsi="仿宋" w:cs="仿宋" w:hint="eastAsia"/>
            <w:lang w:eastAsia="zh-CN"/>
          </w:rPr>
          <w:t>二、建设规划</w:t>
        </w:r>
        <w:r>
          <w:tab/>
        </w:r>
        <w:r>
          <w:fldChar w:fldCharType="begin"/>
        </w:r>
        <w:r>
          <w:instrText xml:space="preserve"> PAGEREF _Toc29989 \h </w:instrText>
        </w:r>
        <w:r>
          <w:fldChar w:fldCharType="separate"/>
        </w:r>
        <w:r>
          <w:t>6</w:t>
        </w:r>
        <w:r>
          <w:fldChar w:fldCharType="end"/>
        </w:r>
      </w:hyperlink>
    </w:p>
    <w:p>
      <w:pPr>
        <w:pStyle w:val="TOC2"/>
        <w:tabs>
          <w:tab w:val="right" w:leader="dot" w:pos="8306"/>
        </w:tabs>
      </w:pPr>
      <w:hyperlink w:anchor="_Toc5139" w:history="1">
        <w:r>
          <w:rPr>
            <w:rFonts w:ascii="仿宋" w:eastAsia="仿宋" w:hAnsi="仿宋" w:cs="仿宋" w:hint="eastAsia"/>
            <w:lang w:eastAsia="zh-CN"/>
          </w:rPr>
          <w:t>(一)、产品规划</w:t>
        </w:r>
        <w:r>
          <w:tab/>
        </w:r>
        <w:r>
          <w:fldChar w:fldCharType="begin"/>
        </w:r>
        <w:r>
          <w:instrText xml:space="preserve"> PAGEREF _Toc5139 \h </w:instrText>
        </w:r>
        <w:r>
          <w:fldChar w:fldCharType="separate"/>
        </w:r>
        <w:r>
          <w:t>6</w:t>
        </w:r>
        <w:r>
          <w:fldChar w:fldCharType="end"/>
        </w:r>
      </w:hyperlink>
    </w:p>
    <w:p>
      <w:pPr>
        <w:pStyle w:val="TOC2"/>
        <w:tabs>
          <w:tab w:val="right" w:leader="dot" w:pos="8306"/>
        </w:tabs>
      </w:pPr>
      <w:hyperlink w:anchor="_Toc24123" w:history="1">
        <w:r>
          <w:rPr>
            <w:rFonts w:ascii="仿宋" w:eastAsia="仿宋" w:hAnsi="仿宋" w:cs="仿宋" w:hint="eastAsia"/>
            <w:lang w:eastAsia="zh-CN"/>
          </w:rPr>
          <w:t>(二)、建设规模</w:t>
        </w:r>
        <w:r>
          <w:tab/>
        </w:r>
        <w:r>
          <w:fldChar w:fldCharType="begin"/>
        </w:r>
        <w:r>
          <w:instrText xml:space="preserve"> PAGEREF _Toc24123 \h </w:instrText>
        </w:r>
        <w:r>
          <w:fldChar w:fldCharType="separate"/>
        </w:r>
        <w:r>
          <w:t>8</w:t>
        </w:r>
        <w:r>
          <w:fldChar w:fldCharType="end"/>
        </w:r>
      </w:hyperlink>
    </w:p>
    <w:p>
      <w:pPr>
        <w:pStyle w:val="TOC1"/>
        <w:tabs>
          <w:tab w:val="right" w:leader="dot" w:pos="8306"/>
        </w:tabs>
      </w:pPr>
      <w:hyperlink w:anchor="_Toc23901" w:history="1">
        <w:r>
          <w:rPr>
            <w:rFonts w:ascii="仿宋" w:eastAsia="仿宋" w:hAnsi="仿宋" w:cs="仿宋" w:hint="eastAsia"/>
            <w:lang w:eastAsia="zh-CN"/>
          </w:rPr>
          <w:t>三、工艺分析</w:t>
        </w:r>
        <w:r>
          <w:tab/>
        </w:r>
        <w:r>
          <w:fldChar w:fldCharType="begin"/>
        </w:r>
        <w:r>
          <w:instrText xml:space="preserve"> PAGEREF _Toc23901 \h </w:instrText>
        </w:r>
        <w:r>
          <w:fldChar w:fldCharType="separate"/>
        </w:r>
        <w:r>
          <w:t>10</w:t>
        </w:r>
        <w:r>
          <w:fldChar w:fldCharType="end"/>
        </w:r>
      </w:hyperlink>
    </w:p>
    <w:p>
      <w:pPr>
        <w:pStyle w:val="TOC2"/>
        <w:tabs>
          <w:tab w:val="right" w:leader="dot" w:pos="8306"/>
        </w:tabs>
      </w:pPr>
      <w:hyperlink w:anchor="_Toc4054" w:history="1">
        <w:r>
          <w:rPr>
            <w:rFonts w:ascii="仿宋" w:eastAsia="仿宋" w:hAnsi="仿宋" w:cs="仿宋" w:hint="eastAsia"/>
            <w:lang w:eastAsia="zh-CN"/>
          </w:rPr>
          <w:t>(一)、技术管理特点</w:t>
        </w:r>
        <w:r>
          <w:tab/>
        </w:r>
        <w:r>
          <w:fldChar w:fldCharType="begin"/>
        </w:r>
        <w:r>
          <w:instrText xml:space="preserve"> PAGEREF _Toc4054 \h </w:instrText>
        </w:r>
        <w:r>
          <w:fldChar w:fldCharType="separate"/>
        </w:r>
        <w:r>
          <w:t>10</w:t>
        </w:r>
        <w:r>
          <w:fldChar w:fldCharType="end"/>
        </w:r>
      </w:hyperlink>
    </w:p>
    <w:p>
      <w:pPr>
        <w:pStyle w:val="TOC2"/>
        <w:tabs>
          <w:tab w:val="right" w:leader="dot" w:pos="8306"/>
        </w:tabs>
      </w:pPr>
      <w:hyperlink w:anchor="_Toc20154" w:history="1">
        <w:r>
          <w:rPr>
            <w:rFonts w:ascii="仿宋" w:eastAsia="仿宋" w:hAnsi="仿宋" w:cs="仿宋" w:hint="eastAsia"/>
            <w:lang w:eastAsia="zh-CN"/>
          </w:rPr>
          <w:t>(二)、常温，远红外陶瓷及制品项目工艺技术设计方案</w:t>
        </w:r>
        <w:r>
          <w:tab/>
        </w:r>
        <w:r>
          <w:fldChar w:fldCharType="begin"/>
        </w:r>
        <w:r>
          <w:instrText xml:space="preserve"> PAGEREF _Toc20154 \h </w:instrText>
        </w:r>
        <w:r>
          <w:fldChar w:fldCharType="separate"/>
        </w:r>
        <w:r>
          <w:t>10</w:t>
        </w:r>
        <w:r>
          <w:fldChar w:fldCharType="end"/>
        </w:r>
      </w:hyperlink>
    </w:p>
    <w:p>
      <w:pPr>
        <w:pStyle w:val="TOC2"/>
        <w:tabs>
          <w:tab w:val="right" w:leader="dot" w:pos="8306"/>
        </w:tabs>
      </w:pPr>
      <w:hyperlink w:anchor="_Toc7510" w:history="1">
        <w:r>
          <w:rPr>
            <w:rFonts w:ascii="仿宋" w:eastAsia="仿宋" w:hAnsi="仿宋" w:cs="仿宋" w:hint="eastAsia"/>
            <w:lang w:eastAsia="zh-CN"/>
          </w:rPr>
          <w:t>(三)、设备选型方案</w:t>
        </w:r>
        <w:r>
          <w:tab/>
        </w:r>
        <w:r>
          <w:fldChar w:fldCharType="begin"/>
        </w:r>
        <w:r>
          <w:instrText xml:space="preserve"> PAGEREF _Toc7510 \h </w:instrText>
        </w:r>
        <w:r>
          <w:fldChar w:fldCharType="separate"/>
        </w:r>
        <w:r>
          <w:t>11</w:t>
        </w:r>
        <w:r>
          <w:fldChar w:fldCharType="end"/>
        </w:r>
      </w:hyperlink>
    </w:p>
    <w:p>
      <w:pPr>
        <w:pStyle w:val="TOC1"/>
        <w:tabs>
          <w:tab w:val="right" w:leader="dot" w:pos="8306"/>
        </w:tabs>
      </w:pPr>
      <w:hyperlink w:anchor="_Toc9502" w:history="1">
        <w:r>
          <w:rPr>
            <w:rFonts w:ascii="仿宋" w:eastAsia="仿宋" w:hAnsi="仿宋" w:cs="仿宋" w:hint="eastAsia"/>
            <w:lang w:eastAsia="zh-CN"/>
          </w:rPr>
          <w:t>四、常温，远红外陶瓷及制品项目基本情况</w:t>
        </w:r>
        <w:r>
          <w:tab/>
        </w:r>
        <w:r>
          <w:fldChar w:fldCharType="begin"/>
        </w:r>
        <w:r>
          <w:instrText xml:space="preserve"> PAGEREF _Toc9502 \h </w:instrText>
        </w:r>
        <w:r>
          <w:fldChar w:fldCharType="separate"/>
        </w:r>
        <w:r>
          <w:t>12</w:t>
        </w:r>
        <w:r>
          <w:fldChar w:fldCharType="end"/>
        </w:r>
      </w:hyperlink>
    </w:p>
    <w:p>
      <w:pPr>
        <w:pStyle w:val="TOC2"/>
        <w:tabs>
          <w:tab w:val="right" w:leader="dot" w:pos="8306"/>
        </w:tabs>
      </w:pPr>
      <w:hyperlink w:anchor="_Toc12961" w:history="1">
        <w:r>
          <w:rPr>
            <w:rFonts w:ascii="仿宋" w:eastAsia="仿宋" w:hAnsi="仿宋" w:cs="仿宋" w:hint="eastAsia"/>
            <w:lang w:eastAsia="zh-CN"/>
          </w:rPr>
          <w:t>(一)、常温，远红外陶瓷及制品项目名称及建设性质</w:t>
        </w:r>
        <w:r>
          <w:tab/>
        </w:r>
        <w:r>
          <w:fldChar w:fldCharType="begin"/>
        </w:r>
        <w:r>
          <w:instrText xml:space="preserve"> PAGEREF _Toc12961 \h </w:instrText>
        </w:r>
        <w:r>
          <w:fldChar w:fldCharType="separate"/>
        </w:r>
        <w:r>
          <w:t>12</w:t>
        </w:r>
        <w:r>
          <w:fldChar w:fldCharType="end"/>
        </w:r>
      </w:hyperlink>
    </w:p>
    <w:p>
      <w:pPr>
        <w:pStyle w:val="TOC2"/>
        <w:tabs>
          <w:tab w:val="right" w:leader="dot" w:pos="8306"/>
        </w:tabs>
      </w:pPr>
      <w:hyperlink w:anchor="_Toc23669" w:history="1">
        <w:r>
          <w:rPr>
            <w:rFonts w:ascii="仿宋" w:eastAsia="仿宋" w:hAnsi="仿宋" w:cs="仿宋" w:hint="eastAsia"/>
            <w:lang w:eastAsia="zh-CN"/>
          </w:rPr>
          <w:t>(二)、常温，远红外陶瓷及制品项目承办单位</w:t>
        </w:r>
        <w:r>
          <w:tab/>
        </w:r>
        <w:r>
          <w:fldChar w:fldCharType="begin"/>
        </w:r>
        <w:r>
          <w:instrText xml:space="preserve"> PAGEREF _Toc23669 \h </w:instrText>
        </w:r>
        <w:r>
          <w:fldChar w:fldCharType="separate"/>
        </w:r>
        <w:r>
          <w:t>13</w:t>
        </w:r>
        <w:r>
          <w:fldChar w:fldCharType="end"/>
        </w:r>
      </w:hyperlink>
    </w:p>
    <w:p>
      <w:pPr>
        <w:pStyle w:val="TOC2"/>
        <w:tabs>
          <w:tab w:val="right" w:leader="dot" w:pos="8306"/>
        </w:tabs>
      </w:pPr>
      <w:hyperlink w:anchor="_Toc25871" w:history="1">
        <w:r>
          <w:rPr>
            <w:rFonts w:ascii="仿宋" w:eastAsia="仿宋" w:hAnsi="仿宋" w:cs="仿宋" w:hint="eastAsia"/>
            <w:lang w:eastAsia="zh-CN"/>
          </w:rPr>
          <w:t>(三)、战略合作单位</w:t>
        </w:r>
        <w:r>
          <w:tab/>
        </w:r>
        <w:r>
          <w:fldChar w:fldCharType="begin"/>
        </w:r>
        <w:r>
          <w:instrText xml:space="preserve"> PAGEREF _Toc25871 \h </w:instrText>
        </w:r>
        <w:r>
          <w:fldChar w:fldCharType="separate"/>
        </w:r>
        <w:r>
          <w:t>13</w:t>
        </w:r>
        <w:r>
          <w:fldChar w:fldCharType="end"/>
        </w:r>
      </w:hyperlink>
    </w:p>
    <w:p>
      <w:pPr>
        <w:pStyle w:val="TOC2"/>
        <w:tabs>
          <w:tab w:val="right" w:leader="dot" w:pos="8306"/>
        </w:tabs>
      </w:pPr>
      <w:hyperlink w:anchor="_Toc364" w:history="1">
        <w:r>
          <w:rPr>
            <w:rFonts w:ascii="仿宋" w:eastAsia="仿宋" w:hAnsi="仿宋" w:cs="仿宋" w:hint="eastAsia"/>
            <w:lang w:eastAsia="zh-CN"/>
          </w:rPr>
          <w:t>(四)、常温，远红外陶瓷及制品项目提出的理由</w:t>
        </w:r>
        <w:r>
          <w:tab/>
        </w:r>
        <w:r>
          <w:fldChar w:fldCharType="begin"/>
        </w:r>
        <w:r>
          <w:instrText xml:space="preserve"> PAGEREF _Toc364 \h </w:instrText>
        </w:r>
        <w:r>
          <w:fldChar w:fldCharType="separate"/>
        </w:r>
        <w:r>
          <w:t>13</w:t>
        </w:r>
        <w:r>
          <w:fldChar w:fldCharType="end"/>
        </w:r>
      </w:hyperlink>
    </w:p>
    <w:p>
      <w:pPr>
        <w:pStyle w:val="TOC2"/>
        <w:tabs>
          <w:tab w:val="right" w:leader="dot" w:pos="8306"/>
        </w:tabs>
      </w:pPr>
      <w:hyperlink w:anchor="_Toc28808" w:history="1">
        <w:r>
          <w:rPr>
            <w:rFonts w:ascii="仿宋" w:eastAsia="仿宋" w:hAnsi="仿宋" w:cs="仿宋" w:hint="eastAsia"/>
            <w:lang w:eastAsia="zh-CN"/>
          </w:rPr>
          <w:t>(五)、原材料供应</w:t>
        </w:r>
        <w:r>
          <w:tab/>
        </w:r>
        <w:r>
          <w:fldChar w:fldCharType="begin"/>
        </w:r>
        <w:r>
          <w:instrText xml:space="preserve"> PAGEREF _Toc28808 \h </w:instrText>
        </w:r>
        <w:r>
          <w:fldChar w:fldCharType="separate"/>
        </w:r>
        <w:r>
          <w:t>14</w:t>
        </w:r>
        <w:r>
          <w:fldChar w:fldCharType="end"/>
        </w:r>
      </w:hyperlink>
    </w:p>
    <w:p>
      <w:pPr>
        <w:pStyle w:val="TOC2"/>
        <w:tabs>
          <w:tab w:val="right" w:leader="dot" w:pos="8306"/>
        </w:tabs>
      </w:pPr>
      <w:hyperlink w:anchor="_Toc25228" w:history="1">
        <w:r>
          <w:rPr>
            <w:rFonts w:ascii="仿宋" w:eastAsia="仿宋" w:hAnsi="仿宋" w:cs="仿宋" w:hint="eastAsia"/>
            <w:lang w:eastAsia="zh-CN"/>
          </w:rPr>
          <w:t>(六)、常温，远红外陶瓷及制品项目能耗分析</w:t>
        </w:r>
        <w:r>
          <w:tab/>
        </w:r>
        <w:r>
          <w:fldChar w:fldCharType="begin"/>
        </w:r>
        <w:r>
          <w:instrText xml:space="preserve"> PAGEREF _Toc25228 \h </w:instrText>
        </w:r>
        <w:r>
          <w:fldChar w:fldCharType="separate"/>
        </w:r>
        <w:r>
          <w:t>15</w:t>
        </w:r>
        <w:r>
          <w:fldChar w:fldCharType="end"/>
        </w:r>
      </w:hyperlink>
    </w:p>
    <w:p>
      <w:pPr>
        <w:pStyle w:val="TOC2"/>
        <w:tabs>
          <w:tab w:val="right" w:leader="dot" w:pos="8306"/>
        </w:tabs>
      </w:pPr>
      <w:hyperlink w:anchor="_Toc27301" w:history="1">
        <w:r>
          <w:rPr>
            <w:rFonts w:ascii="仿宋" w:eastAsia="仿宋" w:hAnsi="仿宋" w:cs="仿宋" w:hint="eastAsia"/>
            <w:lang w:eastAsia="zh-CN"/>
          </w:rPr>
          <w:t>(七)、环境保护</w:t>
        </w:r>
        <w:r>
          <w:tab/>
        </w:r>
        <w:r>
          <w:fldChar w:fldCharType="begin"/>
        </w:r>
        <w:r>
          <w:instrText xml:space="preserve"> PAGEREF _Toc27301 \h </w:instrText>
        </w:r>
        <w:r>
          <w:fldChar w:fldCharType="separate"/>
        </w:r>
        <w:r>
          <w:t>16</w:t>
        </w:r>
        <w:r>
          <w:fldChar w:fldCharType="end"/>
        </w:r>
      </w:hyperlink>
    </w:p>
    <w:p>
      <w:pPr>
        <w:pStyle w:val="TOC2"/>
        <w:tabs>
          <w:tab w:val="right" w:leader="dot" w:pos="8306"/>
        </w:tabs>
      </w:pPr>
      <w:hyperlink w:anchor="_Toc9053" w:history="1">
        <w:r>
          <w:rPr>
            <w:rFonts w:ascii="仿宋" w:eastAsia="仿宋" w:hAnsi="仿宋" w:cs="仿宋" w:hint="eastAsia"/>
            <w:lang w:eastAsia="zh-CN"/>
          </w:rPr>
          <w:t>(八)、常温，远红外陶瓷及制品项目建设符合性</w:t>
        </w:r>
        <w:r>
          <w:tab/>
        </w:r>
        <w:r>
          <w:fldChar w:fldCharType="begin"/>
        </w:r>
        <w:r>
          <w:instrText xml:space="preserve"> PAGEREF _Toc9053 \h </w:instrText>
        </w:r>
        <w:r>
          <w:fldChar w:fldCharType="separate"/>
        </w:r>
        <w:r>
          <w:t>17</w:t>
        </w:r>
        <w:r>
          <w:fldChar w:fldCharType="end"/>
        </w:r>
      </w:hyperlink>
    </w:p>
    <w:p>
      <w:pPr>
        <w:pStyle w:val="TOC2"/>
        <w:tabs>
          <w:tab w:val="right" w:leader="dot" w:pos="8306"/>
        </w:tabs>
      </w:pPr>
      <w:hyperlink w:anchor="_Toc986" w:history="1">
        <w:r>
          <w:rPr>
            <w:rFonts w:ascii="仿宋" w:eastAsia="仿宋" w:hAnsi="仿宋" w:cs="仿宋" w:hint="eastAsia"/>
            <w:lang w:eastAsia="zh-CN"/>
          </w:rPr>
          <w:t>(九)、常温，远红外陶瓷及制品项目进度规划</w:t>
        </w:r>
        <w:r>
          <w:tab/>
        </w:r>
        <w:r>
          <w:fldChar w:fldCharType="begin"/>
        </w:r>
        <w:r>
          <w:instrText xml:space="preserve"> PAGEREF _Toc986 \h </w:instrText>
        </w:r>
        <w:r>
          <w:fldChar w:fldCharType="separate"/>
        </w:r>
        <w:r>
          <w:t>18</w:t>
        </w:r>
        <w:r>
          <w:fldChar w:fldCharType="end"/>
        </w:r>
      </w:hyperlink>
    </w:p>
    <w:p>
      <w:pPr>
        <w:pStyle w:val="TOC2"/>
        <w:tabs>
          <w:tab w:val="right" w:leader="dot" w:pos="8306"/>
        </w:tabs>
      </w:pPr>
      <w:hyperlink w:anchor="_Toc2405" w:history="1">
        <w:r>
          <w:rPr>
            <w:rFonts w:ascii="仿宋" w:eastAsia="仿宋" w:hAnsi="仿宋" w:cs="仿宋" w:hint="eastAsia"/>
            <w:lang w:eastAsia="zh-CN"/>
          </w:rPr>
          <w:t>(十)、投资估算及经济效益分析</w:t>
        </w:r>
        <w:r>
          <w:tab/>
        </w:r>
        <w:r>
          <w:fldChar w:fldCharType="begin"/>
        </w:r>
        <w:r>
          <w:instrText xml:space="preserve"> PAGEREF _Toc2405 \h </w:instrText>
        </w:r>
        <w:r>
          <w:fldChar w:fldCharType="separate"/>
        </w:r>
        <w:r>
          <w:t>20</w:t>
        </w:r>
        <w:r>
          <w:fldChar w:fldCharType="end"/>
        </w:r>
      </w:hyperlink>
    </w:p>
    <w:p>
      <w:pPr>
        <w:pStyle w:val="TOC2"/>
        <w:tabs>
          <w:tab w:val="right" w:leader="dot" w:pos="8306"/>
        </w:tabs>
      </w:pPr>
      <w:hyperlink w:anchor="_Toc28402" w:history="1">
        <w:r>
          <w:rPr>
            <w:rFonts w:ascii="仿宋" w:eastAsia="仿宋" w:hAnsi="仿宋" w:cs="仿宋" w:hint="eastAsia"/>
            <w:lang w:eastAsia="zh-CN"/>
          </w:rPr>
          <w:t>(十一)、报告说明</w:t>
        </w:r>
        <w:r>
          <w:tab/>
        </w:r>
        <w:r>
          <w:fldChar w:fldCharType="begin"/>
        </w:r>
        <w:r>
          <w:instrText xml:space="preserve"> PAGEREF _Toc28402 \h </w:instrText>
        </w:r>
        <w:r>
          <w:fldChar w:fldCharType="separate"/>
        </w:r>
        <w:r>
          <w:t>21</w:t>
        </w:r>
        <w:r>
          <w:fldChar w:fldCharType="end"/>
        </w:r>
      </w:hyperlink>
    </w:p>
    <w:p>
      <w:pPr>
        <w:pStyle w:val="TOC2"/>
        <w:tabs>
          <w:tab w:val="right" w:leader="dot" w:pos="8306"/>
        </w:tabs>
      </w:pPr>
      <w:hyperlink w:anchor="_Toc23092" w:history="1">
        <w:r>
          <w:rPr>
            <w:rFonts w:ascii="仿宋" w:eastAsia="仿宋" w:hAnsi="仿宋" w:cs="仿宋" w:hint="eastAsia"/>
            <w:lang w:eastAsia="zh-CN"/>
          </w:rPr>
          <w:t>(十二)、常温，远红外陶瓷及制品项目评价</w:t>
        </w:r>
        <w:r>
          <w:tab/>
        </w:r>
        <w:r>
          <w:fldChar w:fldCharType="begin"/>
        </w:r>
        <w:r>
          <w:instrText xml:space="preserve"> PAGEREF _Toc23092 \h </w:instrText>
        </w:r>
        <w:r>
          <w:fldChar w:fldCharType="separate"/>
        </w:r>
        <w:r>
          <w:t>22</w:t>
        </w:r>
        <w:r>
          <w:fldChar w:fldCharType="end"/>
        </w:r>
      </w:hyperlink>
    </w:p>
    <w:p>
      <w:pPr>
        <w:pStyle w:val="TOC1"/>
        <w:tabs>
          <w:tab w:val="right" w:leader="dot" w:pos="8306"/>
        </w:tabs>
      </w:pPr>
      <w:hyperlink w:anchor="_Toc2402" w:history="1">
        <w:r>
          <w:rPr>
            <w:rFonts w:ascii="仿宋" w:eastAsia="仿宋" w:hAnsi="仿宋" w:cs="仿宋" w:hint="eastAsia"/>
            <w:lang w:eastAsia="zh-CN"/>
          </w:rPr>
          <w:t>五、投资背景及必要性分析</w:t>
        </w:r>
        <w:r>
          <w:tab/>
        </w:r>
        <w:r>
          <w:fldChar w:fldCharType="begin"/>
        </w:r>
        <w:r>
          <w:instrText xml:space="preserve"> PAGEREF _Toc2402 \h </w:instrText>
        </w:r>
        <w:r>
          <w:fldChar w:fldCharType="separate"/>
        </w:r>
        <w:r>
          <w:t>24</w:t>
        </w:r>
        <w:r>
          <w:fldChar w:fldCharType="end"/>
        </w:r>
      </w:hyperlink>
    </w:p>
    <w:p>
      <w:pPr>
        <w:pStyle w:val="TOC2"/>
        <w:tabs>
          <w:tab w:val="right" w:leader="dot" w:pos="8306"/>
        </w:tabs>
      </w:pPr>
      <w:hyperlink w:anchor="_Toc6892" w:history="1">
        <w:r>
          <w:rPr>
            <w:rFonts w:ascii="仿宋" w:eastAsia="仿宋" w:hAnsi="仿宋" w:cs="仿宋" w:hint="eastAsia"/>
            <w:lang w:eastAsia="zh-CN"/>
          </w:rPr>
          <w:t>(一)、常温，远红外陶瓷及制品项目承办单位背景分析</w:t>
        </w:r>
        <w:r>
          <w:tab/>
        </w:r>
        <w:r>
          <w:fldChar w:fldCharType="begin"/>
        </w:r>
        <w:r>
          <w:instrText xml:space="preserve"> PAGEREF _Toc6892 \h </w:instrText>
        </w:r>
        <w:r>
          <w:fldChar w:fldCharType="separate"/>
        </w:r>
        <w:r>
          <w:t>24</w:t>
        </w:r>
        <w:r>
          <w:fldChar w:fldCharType="end"/>
        </w:r>
      </w:hyperlink>
    </w:p>
    <w:p>
      <w:pPr>
        <w:pStyle w:val="TOC2"/>
        <w:tabs>
          <w:tab w:val="right" w:leader="dot" w:pos="8306"/>
        </w:tabs>
      </w:pPr>
      <w:hyperlink w:anchor="_Toc29504" w:history="1">
        <w:r>
          <w:rPr>
            <w:rFonts w:ascii="仿宋" w:eastAsia="仿宋" w:hAnsi="仿宋" w:cs="仿宋" w:hint="eastAsia"/>
            <w:lang w:eastAsia="zh-CN"/>
          </w:rPr>
          <w:t>(二)、产业政策及发展规划</w:t>
        </w:r>
        <w:r>
          <w:tab/>
        </w:r>
        <w:r>
          <w:fldChar w:fldCharType="begin"/>
        </w:r>
        <w:r>
          <w:instrText xml:space="preserve"> PAGEREF _Toc29504 \h </w:instrText>
        </w:r>
        <w:r>
          <w:fldChar w:fldCharType="separate"/>
        </w:r>
        <w:r>
          <w:t>25</w:t>
        </w:r>
        <w:r>
          <w:fldChar w:fldCharType="end"/>
        </w:r>
      </w:hyperlink>
    </w:p>
    <w:p>
      <w:pPr>
        <w:pStyle w:val="TOC2"/>
        <w:tabs>
          <w:tab w:val="right" w:leader="dot" w:pos="8306"/>
        </w:tabs>
      </w:pPr>
      <w:hyperlink w:anchor="_Toc17632" w:history="1">
        <w:r>
          <w:rPr>
            <w:rFonts w:ascii="仿宋" w:eastAsia="仿宋" w:hAnsi="仿宋" w:cs="仿宋" w:hint="eastAsia"/>
            <w:lang w:eastAsia="zh-CN"/>
          </w:rPr>
          <w:t>(三)、鼓励中小企业发展</w:t>
        </w:r>
        <w:r>
          <w:tab/>
        </w:r>
        <w:r>
          <w:fldChar w:fldCharType="begin"/>
        </w:r>
        <w:r>
          <w:instrText xml:space="preserve"> PAGEREF _Toc17632 \h </w:instrText>
        </w:r>
        <w:r>
          <w:fldChar w:fldCharType="separate"/>
        </w:r>
        <w:r>
          <w:t>26</w:t>
        </w:r>
        <w:r>
          <w:fldChar w:fldCharType="end"/>
        </w:r>
      </w:hyperlink>
    </w:p>
    <w:p>
      <w:pPr>
        <w:pStyle w:val="TOC2"/>
        <w:tabs>
          <w:tab w:val="right" w:leader="dot" w:pos="8306"/>
        </w:tabs>
      </w:pPr>
      <w:hyperlink w:anchor="_Toc31710" w:history="1">
        <w:r>
          <w:rPr>
            <w:rFonts w:ascii="仿宋" w:eastAsia="仿宋" w:hAnsi="仿宋" w:cs="仿宋" w:hint="eastAsia"/>
            <w:lang w:eastAsia="zh-CN"/>
          </w:rPr>
          <w:t>(四)、宏观经济形势分析</w:t>
        </w:r>
        <w:r>
          <w:tab/>
        </w:r>
        <w:r>
          <w:fldChar w:fldCharType="begin"/>
        </w:r>
        <w:r>
          <w:instrText xml:space="preserve"> PAGEREF _Toc31710 \h </w:instrText>
        </w:r>
        <w:r>
          <w:fldChar w:fldCharType="separate"/>
        </w:r>
        <w:r>
          <w:t>27</w:t>
        </w:r>
        <w:r>
          <w:fldChar w:fldCharType="end"/>
        </w:r>
      </w:hyperlink>
    </w:p>
    <w:p>
      <w:pPr>
        <w:pStyle w:val="TOC2"/>
        <w:tabs>
          <w:tab w:val="right" w:leader="dot" w:pos="8306"/>
        </w:tabs>
      </w:pPr>
      <w:hyperlink w:anchor="_Toc24631" w:history="1">
        <w:r>
          <w:rPr>
            <w:rFonts w:ascii="仿宋" w:eastAsia="仿宋" w:hAnsi="仿宋" w:cs="仿宋" w:hint="eastAsia"/>
            <w:lang w:eastAsia="zh-CN"/>
          </w:rPr>
          <w:t>(五)、区域经济发展概况</w:t>
        </w:r>
        <w:r>
          <w:tab/>
        </w:r>
        <w:r>
          <w:fldChar w:fldCharType="begin"/>
        </w:r>
        <w:r>
          <w:instrText xml:space="preserve"> PAGEREF _Toc24631 \h </w:instrText>
        </w:r>
        <w:r>
          <w:fldChar w:fldCharType="separate"/>
        </w:r>
        <w:r>
          <w:t>29</w:t>
        </w:r>
        <w:r>
          <w:fldChar w:fldCharType="end"/>
        </w:r>
      </w:hyperlink>
    </w:p>
    <w:p>
      <w:pPr>
        <w:pStyle w:val="TOC2"/>
        <w:tabs>
          <w:tab w:val="right" w:leader="dot" w:pos="8306"/>
        </w:tabs>
      </w:pPr>
      <w:hyperlink w:anchor="_Toc12381" w:history="1">
        <w:r>
          <w:rPr>
            <w:rFonts w:ascii="仿宋" w:eastAsia="仿宋" w:hAnsi="仿宋" w:cs="仿宋" w:hint="eastAsia"/>
            <w:lang w:eastAsia="zh-CN"/>
          </w:rPr>
          <w:t>(六)、常温，远红外陶瓷及制品项目必要性分析</w:t>
        </w:r>
        <w:r>
          <w:tab/>
        </w:r>
        <w:r>
          <w:fldChar w:fldCharType="begin"/>
        </w:r>
        <w:r>
          <w:instrText xml:space="preserve"> PAGEREF _Toc12381 \h </w:instrText>
        </w:r>
        <w:r>
          <w:fldChar w:fldCharType="separate"/>
        </w:r>
        <w:r>
          <w:t>30</w:t>
        </w:r>
        <w:r>
          <w:fldChar w:fldCharType="end"/>
        </w:r>
      </w:hyperlink>
    </w:p>
    <w:p>
      <w:pPr>
        <w:pStyle w:val="TOC1"/>
        <w:tabs>
          <w:tab w:val="right" w:leader="dot" w:pos="8306"/>
        </w:tabs>
      </w:pPr>
      <w:hyperlink w:anchor="_Toc15557" w:history="1">
        <w:r>
          <w:rPr>
            <w:rFonts w:ascii="仿宋" w:eastAsia="仿宋" w:hAnsi="仿宋" w:cs="仿宋" w:hint="eastAsia"/>
            <w:lang w:eastAsia="zh-CN"/>
          </w:rPr>
          <w:t>六、员工福利与企业文化</w:t>
        </w:r>
        <w:r>
          <w:tab/>
        </w:r>
        <w:r>
          <w:fldChar w:fldCharType="begin"/>
        </w:r>
        <w:r>
          <w:instrText xml:space="preserve"> PAGEREF _Toc15557 \h </w:instrText>
        </w:r>
        <w:r>
          <w:fldChar w:fldCharType="separate"/>
        </w:r>
        <w:r>
          <w:t>32</w:t>
        </w:r>
        <w:r>
          <w:fldChar w:fldCharType="end"/>
        </w:r>
      </w:hyperlink>
    </w:p>
    <w:p>
      <w:pPr>
        <w:pStyle w:val="TOC2"/>
        <w:tabs>
          <w:tab w:val="right" w:leader="dot" w:pos="8306"/>
        </w:tabs>
      </w:pPr>
      <w:hyperlink w:anchor="_Toc947" w:history="1">
        <w:r>
          <w:rPr>
            <w:rFonts w:ascii="仿宋" w:eastAsia="仿宋" w:hAnsi="仿宋" w:cs="仿宋" w:hint="eastAsia"/>
            <w:lang w:eastAsia="zh-CN"/>
          </w:rPr>
          <w:t>(一)、员工福利政策</w:t>
        </w:r>
        <w:r>
          <w:tab/>
        </w:r>
        <w:r>
          <w:fldChar w:fldCharType="begin"/>
        </w:r>
        <w:r>
          <w:instrText xml:space="preserve"> PAGEREF _Toc947 \h </w:instrText>
        </w:r>
        <w:r>
          <w:fldChar w:fldCharType="separate"/>
        </w:r>
        <w:r>
          <w:t>32</w:t>
        </w:r>
        <w:r>
          <w:fldChar w:fldCharType="end"/>
        </w:r>
      </w:hyperlink>
    </w:p>
    <w:p>
      <w:pPr>
        <w:pStyle w:val="TOC2"/>
        <w:tabs>
          <w:tab w:val="right" w:leader="dot" w:pos="8306"/>
        </w:tabs>
      </w:pPr>
      <w:hyperlink w:anchor="_Toc619" w:history="1">
        <w:r>
          <w:rPr>
            <w:rFonts w:ascii="仿宋" w:eastAsia="仿宋" w:hAnsi="仿宋" w:cs="仿宋" w:hint="eastAsia"/>
            <w:lang w:eastAsia="zh-CN"/>
          </w:rPr>
          <w:t>(二)、团队建设与员工培训</w:t>
        </w:r>
        <w:r>
          <w:tab/>
        </w:r>
        <w:r>
          <w:fldChar w:fldCharType="begin"/>
        </w:r>
        <w:r>
          <w:instrText xml:space="preserve"> PAGEREF _Toc619 \h </w:instrText>
        </w:r>
        <w:r>
          <w:fldChar w:fldCharType="separate"/>
        </w:r>
        <w:r>
          <w:t>34</w:t>
        </w:r>
        <w:r>
          <w:fldChar w:fldCharType="end"/>
        </w:r>
      </w:hyperlink>
    </w:p>
    <w:p>
      <w:pPr>
        <w:pStyle w:val="TOC2"/>
        <w:tabs>
          <w:tab w:val="right" w:leader="dot" w:pos="8306"/>
        </w:tabs>
      </w:pPr>
      <w:hyperlink w:anchor="_Toc1010" w:history="1">
        <w:r>
          <w:rPr>
            <w:rFonts w:ascii="仿宋" w:eastAsia="仿宋" w:hAnsi="仿宋" w:cs="仿宋" w:hint="eastAsia"/>
            <w:lang w:eastAsia="zh-CN"/>
          </w:rPr>
          <w:t>(三)、企业文化建设</w:t>
        </w:r>
        <w:r>
          <w:tab/>
        </w:r>
        <w:r>
          <w:fldChar w:fldCharType="begin"/>
        </w:r>
        <w:r>
          <w:instrText xml:space="preserve"> PAGEREF _Toc1010 \h </w:instrText>
        </w:r>
        <w:r>
          <w:fldChar w:fldCharType="separate"/>
        </w:r>
        <w:r>
          <w:t>35</w:t>
        </w:r>
        <w:r>
          <w:fldChar w:fldCharType="end"/>
        </w:r>
      </w:hyperlink>
    </w:p>
    <w:p>
      <w:pPr>
        <w:pStyle w:val="TOC2"/>
        <w:tabs>
          <w:tab w:val="right" w:leader="dot" w:pos="8306"/>
        </w:tabs>
      </w:pPr>
      <w:hyperlink w:anchor="_Toc23999" w:history="1">
        <w:r>
          <w:rPr>
            <w:rFonts w:ascii="仿宋" w:eastAsia="仿宋" w:hAnsi="仿宋" w:cs="仿宋" w:hint="eastAsia"/>
            <w:lang w:eastAsia="zh-CN"/>
          </w:rPr>
          <w:t>(四)、员工健康与工作平衡</w:t>
        </w:r>
        <w:r>
          <w:tab/>
        </w:r>
        <w:r>
          <w:fldChar w:fldCharType="begin"/>
        </w:r>
        <w:r>
          <w:instrText xml:space="preserve"> PAGEREF _Toc23999 \h </w:instrText>
        </w:r>
        <w:r>
          <w:fldChar w:fldCharType="separate"/>
        </w:r>
        <w:r>
          <w:t>37</w:t>
        </w:r>
        <w:r>
          <w:fldChar w:fldCharType="end"/>
        </w:r>
      </w:hyperlink>
    </w:p>
    <w:p>
      <w:pPr>
        <w:pStyle w:val="TOC1"/>
        <w:tabs>
          <w:tab w:val="right" w:leader="dot" w:pos="8306"/>
        </w:tabs>
      </w:pPr>
      <w:hyperlink w:anchor="_Toc28382" w:history="1">
        <w:r>
          <w:rPr>
            <w:rFonts w:ascii="仿宋" w:eastAsia="仿宋" w:hAnsi="仿宋" w:cs="仿宋" w:hint="eastAsia"/>
            <w:lang w:eastAsia="zh-CN"/>
          </w:rPr>
          <w:t>七、常温，远红外陶瓷及制品项目投资可行性分析</w:t>
        </w:r>
        <w:r>
          <w:tab/>
        </w:r>
        <w:r>
          <w:fldChar w:fldCharType="begin"/>
        </w:r>
        <w:r>
          <w:instrText xml:space="preserve"> PAGEREF _Toc28382 \h </w:instrText>
        </w:r>
        <w:r>
          <w:fldChar w:fldCharType="separate"/>
        </w:r>
        <w:r>
          <w:t>39</w:t>
        </w:r>
        <w:r>
          <w:fldChar w:fldCharType="end"/>
        </w:r>
      </w:hyperlink>
    </w:p>
    <w:p>
      <w:pPr>
        <w:pStyle w:val="TOC2"/>
        <w:tabs>
          <w:tab w:val="right" w:leader="dot" w:pos="8306"/>
        </w:tabs>
      </w:pPr>
      <w:hyperlink w:anchor="_Toc29401" w:history="1">
        <w:r>
          <w:rPr>
            <w:rFonts w:ascii="仿宋" w:eastAsia="仿宋" w:hAnsi="仿宋" w:cs="仿宋" w:hint="eastAsia"/>
            <w:lang w:eastAsia="zh-CN"/>
          </w:rPr>
          <w:t>(一)、常温，远红外陶瓷及制品项目估算说明</w:t>
        </w:r>
        <w:r>
          <w:tab/>
        </w:r>
        <w:r>
          <w:fldChar w:fldCharType="begin"/>
        </w:r>
        <w:r>
          <w:instrText xml:space="preserve"> PAGEREF _Toc29401 \h </w:instrText>
        </w:r>
        <w:r>
          <w:fldChar w:fldCharType="separate"/>
        </w:r>
        <w:r>
          <w:t>39</w:t>
        </w:r>
        <w:r>
          <w:fldChar w:fldCharType="end"/>
        </w:r>
      </w:hyperlink>
    </w:p>
    <w:p>
      <w:pPr>
        <w:pStyle w:val="TOC2"/>
        <w:tabs>
          <w:tab w:val="right" w:leader="dot" w:pos="8306"/>
        </w:tabs>
      </w:pPr>
      <w:hyperlink w:anchor="_Toc18448" w:history="1">
        <w:r>
          <w:rPr>
            <w:rFonts w:ascii="仿宋" w:eastAsia="仿宋" w:hAnsi="仿宋" w:cs="仿宋" w:hint="eastAsia"/>
            <w:lang w:eastAsia="zh-CN"/>
          </w:rPr>
          <w:t>(二)、常温，远红外陶瓷及制品项目总投资估算</w:t>
        </w:r>
        <w:r>
          <w:tab/>
        </w:r>
        <w:r>
          <w:fldChar w:fldCharType="begin"/>
        </w:r>
        <w:r>
          <w:instrText xml:space="preserve"> PAGEREF _Toc18448 \h </w:instrText>
        </w:r>
        <w:r>
          <w:fldChar w:fldCharType="separate"/>
        </w:r>
        <w:r>
          <w:t>40</w:t>
        </w:r>
        <w:r>
          <w:fldChar w:fldCharType="end"/>
        </w:r>
      </w:hyperlink>
    </w:p>
    <w:p>
      <w:pPr>
        <w:pStyle w:val="TOC2"/>
        <w:tabs>
          <w:tab w:val="right" w:leader="dot" w:pos="8306"/>
        </w:tabs>
      </w:pPr>
      <w:hyperlink w:anchor="_Toc20324" w:history="1">
        <w:r>
          <w:rPr>
            <w:rFonts w:ascii="仿宋" w:eastAsia="仿宋" w:hAnsi="仿宋" w:cs="仿宋" w:hint="eastAsia"/>
            <w:lang w:eastAsia="zh-CN"/>
          </w:rPr>
          <w:t>(三)、资金筹措</w:t>
        </w:r>
        <w:r>
          <w:tab/>
        </w:r>
        <w:r>
          <w:fldChar w:fldCharType="begin"/>
        </w:r>
        <w:r>
          <w:instrText xml:space="preserve"> PAGEREF _Toc20324 \h </w:instrText>
        </w:r>
        <w:r>
          <w:fldChar w:fldCharType="separate"/>
        </w:r>
        <w:r>
          <w:t>41</w:t>
        </w:r>
        <w:r>
          <w:fldChar w:fldCharType="end"/>
        </w:r>
      </w:hyperlink>
    </w:p>
    <w:p>
      <w:pPr>
        <w:pStyle w:val="TOC1"/>
        <w:tabs>
          <w:tab w:val="right" w:leader="dot" w:pos="8306"/>
        </w:tabs>
      </w:pPr>
      <w:hyperlink w:anchor="_Toc25902" w:history="1">
        <w:r>
          <w:rPr>
            <w:rFonts w:ascii="仿宋" w:eastAsia="仿宋" w:hAnsi="仿宋" w:cs="仿宋" w:hint="eastAsia"/>
            <w:lang w:eastAsia="zh-CN"/>
          </w:rPr>
          <w:t>八、危机管理与应急预案</w:t>
        </w:r>
        <w:r>
          <w:tab/>
        </w:r>
        <w:r>
          <w:fldChar w:fldCharType="begin"/>
        </w:r>
        <w:r>
          <w:instrText xml:space="preserve"> PAGEREF _Toc25902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89" w:history="1">
        <w:r>
          <w:rPr>
            <w:rFonts w:ascii="仿宋" w:eastAsia="仿宋" w:hAnsi="仿宋" w:cs="仿宋" w:hint="eastAsia"/>
            <w:lang w:eastAsia="zh-CN"/>
          </w:rPr>
          <w:t>(一)、危机预警与监测</w:t>
        </w:r>
        <w:r>
          <w:tab/>
        </w:r>
        <w:r>
          <w:fldChar w:fldCharType="begin"/>
        </w:r>
        <w:r>
          <w:instrText xml:space="preserve"> PAGEREF _Toc7789 \h </w:instrText>
        </w:r>
        <w:r>
          <w:fldChar w:fldCharType="separate"/>
        </w:r>
        <w:r>
          <w:t>43</w:t>
        </w:r>
        <w:r>
          <w:fldChar w:fldCharType="end"/>
        </w:r>
      </w:hyperlink>
    </w:p>
    <w:p>
      <w:pPr>
        <w:pStyle w:val="TOC2"/>
        <w:tabs>
          <w:tab w:val="right" w:leader="dot" w:pos="8306"/>
        </w:tabs>
      </w:pPr>
      <w:hyperlink w:anchor="_Toc18700" w:history="1">
        <w:r>
          <w:rPr>
            <w:rFonts w:ascii="仿宋" w:eastAsia="仿宋" w:hAnsi="仿宋" w:cs="仿宋" w:hint="eastAsia"/>
            <w:lang w:eastAsia="zh-CN"/>
          </w:rPr>
          <w:t>(二)、应急预案与危机响应</w:t>
        </w:r>
        <w:r>
          <w:tab/>
        </w:r>
        <w:r>
          <w:fldChar w:fldCharType="begin"/>
        </w:r>
        <w:r>
          <w:instrText xml:space="preserve"> PAGEREF _Toc18700 \h </w:instrText>
        </w:r>
        <w:r>
          <w:fldChar w:fldCharType="separate"/>
        </w:r>
        <w:r>
          <w:t>45</w:t>
        </w:r>
        <w:r>
          <w:fldChar w:fldCharType="end"/>
        </w:r>
      </w:hyperlink>
    </w:p>
    <w:p>
      <w:pPr>
        <w:pStyle w:val="TOC2"/>
        <w:tabs>
          <w:tab w:val="right" w:leader="dot" w:pos="8306"/>
        </w:tabs>
      </w:pPr>
      <w:hyperlink w:anchor="_Toc13194" w:history="1">
        <w:r>
          <w:rPr>
            <w:rFonts w:ascii="仿宋" w:eastAsia="仿宋" w:hAnsi="仿宋" w:cs="仿宋" w:hint="eastAsia"/>
            <w:lang w:eastAsia="zh-CN"/>
          </w:rPr>
          <w:t>(三)、危机沟通与舆情控制</w:t>
        </w:r>
        <w:r>
          <w:tab/>
        </w:r>
        <w:r>
          <w:fldChar w:fldCharType="begin"/>
        </w:r>
        <w:r>
          <w:instrText xml:space="preserve"> PAGEREF _Toc13194 \h </w:instrText>
        </w:r>
        <w:r>
          <w:fldChar w:fldCharType="separate"/>
        </w:r>
        <w:r>
          <w:t>47</w:t>
        </w:r>
        <w:r>
          <w:fldChar w:fldCharType="end"/>
        </w:r>
      </w:hyperlink>
    </w:p>
    <w:p>
      <w:pPr>
        <w:pStyle w:val="TOC2"/>
        <w:tabs>
          <w:tab w:val="right" w:leader="dot" w:pos="8306"/>
        </w:tabs>
      </w:pPr>
      <w:hyperlink w:anchor="_Toc11440" w:history="1">
        <w:r>
          <w:rPr>
            <w:rFonts w:ascii="仿宋" w:eastAsia="仿宋" w:hAnsi="仿宋" w:cs="仿宋" w:hint="eastAsia"/>
            <w:lang w:eastAsia="zh-CN"/>
          </w:rPr>
          <w:t>(四)、危机后教训与改进</w:t>
        </w:r>
        <w:r>
          <w:tab/>
        </w:r>
        <w:r>
          <w:fldChar w:fldCharType="begin"/>
        </w:r>
        <w:r>
          <w:instrText xml:space="preserve"> PAGEREF _Toc11440 \h </w:instrText>
        </w:r>
        <w:r>
          <w:fldChar w:fldCharType="separate"/>
        </w:r>
        <w:r>
          <w:t>49</w:t>
        </w:r>
        <w:r>
          <w:fldChar w:fldCharType="end"/>
        </w:r>
      </w:hyperlink>
    </w:p>
    <w:p>
      <w:pPr>
        <w:pStyle w:val="TOC1"/>
        <w:tabs>
          <w:tab w:val="right" w:leader="dot" w:pos="8306"/>
        </w:tabs>
      </w:pPr>
      <w:hyperlink w:anchor="_Toc28745" w:history="1">
        <w:r>
          <w:rPr>
            <w:rFonts w:ascii="仿宋" w:eastAsia="仿宋" w:hAnsi="仿宋" w:cs="仿宋" w:hint="eastAsia"/>
            <w:lang w:eastAsia="zh-CN"/>
          </w:rPr>
          <w:t>九、常温，远红外陶瓷及制品项目环境保护</w:t>
        </w:r>
        <w:r>
          <w:tab/>
        </w:r>
        <w:r>
          <w:fldChar w:fldCharType="begin"/>
        </w:r>
        <w:r>
          <w:instrText xml:space="preserve"> PAGEREF _Toc28745 \h </w:instrText>
        </w:r>
        <w:r>
          <w:fldChar w:fldCharType="separate"/>
        </w:r>
        <w:r>
          <w:t>51</w:t>
        </w:r>
        <w:r>
          <w:fldChar w:fldCharType="end"/>
        </w:r>
      </w:hyperlink>
    </w:p>
    <w:p>
      <w:pPr>
        <w:pStyle w:val="TOC2"/>
        <w:tabs>
          <w:tab w:val="right" w:leader="dot" w:pos="8306"/>
        </w:tabs>
      </w:pPr>
      <w:hyperlink w:anchor="_Toc19853" w:history="1">
        <w:r>
          <w:rPr>
            <w:rFonts w:ascii="仿宋" w:eastAsia="仿宋" w:hAnsi="仿宋" w:cs="仿宋" w:hint="eastAsia"/>
            <w:lang w:eastAsia="zh-CN"/>
          </w:rPr>
          <w:t>(一)、常温，远红外陶瓷及制品项目环境影响评估</w:t>
        </w:r>
        <w:r>
          <w:tab/>
        </w:r>
        <w:r>
          <w:fldChar w:fldCharType="begin"/>
        </w:r>
        <w:r>
          <w:instrText xml:space="preserve"> PAGEREF _Toc19853 \h </w:instrText>
        </w:r>
        <w:r>
          <w:fldChar w:fldCharType="separate"/>
        </w:r>
        <w:r>
          <w:t>51</w:t>
        </w:r>
        <w:r>
          <w:fldChar w:fldCharType="end"/>
        </w:r>
      </w:hyperlink>
    </w:p>
    <w:p>
      <w:pPr>
        <w:pStyle w:val="TOC2"/>
        <w:tabs>
          <w:tab w:val="right" w:leader="dot" w:pos="8306"/>
        </w:tabs>
      </w:pPr>
      <w:hyperlink w:anchor="_Toc24074" w:history="1">
        <w:r>
          <w:rPr>
            <w:rFonts w:ascii="仿宋" w:eastAsia="仿宋" w:hAnsi="仿宋" w:cs="仿宋" w:hint="eastAsia"/>
            <w:lang w:eastAsia="zh-CN"/>
          </w:rPr>
          <w:t>(二)、环境保护措施与方案</w:t>
        </w:r>
        <w:r>
          <w:tab/>
        </w:r>
        <w:r>
          <w:fldChar w:fldCharType="begin"/>
        </w:r>
        <w:r>
          <w:instrText xml:space="preserve"> PAGEREF _Toc24074 \h </w:instrText>
        </w:r>
        <w:r>
          <w:fldChar w:fldCharType="separate"/>
        </w:r>
        <w:r>
          <w:t>52</w:t>
        </w:r>
        <w:r>
          <w:fldChar w:fldCharType="end"/>
        </w:r>
      </w:hyperlink>
    </w:p>
    <w:p>
      <w:pPr>
        <w:pStyle w:val="TOC2"/>
        <w:tabs>
          <w:tab w:val="right" w:leader="dot" w:pos="8306"/>
        </w:tabs>
      </w:pPr>
      <w:hyperlink w:anchor="_Toc4715" w:history="1">
        <w:r>
          <w:rPr>
            <w:rFonts w:ascii="仿宋" w:eastAsia="仿宋" w:hAnsi="仿宋" w:cs="仿宋" w:hint="eastAsia"/>
            <w:lang w:eastAsia="zh-CN"/>
          </w:rPr>
          <w:t>(三)、生态恢复与补偿措施</w:t>
        </w:r>
        <w:r>
          <w:tab/>
        </w:r>
        <w:r>
          <w:fldChar w:fldCharType="begin"/>
        </w:r>
        <w:r>
          <w:instrText xml:space="preserve"> PAGEREF _Toc4715 \h </w:instrText>
        </w:r>
        <w:r>
          <w:fldChar w:fldCharType="separate"/>
        </w:r>
        <w:r>
          <w:t>54</w:t>
        </w:r>
        <w:r>
          <w:fldChar w:fldCharType="end"/>
        </w:r>
      </w:hyperlink>
    </w:p>
    <w:p>
      <w:pPr>
        <w:pStyle w:val="TOC2"/>
        <w:tabs>
          <w:tab w:val="right" w:leader="dot" w:pos="8306"/>
        </w:tabs>
      </w:pPr>
      <w:hyperlink w:anchor="_Toc26541" w:history="1">
        <w:r>
          <w:rPr>
            <w:rFonts w:ascii="仿宋" w:eastAsia="仿宋" w:hAnsi="仿宋" w:cs="仿宋" w:hint="eastAsia"/>
            <w:lang w:eastAsia="zh-CN"/>
          </w:rPr>
          <w:t>(四)、环境保护监测与评估</w:t>
        </w:r>
        <w:r>
          <w:tab/>
        </w:r>
        <w:r>
          <w:fldChar w:fldCharType="begin"/>
        </w:r>
        <w:r>
          <w:instrText xml:space="preserve"> PAGEREF _Toc26541 \h </w:instrText>
        </w:r>
        <w:r>
          <w:fldChar w:fldCharType="separate"/>
        </w:r>
        <w:r>
          <w:t>57</w:t>
        </w:r>
        <w:r>
          <w:fldChar w:fldCharType="end"/>
        </w:r>
      </w:hyperlink>
    </w:p>
    <w:p>
      <w:pPr>
        <w:pStyle w:val="TOC1"/>
        <w:tabs>
          <w:tab w:val="right" w:leader="dot" w:pos="8306"/>
        </w:tabs>
      </w:pPr>
      <w:hyperlink w:anchor="_Toc25827" w:history="1">
        <w:r>
          <w:rPr>
            <w:rFonts w:ascii="仿宋" w:eastAsia="仿宋" w:hAnsi="仿宋" w:cs="仿宋" w:hint="eastAsia"/>
            <w:lang w:eastAsia="zh-CN"/>
          </w:rPr>
          <w:t>十、法律与合规性</w:t>
        </w:r>
        <w:r>
          <w:tab/>
        </w:r>
        <w:r>
          <w:fldChar w:fldCharType="begin"/>
        </w:r>
        <w:r>
          <w:instrText xml:space="preserve"> PAGEREF _Toc25827 \h </w:instrText>
        </w:r>
        <w:r>
          <w:fldChar w:fldCharType="separate"/>
        </w:r>
        <w:r>
          <w:t>59</w:t>
        </w:r>
        <w:r>
          <w:fldChar w:fldCharType="end"/>
        </w:r>
      </w:hyperlink>
    </w:p>
    <w:p>
      <w:pPr>
        <w:pStyle w:val="TOC2"/>
        <w:tabs>
          <w:tab w:val="right" w:leader="dot" w:pos="8306"/>
        </w:tabs>
      </w:pPr>
      <w:hyperlink w:anchor="_Toc14787" w:history="1">
        <w:r>
          <w:rPr>
            <w:rFonts w:ascii="仿宋" w:eastAsia="仿宋" w:hAnsi="仿宋" w:cs="仿宋" w:hint="eastAsia"/>
            <w:lang w:eastAsia="zh-CN"/>
          </w:rPr>
          <w:t>(一)、相关法律法规概述</w:t>
        </w:r>
        <w:r>
          <w:tab/>
        </w:r>
        <w:r>
          <w:fldChar w:fldCharType="begin"/>
        </w:r>
        <w:r>
          <w:instrText xml:space="preserve"> PAGEREF _Toc14787 \h </w:instrText>
        </w:r>
        <w:r>
          <w:fldChar w:fldCharType="separate"/>
        </w:r>
        <w:r>
          <w:t>59</w:t>
        </w:r>
        <w:r>
          <w:fldChar w:fldCharType="end"/>
        </w:r>
      </w:hyperlink>
    </w:p>
    <w:p>
      <w:pPr>
        <w:pStyle w:val="TOC2"/>
        <w:tabs>
          <w:tab w:val="right" w:leader="dot" w:pos="8306"/>
        </w:tabs>
      </w:pPr>
      <w:hyperlink w:anchor="_Toc19278" w:history="1">
        <w:r>
          <w:rPr>
            <w:rFonts w:ascii="仿宋" w:eastAsia="仿宋" w:hAnsi="仿宋" w:cs="仿宋" w:hint="eastAsia"/>
            <w:lang w:eastAsia="zh-CN"/>
          </w:rPr>
          <w:t>(二)、常温，远红外陶瓷及制品项目合同管理</w:t>
        </w:r>
        <w:r>
          <w:tab/>
        </w:r>
        <w:r>
          <w:fldChar w:fldCharType="begin"/>
        </w:r>
        <w:r>
          <w:instrText xml:space="preserve"> PAGEREF _Toc19278 \h </w:instrText>
        </w:r>
        <w:r>
          <w:fldChar w:fldCharType="separate"/>
        </w:r>
        <w:r>
          <w:t>61</w:t>
        </w:r>
        <w:r>
          <w:fldChar w:fldCharType="end"/>
        </w:r>
      </w:hyperlink>
    </w:p>
    <w:p>
      <w:pPr>
        <w:pStyle w:val="TOC2"/>
        <w:tabs>
          <w:tab w:val="right" w:leader="dot" w:pos="8306"/>
        </w:tabs>
      </w:pPr>
      <w:hyperlink w:anchor="_Toc17690" w:history="1">
        <w:r>
          <w:rPr>
            <w:rFonts w:ascii="仿宋" w:eastAsia="仿宋" w:hAnsi="仿宋" w:cs="仿宋" w:hint="eastAsia"/>
            <w:lang w:eastAsia="zh-CN"/>
          </w:rPr>
          <w:t>(三)、知识产权保护</w:t>
        </w:r>
        <w:r>
          <w:tab/>
        </w:r>
        <w:r>
          <w:fldChar w:fldCharType="begin"/>
        </w:r>
        <w:r>
          <w:instrText xml:space="preserve"> PAGEREF _Toc17690 \h </w:instrText>
        </w:r>
        <w:r>
          <w:fldChar w:fldCharType="separate"/>
        </w:r>
        <w:r>
          <w:t>63</w:t>
        </w:r>
        <w:r>
          <w:fldChar w:fldCharType="end"/>
        </w:r>
      </w:hyperlink>
    </w:p>
    <w:p>
      <w:pPr>
        <w:pStyle w:val="TOC2"/>
        <w:tabs>
          <w:tab w:val="right" w:leader="dot" w:pos="8306"/>
        </w:tabs>
      </w:pPr>
      <w:hyperlink w:anchor="_Toc28570" w:history="1">
        <w:r>
          <w:rPr>
            <w:rFonts w:ascii="仿宋" w:eastAsia="仿宋" w:hAnsi="仿宋" w:cs="仿宋" w:hint="eastAsia"/>
            <w:lang w:eastAsia="zh-CN"/>
          </w:rPr>
          <w:t>(四)、劳动法规与员工权益</w:t>
        </w:r>
        <w:r>
          <w:tab/>
        </w:r>
        <w:r>
          <w:fldChar w:fldCharType="begin"/>
        </w:r>
        <w:r>
          <w:instrText xml:space="preserve"> PAGEREF _Toc28570 \h </w:instrText>
        </w:r>
        <w:r>
          <w:fldChar w:fldCharType="separate"/>
        </w:r>
        <w:r>
          <w:t>64</w:t>
        </w:r>
        <w:r>
          <w:fldChar w:fldCharType="end"/>
        </w:r>
      </w:hyperlink>
    </w:p>
    <w:p>
      <w:pPr>
        <w:pStyle w:val="TOC2"/>
        <w:tabs>
          <w:tab w:val="right" w:leader="dot" w:pos="8306"/>
        </w:tabs>
      </w:pPr>
      <w:hyperlink w:anchor="_Toc32481" w:history="1">
        <w:r>
          <w:rPr>
            <w:rFonts w:ascii="仿宋" w:eastAsia="仿宋" w:hAnsi="仿宋" w:cs="仿宋" w:hint="eastAsia"/>
            <w:lang w:eastAsia="zh-CN"/>
          </w:rPr>
          <w:t>(五)、环境保护法规遵循</w:t>
        </w:r>
        <w:r>
          <w:tab/>
        </w:r>
        <w:r>
          <w:fldChar w:fldCharType="begin"/>
        </w:r>
        <w:r>
          <w:instrText xml:space="preserve"> PAGEREF _Toc32481 \h </w:instrText>
        </w:r>
        <w:r>
          <w:fldChar w:fldCharType="separate"/>
        </w:r>
        <w:r>
          <w:t>66</w:t>
        </w:r>
        <w:r>
          <w:fldChar w:fldCharType="end"/>
        </w:r>
      </w:hyperlink>
    </w:p>
    <w:p>
      <w:pPr>
        <w:pStyle w:val="TOC1"/>
        <w:tabs>
          <w:tab w:val="right" w:leader="dot" w:pos="8306"/>
        </w:tabs>
      </w:pPr>
      <w:hyperlink w:anchor="_Toc24935" w:history="1">
        <w:r>
          <w:rPr>
            <w:rFonts w:ascii="仿宋" w:eastAsia="仿宋" w:hAnsi="仿宋" w:cs="仿宋" w:hint="eastAsia"/>
            <w:lang w:eastAsia="zh-CN"/>
          </w:rPr>
          <w:t>十一、市场趋势与竞争分析</w:t>
        </w:r>
        <w:r>
          <w:tab/>
        </w:r>
        <w:r>
          <w:fldChar w:fldCharType="begin"/>
        </w:r>
        <w:r>
          <w:instrText xml:space="preserve"> PAGEREF _Toc24935 \h </w:instrText>
        </w:r>
        <w:r>
          <w:fldChar w:fldCharType="separate"/>
        </w:r>
        <w:r>
          <w:t>67</w:t>
        </w:r>
        <w:r>
          <w:fldChar w:fldCharType="end"/>
        </w:r>
      </w:hyperlink>
    </w:p>
    <w:p>
      <w:pPr>
        <w:pStyle w:val="TOC2"/>
        <w:tabs>
          <w:tab w:val="right" w:leader="dot" w:pos="8306"/>
        </w:tabs>
      </w:pPr>
      <w:hyperlink w:anchor="_Toc4791" w:history="1">
        <w:r>
          <w:rPr>
            <w:rFonts w:ascii="仿宋" w:eastAsia="仿宋" w:hAnsi="仿宋" w:cs="仿宋" w:hint="eastAsia"/>
            <w:lang w:eastAsia="zh-CN"/>
          </w:rPr>
          <w:t>(一)、行业市场趋势分析</w:t>
        </w:r>
        <w:r>
          <w:tab/>
        </w:r>
        <w:r>
          <w:fldChar w:fldCharType="begin"/>
        </w:r>
        <w:r>
          <w:instrText xml:space="preserve"> PAGEREF _Toc4791 \h </w:instrText>
        </w:r>
        <w:r>
          <w:fldChar w:fldCharType="separate"/>
        </w:r>
        <w:r>
          <w:t>67</w:t>
        </w:r>
        <w:r>
          <w:fldChar w:fldCharType="end"/>
        </w:r>
      </w:hyperlink>
    </w:p>
    <w:p>
      <w:pPr>
        <w:pStyle w:val="TOC2"/>
        <w:tabs>
          <w:tab w:val="right" w:leader="dot" w:pos="8306"/>
        </w:tabs>
      </w:pPr>
      <w:hyperlink w:anchor="_Toc5711" w:history="1">
        <w:r>
          <w:rPr>
            <w:rFonts w:ascii="仿宋" w:eastAsia="仿宋" w:hAnsi="仿宋" w:cs="仿宋" w:hint="eastAsia"/>
            <w:lang w:eastAsia="zh-CN"/>
          </w:rPr>
          <w:t>(二)、竞争对手动态监测</w:t>
        </w:r>
        <w:r>
          <w:tab/>
        </w:r>
        <w:r>
          <w:fldChar w:fldCharType="begin"/>
        </w:r>
        <w:r>
          <w:instrText xml:space="preserve"> PAGEREF _Toc5711 \h </w:instrText>
        </w:r>
        <w:r>
          <w:fldChar w:fldCharType="separate"/>
        </w:r>
        <w:r>
          <w:t>69</w:t>
        </w:r>
        <w:r>
          <w:fldChar w:fldCharType="end"/>
        </w:r>
      </w:hyperlink>
    </w:p>
    <w:p>
      <w:pPr>
        <w:pStyle w:val="TOC2"/>
        <w:tabs>
          <w:tab w:val="right" w:leader="dot" w:pos="8306"/>
        </w:tabs>
      </w:pPr>
      <w:hyperlink w:anchor="_Toc7775" w:history="1">
        <w:r>
          <w:rPr>
            <w:rFonts w:ascii="仿宋" w:eastAsia="仿宋" w:hAnsi="仿宋" w:cs="仿宋" w:hint="eastAsia"/>
            <w:lang w:eastAsia="zh-CN"/>
          </w:rPr>
          <w:t>(三)、新兴技术与创新趋势</w:t>
        </w:r>
        <w:r>
          <w:tab/>
        </w:r>
        <w:r>
          <w:fldChar w:fldCharType="begin"/>
        </w:r>
        <w:r>
          <w:instrText xml:space="preserve"> PAGEREF _Toc7775 \h </w:instrText>
        </w:r>
        <w:r>
          <w:fldChar w:fldCharType="separate"/>
        </w:r>
        <w:r>
          <w:t>71</w:t>
        </w:r>
        <w:r>
          <w:fldChar w:fldCharType="end"/>
        </w:r>
      </w:hyperlink>
    </w:p>
    <w:p>
      <w:pPr>
        <w:pStyle w:val="TOC2"/>
        <w:tabs>
          <w:tab w:val="right" w:leader="dot" w:pos="8306"/>
        </w:tabs>
      </w:pPr>
      <w:hyperlink w:anchor="_Toc342" w:history="1">
        <w:r>
          <w:rPr>
            <w:rFonts w:ascii="仿宋" w:eastAsia="仿宋" w:hAnsi="仿宋" w:cs="仿宋" w:hint="eastAsia"/>
            <w:lang w:eastAsia="zh-CN"/>
          </w:rPr>
          <w:t>(四)、市场机会与威胁评估</w:t>
        </w:r>
        <w:r>
          <w:tab/>
        </w:r>
        <w:r>
          <w:fldChar w:fldCharType="begin"/>
        </w:r>
        <w:r>
          <w:instrText xml:space="preserve"> PAGEREF _Toc342 \h </w:instrText>
        </w:r>
        <w:r>
          <w:fldChar w:fldCharType="separate"/>
        </w:r>
        <w:r>
          <w:t>73</w:t>
        </w:r>
        <w:r>
          <w:fldChar w:fldCharType="end"/>
        </w:r>
      </w:hyperlink>
    </w:p>
    <w:p>
      <w:pPr>
        <w:pStyle w:val="TOC1"/>
        <w:tabs>
          <w:tab w:val="right" w:leader="dot" w:pos="8306"/>
        </w:tabs>
      </w:pPr>
      <w:hyperlink w:anchor="_Toc3059" w:history="1">
        <w:r>
          <w:rPr>
            <w:rFonts w:ascii="仿宋" w:eastAsia="仿宋" w:hAnsi="仿宋" w:cs="仿宋" w:hint="eastAsia"/>
            <w:lang w:eastAsia="zh-CN"/>
          </w:rPr>
          <w:t>十二、供应链管理与物流优化</w:t>
        </w:r>
        <w:r>
          <w:tab/>
        </w:r>
        <w:r>
          <w:fldChar w:fldCharType="begin"/>
        </w:r>
        <w:r>
          <w:instrText xml:space="preserve"> PAGEREF _Toc3059 \h </w:instrText>
        </w:r>
        <w:r>
          <w:fldChar w:fldCharType="separate"/>
        </w:r>
        <w:r>
          <w:t>75</w:t>
        </w:r>
        <w:r>
          <w:fldChar w:fldCharType="end"/>
        </w:r>
      </w:hyperlink>
    </w:p>
    <w:p>
      <w:pPr>
        <w:pStyle w:val="TOC2"/>
        <w:tabs>
          <w:tab w:val="right" w:leader="dot" w:pos="8306"/>
        </w:tabs>
      </w:pPr>
      <w:hyperlink w:anchor="_Toc8899" w:history="1">
        <w:r>
          <w:rPr>
            <w:rFonts w:ascii="仿宋" w:eastAsia="仿宋" w:hAnsi="仿宋" w:cs="仿宋" w:hint="eastAsia"/>
            <w:lang w:eastAsia="zh-CN"/>
          </w:rPr>
          <w:t>(一)、供应链规划与优化</w:t>
        </w:r>
        <w:r>
          <w:tab/>
        </w:r>
        <w:r>
          <w:fldChar w:fldCharType="begin"/>
        </w:r>
        <w:r>
          <w:instrText xml:space="preserve"> PAGEREF _Toc8899 \h </w:instrText>
        </w:r>
        <w:r>
          <w:fldChar w:fldCharType="separate"/>
        </w:r>
        <w:r>
          <w:t>75</w:t>
        </w:r>
        <w:r>
          <w:fldChar w:fldCharType="end"/>
        </w:r>
      </w:hyperlink>
    </w:p>
    <w:p>
      <w:pPr>
        <w:pStyle w:val="TOC2"/>
        <w:tabs>
          <w:tab w:val="right" w:leader="dot" w:pos="8306"/>
        </w:tabs>
      </w:pPr>
      <w:hyperlink w:anchor="_Toc1738" w:history="1">
        <w:r>
          <w:rPr>
            <w:rFonts w:ascii="仿宋" w:eastAsia="仿宋" w:hAnsi="仿宋" w:cs="仿宋" w:hint="eastAsia"/>
            <w:lang w:eastAsia="zh-CN"/>
          </w:rPr>
          <w:t>(二)、供应商选择与评估</w:t>
        </w:r>
        <w:r>
          <w:tab/>
        </w:r>
        <w:r>
          <w:fldChar w:fldCharType="begin"/>
        </w:r>
        <w:r>
          <w:instrText xml:space="preserve"> PAGEREF _Toc1738 \h </w:instrText>
        </w:r>
        <w:r>
          <w:fldChar w:fldCharType="separate"/>
        </w:r>
        <w:r>
          <w:t>77</w:t>
        </w:r>
        <w:r>
          <w:fldChar w:fldCharType="end"/>
        </w:r>
      </w:hyperlink>
    </w:p>
    <w:p>
      <w:pPr>
        <w:pStyle w:val="TOC2"/>
        <w:tabs>
          <w:tab w:val="right" w:leader="dot" w:pos="8306"/>
        </w:tabs>
      </w:pPr>
      <w:hyperlink w:anchor="_Toc15360" w:history="1">
        <w:r>
          <w:rPr>
            <w:rFonts w:ascii="仿宋" w:eastAsia="仿宋" w:hAnsi="仿宋" w:cs="仿宋" w:hint="eastAsia"/>
            <w:lang w:eastAsia="zh-CN"/>
          </w:rPr>
          <w:t>(三)、物流网络设计与管理</w:t>
        </w:r>
        <w:r>
          <w:tab/>
        </w:r>
        <w:r>
          <w:fldChar w:fldCharType="begin"/>
        </w:r>
        <w:r>
          <w:instrText xml:space="preserve"> PAGEREF _Toc15360 \h </w:instrText>
        </w:r>
        <w:r>
          <w:fldChar w:fldCharType="separate"/>
        </w:r>
        <w:r>
          <w:t>79</w:t>
        </w:r>
        <w:r>
          <w:fldChar w:fldCharType="end"/>
        </w:r>
      </w:hyperlink>
    </w:p>
    <w:p>
      <w:pPr>
        <w:pStyle w:val="TOC2"/>
        <w:tabs>
          <w:tab w:val="right" w:leader="dot" w:pos="8306"/>
        </w:tabs>
      </w:pPr>
      <w:hyperlink w:anchor="_Toc10348" w:history="1">
        <w:r>
          <w:rPr>
            <w:rFonts w:ascii="仿宋" w:eastAsia="仿宋" w:hAnsi="仿宋" w:cs="仿宋" w:hint="eastAsia"/>
            <w:lang w:eastAsia="zh-CN"/>
          </w:rPr>
          <w:t>(四)、库存控制与仓储管理</w:t>
        </w:r>
        <w:r>
          <w:tab/>
        </w:r>
        <w:r>
          <w:fldChar w:fldCharType="begin"/>
        </w:r>
        <w:r>
          <w:instrText xml:space="preserve"> PAGEREF _Toc10348 \h </w:instrText>
        </w:r>
        <w:r>
          <w:fldChar w:fldCharType="separate"/>
        </w:r>
        <w:r>
          <w:t>81</w:t>
        </w:r>
        <w:r>
          <w:fldChar w:fldCharType="end"/>
        </w:r>
      </w:hyperlink>
    </w:p>
    <w:p>
      <w:pPr>
        <w:pStyle w:val="TOC1"/>
        <w:tabs>
          <w:tab w:val="right" w:leader="dot" w:pos="8306"/>
        </w:tabs>
      </w:pPr>
      <w:hyperlink w:anchor="_Toc28462" w:history="1">
        <w:r>
          <w:rPr>
            <w:rFonts w:ascii="仿宋" w:eastAsia="仿宋" w:hAnsi="仿宋" w:cs="仿宋" w:hint="eastAsia"/>
            <w:lang w:eastAsia="zh-CN"/>
          </w:rPr>
          <w:t>十三、风险管理与应对策略</w:t>
        </w:r>
        <w:r>
          <w:tab/>
        </w:r>
        <w:r>
          <w:fldChar w:fldCharType="begin"/>
        </w:r>
        <w:r>
          <w:instrText xml:space="preserve"> PAGEREF _Toc28462 \h </w:instrText>
        </w:r>
        <w:r>
          <w:fldChar w:fldCharType="separate"/>
        </w:r>
        <w:r>
          <w:t>83</w:t>
        </w:r>
        <w:r>
          <w:fldChar w:fldCharType="end"/>
        </w:r>
      </w:hyperlink>
    </w:p>
    <w:p>
      <w:pPr>
        <w:pStyle w:val="TOC2"/>
        <w:tabs>
          <w:tab w:val="right" w:leader="dot" w:pos="8306"/>
        </w:tabs>
      </w:pPr>
      <w:hyperlink w:anchor="_Toc9800" w:history="1">
        <w:r>
          <w:rPr>
            <w:rFonts w:ascii="仿宋" w:eastAsia="仿宋" w:hAnsi="仿宋" w:cs="仿宋" w:hint="eastAsia"/>
            <w:lang w:eastAsia="zh-CN"/>
          </w:rPr>
          <w:t>(一)、风险管理流程</w:t>
        </w:r>
        <w:r>
          <w:tab/>
        </w:r>
        <w:r>
          <w:fldChar w:fldCharType="begin"/>
        </w:r>
        <w:r>
          <w:instrText xml:space="preserve"> PAGEREF _Toc9800 \h </w:instrText>
        </w:r>
        <w:r>
          <w:fldChar w:fldCharType="separate"/>
        </w:r>
        <w:r>
          <w:t>83</w:t>
        </w:r>
        <w:r>
          <w:fldChar w:fldCharType="end"/>
        </w:r>
      </w:hyperlink>
    </w:p>
    <w:p>
      <w:pPr>
        <w:pStyle w:val="TOC2"/>
        <w:tabs>
          <w:tab w:val="right" w:leader="dot" w:pos="8306"/>
        </w:tabs>
      </w:pPr>
      <w:hyperlink w:anchor="_Toc4232" w:history="1">
        <w:r>
          <w:rPr>
            <w:rFonts w:ascii="仿宋" w:eastAsia="仿宋" w:hAnsi="仿宋" w:cs="仿宋" w:hint="eastAsia"/>
            <w:lang w:eastAsia="zh-CN"/>
          </w:rPr>
          <w:t>(二)、风险识别与评估</w:t>
        </w:r>
        <w:r>
          <w:tab/>
        </w:r>
        <w:r>
          <w:fldChar w:fldCharType="begin"/>
        </w:r>
        <w:r>
          <w:instrText xml:space="preserve"> PAGEREF _Toc4232 \h </w:instrText>
        </w:r>
        <w:r>
          <w:fldChar w:fldCharType="separate"/>
        </w:r>
        <w:r>
          <w:t>86</w:t>
        </w:r>
        <w:r>
          <w:fldChar w:fldCharType="end"/>
        </w:r>
      </w:hyperlink>
    </w:p>
    <w:p>
      <w:pPr>
        <w:pStyle w:val="TOC2"/>
        <w:tabs>
          <w:tab w:val="right" w:leader="dot" w:pos="8306"/>
        </w:tabs>
      </w:pPr>
      <w:hyperlink w:anchor="_Toc19984" w:history="1">
        <w:r>
          <w:rPr>
            <w:rFonts w:ascii="仿宋" w:eastAsia="仿宋" w:hAnsi="仿宋" w:cs="仿宋" w:hint="eastAsia"/>
            <w:lang w:eastAsia="zh-CN"/>
          </w:rPr>
          <w:t>(三)、风险控制与应对策略</w:t>
        </w:r>
        <w:r>
          <w:tab/>
        </w:r>
        <w:r>
          <w:fldChar w:fldCharType="begin"/>
        </w:r>
        <w:r>
          <w:instrText xml:space="preserve"> PAGEREF _Toc19984 \h </w:instrText>
        </w:r>
        <w:r>
          <w:fldChar w:fldCharType="separate"/>
        </w:r>
        <w:r>
          <w:t>88</w:t>
        </w:r>
        <w:r>
          <w:fldChar w:fldCharType="end"/>
        </w:r>
      </w:hyperlink>
    </w:p>
    <w:p>
      <w:pPr>
        <w:pStyle w:val="TOC2"/>
        <w:tabs>
          <w:tab w:val="right" w:leader="dot" w:pos="8306"/>
        </w:tabs>
      </w:pPr>
      <w:hyperlink w:anchor="_Toc24534" w:history="1">
        <w:r>
          <w:rPr>
            <w:rFonts w:ascii="仿宋" w:eastAsia="仿宋" w:hAnsi="仿宋" w:cs="仿宋" w:hint="eastAsia"/>
            <w:lang w:eastAsia="zh-CN"/>
          </w:rPr>
          <w:t>(四)、危机管理与应急预案</w:t>
        </w:r>
        <w:r>
          <w:tab/>
        </w:r>
        <w:r>
          <w:fldChar w:fldCharType="begin"/>
        </w:r>
        <w:r>
          <w:instrText xml:space="preserve"> PAGEREF _Toc24534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20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常温，远红外陶瓷及制品项目报告按照现代常温，远红外陶瓷及制品项目管理理论及标准流程编写，着重分析了常温，远红外陶瓷及制品项目管理中的系统思维、团队协作、时间成本控制等关键要素，并将理论与实验案例相结合，提出创新性的改进措施。报告的结构设计严谨，内容充实，旨在为相关领域的研究者和实践者提供有价值的参考和指引。特别声明，本报告的所有内容均不可用作商业用途，只供学习交流之用，以期通过共享知识增进常温，远红外陶瓷及制品项目管理实践的深度与广度</w:t>
      </w:r>
    </w:p>
    <w:p>
      <w:pPr>
        <w:pStyle w:val="Heading1"/>
        <w:ind w:firstLine="560" w:firstLineChars="200"/>
        <w:rPr>
          <w:rFonts w:ascii="仿宋" w:eastAsia="仿宋" w:hAnsi="仿宋" w:cs="仿宋" w:hint="eastAsia"/>
          <w:sz w:val="28"/>
          <w:lang w:eastAsia="zh-CN"/>
        </w:rPr>
      </w:pPr>
      <w:bookmarkStart w:id="2" w:name="_Toc10040"/>
      <w:r>
        <w:rPr>
          <w:rFonts w:ascii="仿宋" w:eastAsia="仿宋" w:hAnsi="仿宋" w:cs="仿宋" w:hint="eastAsia"/>
          <w:sz w:val="28"/>
          <w:lang w:eastAsia="zh-CN"/>
        </w:rPr>
        <w:t>一、常温，远红外陶瓷及制品项目市场前景分析</w:t>
      </w:r>
      <w:bookmarkEnd w:id="2"/>
    </w:p>
    <w:p>
      <w:pPr>
        <w:pStyle w:val="Heading2"/>
        <w:rPr>
          <w:rFonts w:ascii="仿宋" w:eastAsia="仿宋" w:hAnsi="仿宋" w:cs="仿宋" w:hint="eastAsia"/>
          <w:lang w:eastAsia="zh-CN"/>
        </w:rPr>
      </w:pPr>
      <w:bookmarkStart w:id="3" w:name="_Toc6025"/>
      <w:r>
        <w:rPr>
          <w:rFonts w:ascii="仿宋" w:eastAsia="仿宋" w:hAnsi="仿宋" w:cs="仿宋" w:hint="eastAsia"/>
          <w:lang w:eastAsia="zh-CN"/>
        </w:rPr>
        <w:t>(一)、建设地经济发展概况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常温，远红外陶瓷及制品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为适应经济快速发展的需要，建设地加大了对基础设施建设的投入。新建、改建的高速公路、城市轨道交通、现代化港口等常温，远红外陶瓷及制品项目得到了快速推进，提高了城市的综合竞争力。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建设地注重生态环境保护和可持续发展。实施了大规模的环境治理常温，远红外陶瓷及制品项目，提升了空气质量和水质。同时，该地推动绿色产业和清洁能源的发展，致力于打造宜居宜业的城市环境。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建设地积极参与区域合作和国际交往，拓展了多领域的国际合作常温，远红外陶瓷及制品项目。通过加强国际交流，该地区引进了大量国外优质技术和资金，同时推动了本地产业的对外拓展。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4" w:name="_Toc31483"/>
      <w:r>
        <w:rPr>
          <w:rFonts w:ascii="仿宋" w:eastAsia="仿宋" w:hAnsi="仿宋" w:cs="仿宋" w:hint="eastAsia"/>
          <w:sz w:val="28"/>
          <w:lang w:eastAsia="zh-CN"/>
        </w:rPr>
        <w:t>(二)、行业市场分析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常温，远红外陶瓷及制品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5" w:name="_Toc29989"/>
      <w:r>
        <w:rPr>
          <w:rFonts w:ascii="仿宋" w:eastAsia="仿宋" w:hAnsi="仿宋" w:cs="仿宋" w:hint="eastAsia"/>
          <w:sz w:val="28"/>
          <w:lang w:eastAsia="zh-CN"/>
        </w:rPr>
        <w:t>二、建设规划</w:t>
      </w:r>
      <w:bookmarkEnd w:id="5"/>
    </w:p>
    <w:p>
      <w:pPr>
        <w:pStyle w:val="Heading2"/>
        <w:rPr>
          <w:rFonts w:ascii="仿宋" w:eastAsia="仿宋" w:hAnsi="仿宋" w:cs="仿宋" w:hint="eastAsia"/>
          <w:lang w:eastAsia="zh-CN"/>
        </w:rPr>
      </w:pPr>
      <w:bookmarkStart w:id="6" w:name="_Toc5139"/>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7" w:name="_Toc24123"/>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常温，远红外陶瓷及制品项目总征地面积XXXX平方米（折合约XX亩），其中：净用地面积XXXX平方米（红线范围折合约XX亩）。常温，远红外陶瓷及制品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常温，远红外陶瓷及制品项目所占用的地面积充分考虑了红线范围，确保了常温，远红外陶瓷及制品项目的合规性和可持续发展。规划建设主体工程和计容建筑面积的设定旨在满足常温，远红外陶瓷及制品项目的生产和办公需求，为企业提供充足的工作空间。预计的建筑工程投资将用于常温，远红外陶瓷及制品项目的基础设施建设，为常温，远红外陶瓷及制品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常温，远红外陶瓷及制品项目计划购置设备共计XX台（套），设备购置费XXXX万元。这些设备涵盖了生产、研发和办公等多个领域，包括先进的生产设备、办公设备和实验室设备等。设备购置费用的投入将确保常温，远红外陶瓷及制品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常温，远红外陶瓷及制品项目计划总投资XXXX万元，预计年实现营业收入XXXX万元。这一部分涵盖了整个常温，远红外陶瓷及制品项目的经济规模和财务计划。总投资将用于常温，远红外陶瓷及制品项目的建设、设备购置、人才引进等多个方面，确保常温，远红外陶瓷及制品项目的全面发展。预计年实现的营业收入则是对常温，远红外陶瓷及制品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8" w:name="_Toc23901"/>
      <w:r>
        <w:rPr>
          <w:rFonts w:ascii="仿宋" w:eastAsia="仿宋" w:hAnsi="仿宋" w:cs="仿宋" w:hint="eastAsia"/>
          <w:sz w:val="28"/>
          <w:lang w:eastAsia="zh-CN"/>
        </w:rPr>
        <w:t>三、工艺分析</w:t>
      </w:r>
      <w:bookmarkEnd w:id="8"/>
    </w:p>
    <w:p>
      <w:pPr>
        <w:pStyle w:val="Heading2"/>
        <w:rPr>
          <w:rFonts w:ascii="仿宋" w:eastAsia="仿宋" w:hAnsi="仿宋" w:cs="仿宋" w:hint="eastAsia"/>
          <w:lang w:eastAsia="zh-CN"/>
        </w:rPr>
      </w:pPr>
      <w:bookmarkStart w:id="9" w:name="_Toc4054"/>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常温，远红外陶瓷及制品项目中显现出多层面的复杂性和有机性。其系统性突显在对广泛技术领域的全面规划和整合，要求各技术要素相互协调，以确保常温，远红外陶瓷及制品项目整体协同。这种系统性要求技术管理者在常温，远红外陶瓷及制品项目中全局思考，以适应多元领域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常温，远红外陶瓷及制品项目进步的引擎。这种创新力使技术管理不仅仅是问题应对，更是常温，远红外陶瓷及制品项目发展的推动力，促使团队在技术层面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常温，远红外陶瓷及制品项目技术方案的综合有效性。</w:t>
      </w:r>
    </w:p>
    <w:p>
      <w:pPr>
        <w:pStyle w:val="Heading2"/>
        <w:ind w:firstLine="560" w:firstLineChars="200"/>
        <w:rPr>
          <w:rFonts w:ascii="仿宋" w:eastAsia="仿宋" w:hAnsi="仿宋" w:cs="仿宋" w:hint="eastAsia"/>
          <w:sz w:val="28"/>
          <w:lang w:eastAsia="zh-CN"/>
        </w:rPr>
      </w:pPr>
      <w:bookmarkStart w:id="10" w:name="_Toc20154"/>
      <w:r>
        <w:rPr>
          <w:rFonts w:ascii="仿宋" w:eastAsia="仿宋" w:hAnsi="仿宋" w:cs="仿宋" w:hint="eastAsia"/>
          <w:sz w:val="28"/>
          <w:lang w:eastAsia="zh-CN"/>
        </w:rPr>
        <w:t>(二)、常温，远红外陶瓷及制品项目工艺技术设计方案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常温，远红外陶瓷及制品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在选择工艺设备时，需要考虑其性能、稳定性和可维护性。设备应符合常温，远红外陶瓷及制品项目的实际需求，并与整个生产流程协同工作，确保设备的使用不成为常温，远红外陶瓷及制品项目的瓶颈。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11" w:name="_Toc7510"/>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常温，远红外陶瓷及制品项目投资风险，最大限度地减少总体常温，远红外陶瓷及制品项目成本。在投资常温，远红外陶瓷及制品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以“先进、高效、实用、节能、可靠”为准则，特别关注常温，远红外陶瓷及制品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常温，远红外陶瓷及制品项目的生产设备具备最佳性能和效益，以满足常温，远红外陶瓷及制品项目长期的发展需求。</w:t>
      </w:r>
    </w:p>
    <w:p>
      <w:pPr>
        <w:pStyle w:val="Heading1"/>
        <w:ind w:firstLine="560" w:firstLineChars="200"/>
        <w:rPr>
          <w:rFonts w:ascii="仿宋" w:eastAsia="仿宋" w:hAnsi="仿宋" w:cs="仿宋" w:hint="eastAsia"/>
          <w:sz w:val="28"/>
          <w:lang w:eastAsia="zh-CN"/>
        </w:rPr>
      </w:pPr>
      <w:bookmarkStart w:id="12" w:name="_Toc9502"/>
      <w:r>
        <w:rPr>
          <w:rFonts w:ascii="仿宋" w:eastAsia="仿宋" w:hAnsi="仿宋" w:cs="仿宋" w:hint="eastAsia"/>
          <w:sz w:val="28"/>
          <w:lang w:eastAsia="zh-CN"/>
        </w:rPr>
        <w:t>四、常温，远红外陶瓷及制品项目基本情况</w:t>
      </w:r>
      <w:bookmarkEnd w:id="12"/>
    </w:p>
    <w:p>
      <w:pPr>
        <w:pStyle w:val="Heading2"/>
        <w:rPr>
          <w:rFonts w:ascii="仿宋" w:eastAsia="仿宋" w:hAnsi="仿宋" w:cs="仿宋" w:hint="eastAsia"/>
          <w:lang w:eastAsia="zh-CN"/>
        </w:rPr>
      </w:pPr>
      <w:bookmarkStart w:id="13" w:name="_Toc12961"/>
      <w:r>
        <w:rPr>
          <w:rFonts w:ascii="仿宋" w:eastAsia="仿宋" w:hAnsi="仿宋" w:cs="仿宋" w:hint="eastAsia"/>
          <w:lang w:eastAsia="zh-CN"/>
        </w:rPr>
        <w:t>(一)、常温，远红外陶瓷及制品项目名称及建设性质</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常温，远红外陶瓷及制品项目名称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常温，远红外陶瓷及制品项目名称：XXX常温，远红外陶瓷及制品项目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常温，远红外陶瓷及制品项目建设性质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常温，远红外陶瓷及制品项目属于新建常温，远红外陶瓷及制品项目，依托xx区良好的产业基础和创新氛围，充分发挥区位优势，全力打造以xxx为核心的综合性产业基地。预计年产值可达XXX万元。这一新兴常温，远红外陶瓷及制品项目将在新区的发展中发挥重要作用，推动产业升级和区域经济的可持续增长。</w:t>
      </w:r>
    </w:p>
    <w:p>
      <w:pPr>
        <w:pStyle w:val="Heading2"/>
        <w:ind w:firstLine="560" w:firstLineChars="200"/>
        <w:rPr>
          <w:rFonts w:ascii="仿宋" w:eastAsia="仿宋" w:hAnsi="仿宋" w:cs="仿宋" w:hint="eastAsia"/>
          <w:sz w:val="28"/>
          <w:lang w:eastAsia="zh-CN"/>
        </w:rPr>
      </w:pPr>
      <w:bookmarkStart w:id="14" w:name="_Toc23669"/>
      <w:r>
        <w:rPr>
          <w:rFonts w:ascii="仿宋" w:eastAsia="仿宋" w:hAnsi="仿宋" w:cs="仿宋" w:hint="eastAsia"/>
          <w:sz w:val="28"/>
          <w:lang w:eastAsia="zh-CN"/>
        </w:rPr>
        <w:t>(二)、常温，远红外陶瓷及制品项目承办单位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pStyle w:val="Heading2"/>
        <w:ind w:firstLine="560" w:firstLineChars="200"/>
        <w:rPr>
          <w:rFonts w:ascii="仿宋" w:eastAsia="仿宋" w:hAnsi="仿宋" w:cs="仿宋" w:hint="eastAsia"/>
          <w:sz w:val="28"/>
          <w:lang w:eastAsia="zh-CN"/>
        </w:rPr>
      </w:pPr>
      <w:bookmarkStart w:id="15" w:name="_Toc25871"/>
      <w:r>
        <w:rPr>
          <w:rFonts w:ascii="仿宋" w:eastAsia="仿宋" w:hAnsi="仿宋" w:cs="仿宋" w:hint="eastAsia"/>
          <w:sz w:val="28"/>
          <w:lang w:eastAsia="zh-CN"/>
        </w:rPr>
        <w:t>(三)、战略合作单位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xxx集团有限公司</w:t>
      </w:r>
    </w:p>
    <w:p>
      <w:pPr>
        <w:pStyle w:val="Heading2"/>
        <w:ind w:firstLine="560" w:firstLineChars="200"/>
        <w:rPr>
          <w:rFonts w:ascii="仿宋" w:eastAsia="仿宋" w:hAnsi="仿宋" w:cs="仿宋" w:hint="eastAsia"/>
          <w:sz w:val="28"/>
          <w:lang w:eastAsia="zh-CN"/>
        </w:rPr>
      </w:pPr>
      <w:bookmarkStart w:id="16" w:name="_Toc364"/>
      <w:r>
        <w:rPr>
          <w:rFonts w:ascii="仿宋" w:eastAsia="仿宋" w:hAnsi="仿宋" w:cs="仿宋" w:hint="eastAsia"/>
          <w:sz w:val="28"/>
          <w:lang w:eastAsia="zh-CN"/>
        </w:rPr>
        <w:t>(四)、常温，远红外陶瓷及制品项目提出的理由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位置优势： XX区具有良好的产业基础和创新氛围，为新兴产业的发展提供了有力支持。常温，远红外陶瓷及制品项目能够充分借助XX区的产业集聚效应和科技创新环境，更好地融入当地经济体系。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2. 区位优势： 常温，远红外陶瓷及制品项目充分发挥地理位置的优势，依托XX区的区位条件，更便利地接触市场、原材料和人才资源。这将有助于常温，远红外陶瓷及制品项目的顺利推进和市场开拓。</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综合性产业基地： 该常温，远红外陶瓷及制品项目定位为以油墨为核心的综合性产业基地，这不仅能够满足市场对油墨产品的需求，还能够在油墨产业链上实现产业多元化，提高产值和经济效益。</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年产值潜力：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常温，远红外陶瓷及制品项目规模较大，预计年产值可达XXX万元，这对于XX区的经济发展具有显著的促进作用。高产值意味着常温，远红外陶瓷及制品项目将为当地提供更多的就业机会，同时也能够为地方财政做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5. 产业升级： 通过全力打造以油墨为核心的产业基地，常温，远红外陶瓷及制品项目将推动相关产业的升级和发展。这有助于提升当地产业结构，增加高附加值产业的比重，促进区域产业的可持续发展。</w:t>
      </w:r>
    </w:p>
    <w:p>
      <w:pPr>
        <w:pStyle w:val="Heading2"/>
        <w:ind w:firstLine="560" w:firstLineChars="200"/>
        <w:rPr>
          <w:rFonts w:ascii="仿宋" w:eastAsia="仿宋" w:hAnsi="仿宋" w:cs="仿宋" w:hint="eastAsia"/>
          <w:sz w:val="28"/>
          <w:lang w:eastAsia="zh-CN"/>
        </w:rPr>
      </w:pPr>
      <w:bookmarkStart w:id="17" w:name="_Toc28808"/>
      <w:r>
        <w:rPr>
          <w:rFonts w:ascii="仿宋" w:eastAsia="仿宋" w:hAnsi="仿宋" w:cs="仿宋" w:hint="eastAsia"/>
          <w:sz w:val="28"/>
          <w:lang w:eastAsia="zh-CN"/>
        </w:rPr>
        <w:t>(五)、原材料供应</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常温，远红外陶瓷及制品项目所需的主要原材料及辅助材料包括 Xxx、xxx、xx、xxx、xx 等，经过严格筛选，xxx 投资公司已经确保选择的供货单位完全能够稳定供应上述所需原料。这些供货商不仅具备高质量的产品和稳定的供货能力，而且与公司已建立了密切的合作关系，为常温，远红外陶瓷及制品项目提供了可靠的原辅材料供应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供货商的选择是基于其在行业内的声誉、生产能力、质量管理体系以及服务水平等多方面的考量。通过与供货商的深入合作，双方建立了互信互利的伙伴关系，确保了常温，远红外陶瓷及制品项目正常经营所需原辅材料的高质量供应。</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这些供货商不仅能够保障常温，远红外陶瓷及制品项目的当前需求，而且能够满足</w:t>
      </w:r>
      <w:r>
        <w:rPr>
          <w:rFonts w:ascii="仿宋" w:eastAsia="仿宋" w:hAnsi="仿宋" w:cs="仿宋" w:hint="eastAsia"/>
          <w:sz w:val="28"/>
          <w:lang w:eastAsia="zh-CN"/>
        </w:rPr>
        <w:t xml:space="preserve">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投资公司今后进一步扩大生产规模的预期要求。公司与供货商之间的战略合作关系意味着在未来扩大规模的同时，供货商将积极响应，提供足够的支持，确保原材料供应链的可持续性和灵活性。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通过这一合理而有力的供应链管理，xxx 投资公司将能够确保常温，远红外陶瓷及制品项目在原材料采购和供应方面的高效运作，为常温，远红外陶瓷及制品项目的稳健发展打下坚实基础。</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25228"/>
      <w:r>
        <w:rPr>
          <w:rFonts w:ascii="仿宋" w:eastAsia="仿宋" w:hAnsi="仿宋" w:cs="仿宋" w:hint="eastAsia"/>
          <w:sz w:val="28"/>
          <w:lang w:eastAsia="zh-CN"/>
        </w:rPr>
        <w:t>(六)、常温，远红外陶瓷及制品项目能耗分析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能源类型： 确定常温，远红外陶瓷及制品项目所使用的主要能源类型，例如电力、天然气、燃油等。了解能源类型将有助于集中分析各种能源的使用情况。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能源消耗量： 收集并记录常温，远红外陶瓷及制品项目在生产过程中各种能源的消耗量。这可以通过监测设备、能源计量仪器以及相关数据记录来实现。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生产阶段分析： 将能耗分解到不同的生产阶段，以便更具体地了解哪些环节对总能耗贡献最大。这有助于有针对性地采取节能措施。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设备效能： 评估和比较各种生产设备的能源效能。确定是否存在能效较低的设备，以便进行升级或替换，以降低能源消耗。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工艺优化： 通过工艺优化来减少能源浪费。可能的优化措施包括提高设备利用率、优化生产流程、改善产品设计等。</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能效改进常温，远红外陶瓷及制品项目：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考虑实施能效改进常温，远红外陶瓷及制品项目，例如更换节能设备、采用新的生产技术、改进维护和操作方法等。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再生能源应用： 探索并评估再生能源在常温，远红外陶瓷及制品项目中的应用可能性。例如，考虑采用太阳能、风能等可再生能源来部分或完全满足能源需求。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8. 员工培训： 培训员工，使其认识到能源节约的重要性，并提供相关的操作和维护指导，以确保设备的有效运行。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9. 定期审查： 建立定期审查机制，对能源使用情况进行评估，及时调整和改进能源管理策略。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10. 法规合规性： 确保常温，远红外陶瓷及制品项目的能耗活动符合相关法规和环境保护标准。</w:t>
      </w:r>
    </w:p>
    <w:p>
      <w:pPr>
        <w:pStyle w:val="Heading2"/>
        <w:ind w:firstLine="560" w:firstLineChars="200"/>
        <w:rPr>
          <w:rFonts w:ascii="仿宋" w:eastAsia="仿宋" w:hAnsi="仿宋" w:cs="仿宋" w:hint="eastAsia"/>
          <w:sz w:val="28"/>
          <w:lang w:eastAsia="zh-CN"/>
        </w:rPr>
      </w:pPr>
      <w:bookmarkStart w:id="19" w:name="_Toc27301"/>
      <w:r>
        <w:rPr>
          <w:rFonts w:ascii="仿宋" w:eastAsia="仿宋" w:hAnsi="仿宋" w:cs="仿宋" w:hint="eastAsia"/>
          <w:sz w:val="28"/>
          <w:lang w:eastAsia="zh-CN"/>
        </w:rPr>
        <w:t>(七)、环境保护</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常温，远红外陶瓷及制品项目紧密契合xx区的发展规划，符合该区产业结构调整规划以及国家的产业发展政策。在常温，远红外陶瓷及制品项目规划中，我们充分考虑了区域的可持续发展需求，确保常温，远红外陶瓷及制品项目建设不仅符合国家政策，也与当地的产业发展方向相一致。</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为了保护环境，我们采取了切实可行的治理措施，严格控制各类污染物的排放，确保常温，远红外陶瓷及制品项目的生产活动在国家规定的排放标准内。常温，远红外陶瓷及制品项目建设阶段及运营后，我们将持续监测和管理排放，以确保常温，远红外陶瓷及制品项目对区域生态环境不会产生明显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方面，我们坚持清洁生产的理念，采用先进的清洁生产工艺，应用清洁原材料，以生产清洁产品为目标。通过这一策略，我们旨在消除和减少污染，实现生产与环境的协调共生。常温，远红外陶瓷及制品项目建成并投产后，各项环境指标将严格符合国家和地方清洁生产的标准要求，确保常温，远红外陶瓷及制品项目的运营不仅不损害环境，还有助于地区的生态健康。</w:t>
      </w:r>
    </w:p>
    <w:p>
      <w:pPr>
        <w:pStyle w:val="Heading2"/>
        <w:ind w:firstLine="560" w:firstLineChars="200"/>
        <w:rPr>
          <w:rFonts w:ascii="仿宋" w:eastAsia="仿宋" w:hAnsi="仿宋" w:cs="仿宋" w:hint="eastAsia"/>
          <w:sz w:val="28"/>
          <w:lang w:eastAsia="zh-CN"/>
        </w:rPr>
      </w:pPr>
      <w:bookmarkStart w:id="20" w:name="_Toc9053"/>
      <w:r>
        <w:rPr>
          <w:rFonts w:ascii="仿宋" w:eastAsia="仿宋" w:hAnsi="仿宋" w:cs="仿宋" w:hint="eastAsia"/>
          <w:sz w:val="28"/>
          <w:lang w:eastAsia="zh-CN"/>
        </w:rPr>
        <w:t>(八)、常温，远红外陶瓷及制品项目建设符合性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法规合规性： 确保常温，远红外陶瓷及制品项目的规划和建设符合当地和国家的法规和政策要求。这可能涉及土地使用、环保、建筑规范、安全等方面的法规。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环境影响评价： 进行全面的环境影响评价，确保常温，远红外陶瓷及制品项目建设和运营不会对周围环境产生负面影响。在评估中，考虑空气、水、土壤质量以及生态系统的保护。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社会责任： 常温，远红外陶瓷及制品项目建设应考虑社会责任，确保常温，远红外陶瓷及制品项目对当地社区的影响是积极的。这可能包括就业机会、社区发展常温，远红外陶瓷及制品项目、文化保护等方面。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安全标准： 遵守相关的安全标准和规范，保障常温，远红外陶瓷及制品项目建设和运营的人员安全。这包括建筑结构的安全性、设备操作的安全规程等。</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技术规范：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确保常温，远红外陶瓷及制品项目采用符合行业标准和技术规范的设计和建设。这有助于常温，远红外陶瓷及制品项目的高效运作和可持续性发展。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 常温，远红外陶瓷及制品项目建设应考虑可持续性原则，包括资源利用效率、能源消耗、废弃物处理等。采用清洁生产和绿色技术，以降低对环境的影响。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公共参与： 常温，远红外陶瓷及制品项目建设阶段应开展公共参与，听取相关利益相关者的意见和建议。这有助于解决可能的争议，提高常温，远红外陶瓷及制品项目在社会中的接受度。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8. 监测和报告： 建立定期监测和报告机制，监控常温，远红外陶瓷及制品项目的建设和运营过程中的符合性。及时发现和解决潜在的问题。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9. 风险管理： 开展全面的风险评估，确保常温，远红外陶瓷及制品项目建设和运营过程中的各种风险能够被有效管理和应对。</w:t>
      </w:r>
    </w:p>
    <w:p>
      <w:pPr>
        <w:pStyle w:val="Heading2"/>
        <w:ind w:firstLine="560" w:firstLineChars="200"/>
        <w:rPr>
          <w:rFonts w:ascii="仿宋" w:eastAsia="仿宋" w:hAnsi="仿宋" w:cs="仿宋" w:hint="eastAsia"/>
          <w:sz w:val="28"/>
          <w:lang w:eastAsia="zh-CN"/>
        </w:rPr>
      </w:pPr>
      <w:bookmarkStart w:id="21" w:name="_Toc986"/>
      <w:r>
        <w:rPr>
          <w:rFonts w:ascii="仿宋" w:eastAsia="仿宋" w:hAnsi="仿宋" w:cs="仿宋" w:hint="eastAsia"/>
          <w:sz w:val="28"/>
          <w:lang w:eastAsia="zh-CN"/>
        </w:rPr>
        <w:t>(九)、常温，远红外陶瓷及制品项目进度规划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常温，远红外陶瓷及制品项目的建设期限规划为XX个月，为了确保常温，远红外陶瓷及制品项目按时高效完成，我们采取了以下措施：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分期分段建设： 将整个常温，远红外陶瓷及制品项目划分为不同的阶段和段落，实施分期建设。这有助于灵活应对各个阶段的工程挑战，确保常温，远红外陶瓷及制品项目有序推进。</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工期目标分解：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对常温，远红外陶瓷及制品项目进行工期目标的详细分解，明确各个主体工程的施工期限。通过科学的工期分解，可以更精准地掌握工程进展。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交叉施工安排： 采用适应性的施工安排，使各主体工程的施工期叉开实施。通过合理的交叉施工，最大限度地缩短整体建设周期。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合理安排设计和采购时间： 承办单位要合理安排设计和采购的时间，确保与施工进度相衔接。设计、采购和设备安装的工作要交叉进行，提高工程进度。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后期工程押后施工： 将投资密度较大的部分工程尽量押后施工，例如其他配套工程等。这有助于合理分配资源，保证常温，远红外陶瓷及制品项目各方面的平衡发展。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提前进行设计工作： 在技术交流谈判的同时，提前进行设计工作。这样可以在常温，远红外陶瓷及制品项目正式启动前解决一些技术问题，为后续施工提供有力支持。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提前设计和定货： 针对制造周期较长的设备，提前进行设计工作，并提前定货。确保这些关键设备在需要时能够及时到位，避免因设备制造周期导致的延误。</w:t>
      </w:r>
    </w:p>
    <w:p>
      <w:pPr>
        <w:ind w:firstLine="560" w:firstLineChars="200"/>
        <w:rPr>
          <w:rFonts w:ascii="仿宋" w:eastAsia="仿宋" w:hAnsi="仿宋" w:cs="仿宋" w:hint="eastAsia"/>
          <w:sz w:val="28"/>
        </w:rPr>
      </w:pPr>
      <w:r>
        <w:rPr>
          <w:rFonts w:ascii="仿宋" w:eastAsia="仿宋" w:hAnsi="仿宋" w:cs="仿宋" w:hint="eastAsia"/>
          <w:sz w:val="28"/>
          <w:lang w:eastAsia="zh-CN"/>
        </w:rPr>
        <w:t>8. 超前融资计划： 融资计划应比资金投入计划超前，确保资金的及时投入。在资金计划中留有一定的余地，以防万一情况的发生。</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通过以上规划和措施，我们旨在保障常温，远红外陶瓷及制品项目建设期限的合理安排，最大程度地降低建设周期，确保常温，远红外陶瓷及制品项目按计划推进。</w:t>
      </w:r>
    </w:p>
    <w:p>
      <w:pPr>
        <w:pStyle w:val="Heading2"/>
        <w:ind w:firstLine="560" w:firstLineChars="200"/>
        <w:rPr>
          <w:rFonts w:ascii="仿宋" w:eastAsia="仿宋" w:hAnsi="仿宋" w:cs="仿宋" w:hint="eastAsia"/>
          <w:sz w:val="28"/>
          <w:lang w:eastAsia="zh-CN"/>
        </w:rPr>
      </w:pPr>
      <w:bookmarkStart w:id="22" w:name="_Toc2405"/>
      <w:r>
        <w:rPr>
          <w:rFonts w:ascii="仿宋" w:eastAsia="仿宋" w:hAnsi="仿宋" w:cs="仿宋" w:hint="eastAsia"/>
          <w:sz w:val="28"/>
          <w:lang w:eastAsia="zh-CN"/>
        </w:rPr>
        <w:t>(十)、投资估算及经济效益分析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常温，远红外陶瓷及制品项目总投资及资金构成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常温，远红外陶瓷及制品项目预计总投资为XXXX万元。其中，固定资产投资为XXXX万元，占常温，远红外陶瓷及制品项目总投资的XX%；流动资金为XXXX万元，占常温，远红外陶瓷及制品项目总投资的XX%。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截至目前，常温，远红外陶瓷及制品项目的资金主要由企业自筹。通过内部资金的调动和有效管理，确保常温，远红外陶瓷及制品项目的正常推进和运作。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常温，远红外陶瓷及制品项目预期经济效益规划目标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常温，远红外陶瓷及制品项目达产年的经济效益规划目标如下：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营业收入：XXXX万元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总成本费用：XXXX万元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税金及附加：XXXX万元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利税总额：XXXX万元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税后净利润：XXXX万元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此外，达产年投资利润率为XX%，投资利税率为XX%，投资回报率为XX%，全部投资回收期为XX年。常温，远红外陶瓷及制品项目还将提供XX个就业职位，为当地就业创造积极影响。</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这一经济效益规划目标综合考虑了常温，远红外陶瓷及制品项目的投资、收入、成本、税收等多个方面，为常温，远红外陶瓷及制品项目的经济可持续发展提供了明确的指导和目标。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3" w:name="_Toc28402"/>
      <w:r>
        <w:rPr>
          <w:rFonts w:ascii="仿宋" w:eastAsia="仿宋" w:hAnsi="仿宋" w:cs="仿宋" w:hint="eastAsia"/>
          <w:sz w:val="28"/>
          <w:lang w:eastAsia="zh-CN"/>
        </w:rPr>
        <w:t>(十一)、报告说明</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报告的详尽分析主要包括以下几个方面：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市场和销售： 对市场需求、竞争格局、潜在客户等进行深入研究，明确常温，远红外陶瓷及制品项目产品或服务的市场定位和销售策略。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2. 规模和产品： 对常温，远红外陶瓷及制品项目规模进行科学规划，明确生产的产品或服务种类、特点及市场竞争力。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厂址： 选择适宜的厂址，考虑交通便利性、用地成本、环境因素等，确保常温，远红外陶瓷及制品项目的顺利运作。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原辅料供应： 确保原辅料的稳定供应，分析供应商的可靠性和成本，以降低生产风险。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工艺技术： 对常温，远红外陶瓷及制品项目的生产工艺进行细致研究，确保采用先进、高效、可靠的技术，提高生产效率。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设备选择： 经过仔细比较和选择，确定最适合常温，远红外陶瓷及制品项目需求的生产设备，确保设备的性能和质量符合要求。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人员组织： 确保常温，远红外陶瓷及制品项目团队结构合理，拥有足够的专业人才，并规划培训计划，以提高员工的工作技能。</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实施计划：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制定详细的常温，远红外陶瓷及制品项目实施计划，明确各阶段的任务和时间节点，确保常温，远红外陶瓷及制品项目按计划推进。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投资与成本： 确定常温，远红外陶瓷及制品项目的总投资和各项成本，并进行全面的成本效益分析，确保常温，远红外陶瓷及制品项目的经济可行性。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效益及风险： 对常温，远红外陶瓷及制品项目的预期经济效益进行计算和评价，并对潜在风险进行全面分析，为决策者提供风险应对策略。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通过以上分析，报告将为投资决策提供全面的、有据可依的科学依据。其细致入微的论证和评价将使投资方能够清晰地了解常温，远红外陶瓷及制品项目的各个方面，为未来的投资决策提供有力支持。</w:t>
      </w:r>
    </w:p>
    <w:p>
      <w:pPr>
        <w:pStyle w:val="Heading2"/>
        <w:ind w:firstLine="560" w:firstLineChars="200"/>
        <w:rPr>
          <w:rFonts w:ascii="仿宋" w:eastAsia="仿宋" w:hAnsi="仿宋" w:cs="仿宋" w:hint="eastAsia"/>
          <w:sz w:val="28"/>
          <w:lang w:eastAsia="zh-CN"/>
        </w:rPr>
      </w:pPr>
      <w:bookmarkStart w:id="24" w:name="_Toc23092"/>
      <w:r>
        <w:rPr>
          <w:rFonts w:ascii="仿宋" w:eastAsia="仿宋" w:hAnsi="仿宋" w:cs="仿宋" w:hint="eastAsia"/>
          <w:sz w:val="28"/>
          <w:lang w:eastAsia="zh-CN"/>
        </w:rPr>
        <w:t>(十二)、常温，远红外陶瓷及制品项目评价</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常温，远红外陶瓷及制品项目评价是对常温，远红外陶瓷及制品项目进行全面审查和判定的过程，主要包括市场评价、技术评价、财务评价、工程评价、经济评价和环境评价等多个方面。评价的目的是为决策者提供科学的、客观的信息，以确定常温，远红外陶瓷及制品项目是否值得投资以及如何进行投资。对常温，远红外陶瓷及制品项目评价各个方面的简要说明：</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1. 市场评价： 对常温，远红外陶瓷及制品项目所在市场的需求、竞争格局、潜在客户等进行评估。通过市场评价，可以确定常温，远红外陶瓷及制品项目产品或服务的市场定位、销售策略和市场份额。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技术评价： 对常温，远红外陶瓷及制品项目所采用的生产工艺、设备选择等技术方面进行评估。确保常温，远红外陶瓷及制品项目采用先进、高效、可靠的技术，以提高生产效率和竞争力。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财务评价： 对常温，远红外陶瓷及制品项目的资金筹措、成本结构、财务指标等进行评估。通过财务评价，可以明确常温，远红外陶瓷及制品项目的融资需求、资金运作情况，以及常温，远红外陶瓷及制品项目的盈利能力和财务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工程评价： 对常温，远红外陶瓷及制品项目的规模、建设周期、工程进度等进行评估。确保常温，远红外陶瓷及制品项目在工程实施阶段能够按计划进行，减少施工风险。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经济评价： 对常温，远红外陶瓷及制品项目的经济效益进行计算和评估。包括投资回收期、净现值、内部收益率等指标，以确定常温，远红外陶瓷及制品项目的经济可行性和投资回报。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环境评价： 对常温，远红外陶瓷及制品项目可能对环境产生的影响进行评估。确保常温，远红外陶瓷及制品项目在环保方面符合相关法规和标准，减少对周边环境的负面影响。</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常温，远红外陶瓷及制品项目评价通过对各个方面的全面考量，为决策者提供了关于常温，远红外陶瓷及制品项目全貌的清晰图景。决策者可以根据评价结果，权衡各个方面的利弊，做出明智的投资决策。评价的结果将直接影响到常温，远红外陶瓷及制品项目的可持续发展和投资的成功实施。</w:t>
      </w:r>
    </w:p>
    <w:p>
      <w:pPr>
        <w:pStyle w:val="Heading1"/>
        <w:ind w:firstLine="560" w:firstLineChars="200"/>
        <w:rPr>
          <w:rFonts w:ascii="仿宋" w:eastAsia="仿宋" w:hAnsi="仿宋" w:cs="仿宋" w:hint="eastAsia"/>
          <w:sz w:val="28"/>
          <w:lang w:eastAsia="zh-CN"/>
        </w:rPr>
      </w:pPr>
      <w:bookmarkStart w:id="25" w:name="_Toc2402"/>
      <w:r>
        <w:rPr>
          <w:rFonts w:ascii="仿宋" w:eastAsia="仿宋" w:hAnsi="仿宋" w:cs="仿宋" w:hint="eastAsia"/>
          <w:sz w:val="28"/>
          <w:lang w:eastAsia="zh-CN"/>
        </w:rPr>
        <w:t>五、投资背景及必要性分析</w:t>
      </w:r>
      <w:bookmarkEnd w:id="25"/>
    </w:p>
    <w:p>
      <w:pPr>
        <w:pStyle w:val="Heading2"/>
        <w:rPr>
          <w:rFonts w:ascii="仿宋" w:eastAsia="仿宋" w:hAnsi="仿宋" w:cs="仿宋" w:hint="eastAsia"/>
          <w:lang w:eastAsia="zh-CN"/>
        </w:rPr>
      </w:pPr>
      <w:bookmarkStart w:id="26" w:name="_Toc6892"/>
      <w:r>
        <w:rPr>
          <w:rFonts w:ascii="仿宋" w:eastAsia="仿宋" w:hAnsi="仿宋" w:cs="仿宋" w:hint="eastAsia"/>
          <w:lang w:eastAsia="zh-CN"/>
        </w:rPr>
        <w:t>(一)、常温，远红外陶瓷及制品项目承办单位背景分析</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概况：XX有限公司是一家在XX行业具有丰富经验和卓越业绩的企业。成立于XXXX年，公司总部位于XX市，目前拥有一支专业的管理团队和技术团队，致力于提供高质量的产品和服务。公司秉承“创新、质量、服务”的理念，不断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业务范围：公司主要从事XX领域的生产和销售，涵盖了XX、XX、XX等领域。公司产品以其高品质和先进技术在市场上赢得了良好的口碑。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发展历程：公司经过多年的发展，已经建立了稳定的市场地位。先后获得了多项荣誉和认证，是行业内的佼佼者。公司始终秉持着诚信经营、客户至上的原则，与众多客户建立了长期合作关系。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公司经济效益分析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公司经济效益在过去几年取得了显著的成果。公司经济效益的主要亮点：</w:t>
      </w:r>
    </w:p>
    <w:p>
      <w:pPr>
        <w:ind w:firstLine="560" w:firstLineChars="200"/>
        <w:rPr>
          <w:rFonts w:ascii="仿宋" w:eastAsia="仿宋" w:hAnsi="仿宋" w:cs="仿宋" w:hint="eastAsia"/>
          <w:sz w:val="28"/>
        </w:rPr>
      </w:pPr>
      <w:r>
        <w:rPr>
          <w:rFonts w:ascii="仿宋" w:eastAsia="仿宋" w:hAnsi="仿宋" w:cs="仿宋" w:hint="eastAsia"/>
          <w:sz w:val="28"/>
          <w:lang w:eastAsia="zh-CN"/>
        </w:rPr>
        <w:t>1. 营业收入增长： 公司在过去三年中，营业收入呈现稳步增长的趋势，主要得益于产品市场需求的提升和市场份额的扩大。</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2. 盈利能力提升： 公司的盈利能力逐年提升，净利润持续增加。这主要归功于公司在产品研发、生产管理和市场拓展方面的不断优化。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资产稳健： 公司的资产结构健康，资产回报率保持在行业领先水平。这表明公司在资金运作和资产配置方面具备较强的管理水平。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市场份额提升： 公司成功扩大了市场份额，成为行业内的重要参与者。通过提高产品质量和服务水平，公司赢得了客户的信任，增强了市场竞争力。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持续创新： 公司注重技术创新和产品研发，推出了一系列领先行业的产品。这为公司在市场上保持竞争力提供了有力支持。</w:t>
      </w:r>
    </w:p>
    <w:p>
      <w:pPr>
        <w:pStyle w:val="Heading2"/>
        <w:ind w:firstLine="560" w:firstLineChars="200"/>
        <w:rPr>
          <w:rFonts w:ascii="仿宋" w:eastAsia="仿宋" w:hAnsi="仿宋" w:cs="仿宋" w:hint="eastAsia"/>
          <w:sz w:val="28"/>
          <w:lang w:eastAsia="zh-CN"/>
        </w:rPr>
      </w:pPr>
      <w:bookmarkStart w:id="27" w:name="_Toc29504"/>
      <w:r>
        <w:rPr>
          <w:rFonts w:ascii="仿宋" w:eastAsia="仿宋" w:hAnsi="仿宋" w:cs="仿宋" w:hint="eastAsia"/>
          <w:sz w:val="28"/>
          <w:lang w:eastAsia="zh-CN"/>
        </w:rPr>
        <w:t>(二)、产业政策及发展规划</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及发展规划是企业在特定行业运营中必须关注和遵循的重要指导原则。对于XX有限公司而言，制定明晰的产业政策和发展规划至关重要，以适应行业的发展趋势和政府的相关政策。该公司在产业政策和发展规划方面的主要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政府政策关注： 公司将密切关注相关政府部门出台的产业政策。这包括关于技术创新、环保标准、产业发展方向等方面的政策。及时了解并遵循这些政策对公司的长期发展至关重要。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技术创新导向： 公司将注重技术创新，积极采用先进的生产工艺和设备。通过不断提升技术水平，公司可以在行业中保持竞争优势，并满足市场对高质量产品的需求。</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3. 环保要求履行： 公司将遵循并超越国家和地方的环保标准。在生产过程中，注重降低能耗、减少排放，实施清洁生产，以确保企业的可持续发展。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市场需求预测： 公司将通过市场调研，准确了解市场需求和趋势。基于市场的变化，灵活调整产品结构和服务，以满足客户不断变化的需求。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合规经营： 公司将始终遵循各项法规和政策，确保经营活动的合法合规性。建立健全的内部管理制度，进行规范的财务和经营报告，保持企业的良好声誉。</w:t>
      </w:r>
    </w:p>
    <w:p>
      <w:pPr>
        <w:ind w:firstLine="560" w:firstLineChars="200"/>
        <w:rPr>
          <w:rFonts w:ascii="仿宋" w:eastAsia="仿宋" w:hAnsi="仿宋" w:cs="仿宋" w:hint="eastAsia"/>
          <w:sz w:val="28"/>
        </w:rPr>
      </w:pPr>
      <w:r>
        <w:rPr>
          <w:rFonts w:ascii="仿宋" w:eastAsia="仿宋" w:hAnsi="仿宋" w:cs="仿宋" w:hint="eastAsia"/>
          <w:sz w:val="28"/>
          <w:lang w:eastAsia="zh-CN"/>
        </w:rPr>
        <w:t>6. 人才培养： 公司将注重人才培养和引进，建立完善的人才梯队。通过培训和激励机制，激发员工的创新潜力，为公司的可持续发展提供人才支持。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国际市场拓展： 公司将积极响应国家政策，拓展国际市场。通过与国际同行合作、参与国际展会等方式，提升公司在国际市场的竞争力。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通过制定科学合理的产业政策和发展规划，XX有限公司将能够更好地适应外部环境的变化，确保企业在行业中稳健发展，为实施常温，远红外陶瓷及制品项目提供坚实支持。</w:t>
      </w:r>
    </w:p>
    <w:p>
      <w:pPr>
        <w:pStyle w:val="Heading2"/>
        <w:ind w:firstLine="560" w:firstLineChars="200"/>
        <w:rPr>
          <w:rFonts w:ascii="仿宋" w:eastAsia="仿宋" w:hAnsi="仿宋" w:cs="仿宋" w:hint="eastAsia"/>
          <w:sz w:val="28"/>
          <w:lang w:eastAsia="zh-CN"/>
        </w:rPr>
      </w:pPr>
      <w:bookmarkStart w:id="28" w:name="_Toc17632"/>
      <w:r>
        <w:rPr>
          <w:rFonts w:ascii="仿宋" w:eastAsia="仿宋" w:hAnsi="仿宋" w:cs="仿宋" w:hint="eastAsia"/>
          <w:sz w:val="28"/>
          <w:lang w:eastAsia="zh-CN"/>
        </w:rPr>
        <w:t>(三)、鼓励中小企业发展</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融资支持： 通过建立专门的中小企业融资渠道，提供低息贷款、创业担保贷款、风险投资等融资工具，帮助中小企业解决融资难题，推动其良性发展。</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技术创新支持：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鼓励中小企业进行技术创新，设立专项资金支持科技研发常温，远红外陶瓷及制品项目。提供创新券、科技补贴等奖励措施，推动中小企业提升技术水平，增强市场竞争力。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税收优惠政策： 制定税收政策，对中小企业给予适当的减免税收优惠，降低其经营成本。例如，减免企业所得税、增值税减免、研发费用税前扣除等政策。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创业培训和咨询服务： 提供免费或低成本的创业培训和咨询服务，帮助中小企业提升管理水平、市场拓展能力，降低创业风险。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市场准入便利化： 简化中小企业市场准入手续，降低市场准入门槛。减少行政审批环节，提高创业和经营的便利性，激发中小企业的创业热情。</w:t>
      </w:r>
    </w:p>
    <w:p>
      <w:pPr>
        <w:ind w:firstLine="560" w:firstLineChars="200"/>
        <w:rPr>
          <w:rFonts w:ascii="仿宋" w:eastAsia="仿宋" w:hAnsi="仿宋" w:cs="仿宋" w:hint="eastAsia"/>
          <w:sz w:val="28"/>
        </w:rPr>
      </w:pPr>
      <w:r>
        <w:rPr>
          <w:rFonts w:ascii="仿宋" w:eastAsia="仿宋" w:hAnsi="仿宋" w:cs="仿宋" w:hint="eastAsia"/>
          <w:sz w:val="28"/>
          <w:lang w:eastAsia="zh-CN"/>
        </w:rPr>
        <w:t>6. 国际合作与对外贸易支持： 鼓励中小企业参与国际市场竞争，提供国际市场开拓的支持政策。为中小企业提供国际合作平台，促进对外贸易合作。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人才引进和培养： 实施人才引进计划，为中小企业引进高层次、高技能的专业人才。同时，通过培训计划提升中小企业员工的综合素质。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8. 绿色可持续发展： 鼓励中小企业采用绿色生产方式，推动可持续发展。制定环保和绿色产业的相关政策，引导中小企业逐步实现绿色转型。</w:t>
      </w:r>
    </w:p>
    <w:p>
      <w:pPr>
        <w:pStyle w:val="Heading2"/>
        <w:ind w:firstLine="560" w:firstLineChars="200"/>
        <w:rPr>
          <w:rFonts w:ascii="仿宋" w:eastAsia="仿宋" w:hAnsi="仿宋" w:cs="仿宋" w:hint="eastAsia"/>
          <w:sz w:val="28"/>
          <w:lang w:eastAsia="zh-CN"/>
        </w:rPr>
      </w:pPr>
      <w:bookmarkStart w:id="29" w:name="_Toc31710"/>
      <w:r>
        <w:rPr>
          <w:rFonts w:ascii="仿宋" w:eastAsia="仿宋" w:hAnsi="仿宋" w:cs="仿宋" w:hint="eastAsia"/>
          <w:sz w:val="28"/>
          <w:lang w:eastAsia="zh-CN"/>
        </w:rPr>
        <w:t>(四)、宏观经济形势分析</w:t>
      </w:r>
      <w:bookmarkEnd w:id="29"/>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我国的GDP增长率表现强劲。根据最新的统计数据，上一季度我国的GDP增速达到了X.X%，显示出经济持续增长的势头。这一增长主要得益于消费升级、科技创新以及政府采取的积极财政政策，为企业提供了更广阔的市场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通货膨胀率保持在合理水平。尽管在全球范围内存在一些通货膨胀的压力，但我国通过有效的宏观调控，成功地保持了通货膨胀率在目标范围内。这有助于维护货币的稳定，为企业提供了更加可控的经营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失业率方面，尽管受到疫情等因素的影响，失业率有所上升，但政府积极采取就业刺激政策，通过扩大内需、促进创业等方式，努力缓解就业压力，为社会提供更多就业机会。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在财政政策方面，政府加大了对基础设施建设和高技术产业的投入，通过提高政府支出来刺激经济增长。这为相关产业提供了更多的发展机会，也有望带动更多中小企业的壮大。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货币政策上，央行继续实施稳健的货币政策，保持流动性合理充裕。这有助于支持企业的融资需求，降低融资成本，推动实体经济的发展。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国际贸易方面，我国积极参与全球贸易体系，加强与多个国家的合作。同时，我国继续推进贸易便利化和开放政策，为企业提供更广泛的市场和更多的合作机会。</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总体而言，我国的宏观经济形势呈现出积极的趋势，为企业提供了丰富的发展机遇。然而，也需要企业密切关注全球经济环境的变化，灵活调整经营策略，以更好地应对不确定性因素，确保稳健发展。</w:t>
      </w:r>
    </w:p>
    <w:p>
      <w:pPr>
        <w:pStyle w:val="Heading2"/>
        <w:ind w:firstLine="560" w:firstLineChars="200"/>
        <w:rPr>
          <w:rFonts w:ascii="仿宋" w:eastAsia="仿宋" w:hAnsi="仿宋" w:cs="仿宋" w:hint="eastAsia"/>
          <w:sz w:val="28"/>
          <w:lang w:eastAsia="zh-CN"/>
        </w:rPr>
      </w:pPr>
      <w:bookmarkStart w:id="30" w:name="_Toc24631"/>
      <w:r>
        <w:rPr>
          <w:rFonts w:ascii="仿宋" w:eastAsia="仿宋" w:hAnsi="仿宋" w:cs="仿宋" w:hint="eastAsia"/>
          <w:sz w:val="28"/>
          <w:lang w:eastAsia="zh-CN"/>
        </w:rPr>
        <w:t>(五)、区域经济发展概况</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一、地理位置及资源优势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该区域位于XXX地区，具有得天独厚的地理位置优势。地理位置的便利性对区域的经济发展起到积极的推动作用，有利于物流、贸易和人员流动。</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该区域拥有丰富的自然资源，如XXX、XXX等，为产业发展提供了坚实的基础。这些资源的合理开发利用是该区域经济可持续发展的重要保障。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二、产业结构及特色产业</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该区域的产业结构呈现出多元化的特点。传统产业与新兴产业相结合，形成了较为完善的产业体系。特别是XXX领域的发展相对较为突出，成为该区域的特色产业之一。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新兴产业方面，科技创新、高端制造等领域逐渐崭露头角，为该区域经济注入了新的活力。政府对新兴产业的扶持政策也进一步促进了这些领域的发展。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三、投资环境及政策支持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该区域的投资环境相对较好。政府通过一系列政策和措施鼓励企业投资兴业，提供税收优惠、用地支持等政策，吸引了一批知名企业在此设立生产基地或研发中心。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政府还积极推动营商环境的改善，简化行政手续，提高服务效率，降低企业运营成本，为投资者提供更便利的发展环境。</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四、基础设施建设及城市化水平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该区域的基础设施建设相对完善。交通网络、能源供应、信息技术等基础设施水平较高，为企业提供了便捷的生产和生活条件。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城市化水平逐渐提升，城市规划与建设得到有效推动。新建的城市区域吸引了大量人口流入，形成了人口、产业、文化等多方面的融合效应。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五、社会服务水平及人才储备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该区域的社会服务水平相对较高，教育、医疗、文化等领域得到了有效的支持和提升。这为企业提供了更好的人才保障和劳动力素质。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人才储备方面，该区域培养了一批高素质的专业人才，为企业的技术创新和管理提供了强有力的支持。同时，政府还采取措施吸引外部优秀人才，形成了人才资源的集聚效应。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六、环境保护与可持续发展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该区域注重环境保护和可持续发展。政府出台了一系列环保政策，推动企业进行清洁生产，加强资源利用效率，努力实现经济增长与环境保护的良性互动。</w:t>
      </w:r>
    </w:p>
    <w:p>
      <w:pPr>
        <w:pStyle w:val="Heading2"/>
        <w:ind w:firstLine="560" w:firstLineChars="200"/>
        <w:rPr>
          <w:rFonts w:ascii="仿宋" w:eastAsia="仿宋" w:hAnsi="仿宋" w:cs="仿宋" w:hint="eastAsia"/>
          <w:sz w:val="28"/>
          <w:lang w:eastAsia="zh-CN"/>
        </w:rPr>
      </w:pPr>
      <w:bookmarkStart w:id="31" w:name="_Toc12381"/>
      <w:r>
        <w:rPr>
          <w:rFonts w:ascii="仿宋" w:eastAsia="仿宋" w:hAnsi="仿宋" w:cs="仿宋" w:hint="eastAsia"/>
          <w:sz w:val="28"/>
          <w:lang w:eastAsia="zh-CN"/>
        </w:rPr>
        <w:t>(六)、常温，远红外陶瓷及制品项目必要性分析</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一、市场需求</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常温，远红外陶瓷及制品项目的实施是否能够满足当前市场的需求是常温，远红外陶瓷及制品项目必要性的首要考量。通过市场调研和需求分析，我们发现目标市场存在对相关产品或服务的需求。常温，远红外陶瓷及制品项目的推动将能够填补市场空白，满足客户的需求，有望取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二、行业发展趋势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所处行业的发展趋势对常温，远红外陶瓷及制品项目的必要性评估至关重要。如果行业正处于增长期或具有良好的前景，常温，远红外陶瓷及制品项目实施将更具有前瞻性。相反，如果行业饱和或面临下行趋势，常温，远红外陶瓷及制品项目的必要性可能会受到质疑。</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三、技术创新与竞争力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常温，远红外陶瓷及制品项目是否引入了新的技术或提升了企业的竞争力也是必要性的考量因素。如果常温，远红外陶瓷及制品项目能够带来技术创新，提高产品或服务的质量和效率，将有助于企业在市场竞争中占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四、资源优势与战略布局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常温，远红外陶瓷及制品项目实施是否充分发挥了企业的资源优势，并符合其长期战略规划也是必要性分析的一部分。常温，远红外陶瓷及制品项目应该与企业整体战略相契合，使得企业在资源配置上更具效益。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五、政策和法规支持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常温，远红外陶瓷及制品项目是否符合相关政策和法规，是否能够获得政府的支持也是必要性的重要因素。政策和法规的支持能够降低常温，远红外陶瓷及制品项目的经营风险，提高实施的可行性。</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六、社会效益和可持续发展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外，常温，远红外陶瓷及制品项目对社会的积极贡献和可持续发展也应该得到关注。常温，远红外陶瓷及制品项目是否能够创造就业机会、改善社会环境、促进可持续发展等，都是必要性的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七、风险管理与回报预期</w:t>
      </w:r>
    </w:p>
    <w:p>
      <w:pPr>
        <w:ind w:firstLine="560" w:firstLineChars="200"/>
        <w:rPr>
          <w:rFonts w:ascii="仿宋" w:eastAsia="仿宋" w:hAnsi="仿宋" w:cs="仿宋" w:hint="eastAsia"/>
          <w:sz w:val="28"/>
        </w:rPr>
      </w:pPr>
      <w:r>
        <w:rPr>
          <w:rFonts w:ascii="仿宋" w:eastAsia="仿宋" w:hAnsi="仿宋" w:cs="仿宋" w:hint="eastAsia"/>
          <w:sz w:val="28"/>
          <w:lang w:eastAsia="zh-CN"/>
        </w:rPr>
        <w:t>对常温，远红外陶瓷及制品项目的风险进行全面评估，并与预期回报相权衡，有助于判断常温，远红外陶瓷及制品项目的必要性。常温，远红外陶瓷及制品项目的风险可控性和回报的可实现性是常温，远红外陶瓷及制品项目决策的关键指标之一。</w:t>
      </w:r>
    </w:p>
    <w:p>
      <w:pPr>
        <w:pStyle w:val="Heading1"/>
        <w:ind w:firstLine="560" w:firstLineChars="200"/>
        <w:rPr>
          <w:rFonts w:ascii="仿宋" w:eastAsia="仿宋" w:hAnsi="仿宋" w:cs="仿宋" w:hint="eastAsia"/>
          <w:sz w:val="28"/>
          <w:lang w:eastAsia="zh-CN"/>
        </w:rPr>
      </w:pPr>
      <w:bookmarkStart w:id="32" w:name="_Toc15557"/>
      <w:r>
        <w:rPr>
          <w:rFonts w:ascii="仿宋" w:eastAsia="仿宋" w:hAnsi="仿宋" w:cs="仿宋" w:hint="eastAsia"/>
          <w:sz w:val="28"/>
          <w:lang w:eastAsia="zh-CN"/>
        </w:rPr>
        <w:t>六、员工福利与企业文化</w:t>
      </w:r>
      <w:bookmarkEnd w:id="32"/>
    </w:p>
    <w:p>
      <w:pPr>
        <w:pStyle w:val="Heading2"/>
        <w:rPr>
          <w:rFonts w:ascii="仿宋" w:eastAsia="仿宋" w:hAnsi="仿宋" w:cs="仿宋" w:hint="eastAsia"/>
          <w:lang w:eastAsia="zh-CN"/>
        </w:rPr>
      </w:pPr>
      <w:bookmarkStart w:id="33" w:name="_Toc947"/>
      <w:r>
        <w:rPr>
          <w:rFonts w:ascii="仿宋" w:eastAsia="仿宋" w:hAnsi="仿宋" w:cs="仿宋" w:hint="eastAsia"/>
          <w:lang w:eastAsia="zh-CN"/>
        </w:rPr>
        <w:t>(一)、员工福利政策</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1. 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薪酬福利是员工关注的核心内容之一，直接关系到员工的生活质量和对工作的认同感。企业可以通过以下手段提供有竞争力的薪酬福利：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基本工资： 确保员工的基本工资水平能够满足生活需求，并与行业水平相符。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绩效奖金： 建立科学的绩效考核体系，通过绩效奖金激发员工的工作热情和动力。</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福利补贴：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提供丰富的福利补贴，如交通补贴、通讯补贴、餐补等，以提升员工的实际收入。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福利待遇： 提供完善的社会保险和商业保险，确保员工在面对风险和困难时有相应的保障。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职业发展与培训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为员工提供职业发展和培训机会是企业关心员工成长的体现，也是激发员工积极性的重要手段。相关政策包括：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 制定全面的培训计划，包括入职培训、职业技能培训、管理能力培训等，以提升员工的综合素质。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晋升机制： 建立公平、透明的晋升机制，鼓励员工通过不断学习和提升能力来获得更高职位。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导师制度： 实施导师制度，为员工提供专业指导和职业规划建议，帮助其更好地适应职场环境。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学习资源： 提供员工可以自主学习的学习资源，如在线课程、图书馆资源等，支持员工的个人发展。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工作生活平衡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工作生活平衡政策是越来越受到关注的员工福利方面，对于提高员工的生活质量和工作效能有着积极的作用：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提供弹性工作时间，让员工更好地平衡工作和生活，有助于提升工作效率。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支持远程办公，让员工可以更加自由地选择工作地点，提高工作的便捷性和舒适度。</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带薪休假：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提供丰富的带薪休假政策，包括年假、病假、特殊假期等，保障员工的休息和健康。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 提供健康管理服务，包括定期体检、心理健康辅导等，关心员工的身体和心理健康。</w:t>
      </w:r>
    </w:p>
    <w:p>
      <w:pPr>
        <w:pStyle w:val="Heading2"/>
        <w:ind w:firstLine="560" w:firstLineChars="200"/>
        <w:rPr>
          <w:rFonts w:ascii="仿宋" w:eastAsia="仿宋" w:hAnsi="仿宋" w:cs="仿宋" w:hint="eastAsia"/>
          <w:sz w:val="28"/>
          <w:lang w:eastAsia="zh-CN"/>
        </w:rPr>
      </w:pPr>
      <w:bookmarkStart w:id="34" w:name="_Toc619"/>
      <w:r>
        <w:rPr>
          <w:rFonts w:ascii="仿宋" w:eastAsia="仿宋" w:hAnsi="仿宋" w:cs="仿宋" w:hint="eastAsia"/>
          <w:sz w:val="28"/>
          <w:lang w:eastAsia="zh-CN"/>
        </w:rPr>
        <w:t>(二)、团队建设与员工培训</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1. 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团队建设旨在增强团队成员之间的合作、沟通和协调能力，以提高整个团队的绩效。具体的团队建设策略包括：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明确团队目标： 将团队目标明确传达给每位成员，确保大家对团队的方向和目标有清晰的认识。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促进沟通： 建立开放、透明的沟通渠道，鼓励成员分享观点、意见和反馈，提高团队内部的信息流通效率。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团队活动： 定期组织团队活动，如团建、培训、座谈等，促进团队成员之间的相互了解和交流。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设立明确角色： 明确每位成员的职责和角色，避免工作重叠和责任不清，提高团队协同效率。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奖励机制： 建立激励机制，通过团队目标的实现奖励优秀表现，激发成员的团队合作意识。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员工培训是为了提升员工的专业素养、技能水平，使其更好地适应企业的发展需求。有效的员工培训包括以下关键点：</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在进行培训计划前，对员工的实际需求进行调研和分析，确保培训内容切实符合员工的发展需求。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多样化培训方式： 结合不同学习风格和需求，采用多样化的培训方式，包括课堂培训、在线学习、实践操作等。</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专业师资： 邀请具有丰富经验和专业知识的讲师，确保培训内容的专业性和实用性。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持续培训： 实行持续培训机制，不仅关注新员工的培训，也重视老员工的继续教育，保持员工的职业竞争力。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培训效果评估： 在培训结束后进行效果评估，了解培训的实际收益和改进空间，不断提升培训质量。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团队建设和员工培训，企业能够更好地塑造协同高效的团队，提升员工的综合素养，使其具备更强的适应力和创造力。这两方面的工作是企业人力资源管理中的关键环节，直接影响着企业的竞争力和可持续发展。同时，积极的团队建设和员工培训也有助于提高员工的工作满意度和忠诚度，形成更加稳固的组织基石。</w:t>
      </w:r>
    </w:p>
    <w:p>
      <w:pPr>
        <w:pStyle w:val="Heading2"/>
        <w:ind w:firstLine="560" w:firstLineChars="200"/>
        <w:rPr>
          <w:rFonts w:ascii="仿宋" w:eastAsia="仿宋" w:hAnsi="仿宋" w:cs="仿宋" w:hint="eastAsia"/>
          <w:sz w:val="28"/>
          <w:lang w:eastAsia="zh-CN"/>
        </w:rPr>
      </w:pPr>
      <w:bookmarkStart w:id="35" w:name="_Toc1010"/>
      <w:r>
        <w:rPr>
          <w:rFonts w:ascii="仿宋" w:eastAsia="仿宋" w:hAnsi="仿宋" w:cs="仿宋" w:hint="eastAsia"/>
          <w:sz w:val="28"/>
          <w:lang w:eastAsia="zh-CN"/>
        </w:rPr>
        <w:t>(三)、企业文化建设</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1. 明确核心价值观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企业文化的核心在于明确企业的核心价值观。这是企业文化的灵魂，为员工提供行为准则，塑造企业独特的品牌形象。关键步骤包括：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制定核心价值观： 由企业领导层牵头，与全员共同制定公司的核心价值观，确保其具有共识性和引导性。</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传达核心价值观：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将核心价值观融入企业的各个方面，通过内外部培训、宣传推广等方式，确保员工理解和认同。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弘扬核心价值观： 鼓励员工在工作中践行核心价值观，将其内化为行为习惯，从而形成共同的文化认同。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2. 倡导积极工作氛围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良好的工作氛围是企业文化建设的关键组成部分，直接关系到员工的工作积极性和创造力。相关策略包括：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激励机制： 制定并实施激励机制，包括奖励、晋升机会等，鼓励员工更加积极主动地投入工作。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开放沟通： 打破部门壁垒，鼓励员工之间开放、坦诚的沟通，形成良好的团队合作氛围。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关注员工需求： 通过定期调查、员工反馈等方式了解员工需求，及时调整管理政策，提高员工的满意度。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建设共同的企业愿景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企业文化建设的目标之一是建设共同的企业愿景，激发员工对企业未来发展的期许和认同。关键步骤包括：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制定愿景目标： 由企业领导层与全员共同参与，确立具有挑战性和激励性的企业愿景，明确未来的发展方向。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传递愿景信息： 通过内外部媒体、企业内部宣传等方式，将企业愿景传递给全员，确保员工对愿景的理解和认同。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与员工共建： 鼓励员工提出对企业愿景的建议和期望，形成共建共享的愿景文化。</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4. 建立共同价值观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共同的价值观是企业文化中的黏合剂，通过共同的价值观可以在组织内形成一种紧密的凝聚力。相关做法包括：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 在企业文化中强调团队协作的重要性，倡导共同努力、共享成果的工作理念。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倡导责任意识： 建立员工对企业的责任感，使每个员工都能深刻理解自己的工作对企业的贡献。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共享成功： 强调成功是整个团队共同努力的结果，通过共享成功经验和荣誉，进一步加强团队凝聚力。</w:t>
      </w:r>
    </w:p>
    <w:p>
      <w:pPr>
        <w:pStyle w:val="Heading2"/>
        <w:ind w:firstLine="560" w:firstLineChars="200"/>
        <w:rPr>
          <w:rFonts w:ascii="仿宋" w:eastAsia="仿宋" w:hAnsi="仿宋" w:cs="仿宋" w:hint="eastAsia"/>
          <w:sz w:val="28"/>
          <w:lang w:eastAsia="zh-CN"/>
        </w:rPr>
      </w:pPr>
      <w:bookmarkStart w:id="36" w:name="_Toc23999"/>
      <w:r>
        <w:rPr>
          <w:rFonts w:ascii="仿宋" w:eastAsia="仿宋" w:hAnsi="仿宋" w:cs="仿宋" w:hint="eastAsia"/>
          <w:sz w:val="28"/>
          <w:lang w:eastAsia="zh-CN"/>
        </w:rPr>
        <w:t>(四)、员工健康与工作平衡</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员工的健康和工作平衡是企业人力资源管理中至关重要的两个方面。建立良好的健康环境和工作平衡，有助于提高员工的工作效能、减轻工作压力，同时增强员工的忠诚度和满意度。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健康管理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员工的身体健康是企业稳定运营的基础，也是提高工作效能的前提。建立健康管理制度包括：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定期体检： 提供定期的健康体检，早发现和预防潜在健康问题，保障员工的身体健康。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健康教育： 开展健康知识培训，提高员工对健康的认识，鼓励健康生活方式，如合理饮食、适度运动等。</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心理健康支持： 提供心理健康支持服务，包括心理咨询、工作压力管理等，关注员工的心理健康。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职业病防护： 针对特殊行业，建立职业病防护措施，减少员工在工作中可能受到的健康危害。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工作时间与弹性制度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工作平衡是指员工在工作和生活之间能够取得平衡，既能够充分发挥工作潜力，又能够有足够的时间去追求生活中的其他目标。相关做法包括：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提供弹性的工作时间安排，使员工更好地适应个人的作息习惯和生活需求。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鼓励和支持员工在一定条件下进行远程办公，提高工作的灵活性。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提供充足的带薪休假，让员工有足够的时间休息和放松，减轻工作压力。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加班限制： 设定合理的加班限制，防止员工长时间过度工作，保障员工的身心健康。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健康活动与福利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通过组织健康活动和提供福利，企业可以增强员工的团队合作精神，同时提升员工对企业的认同感。相关做法包括：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健身活动： 组织定期的健身活动，如羽毛球比赛、健身培训等，促进员工身体锻炼，增强身体素质。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健康餐饮： 提供健康餐饮选择，关注员工的饮食健康，推动员工养成健康的饮食习惯。</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福利政策：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设立完善的员工福利政策，包括健康保险、子女教育支持等，提升员工的生活品质。</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关注员工的健康与工作平衡，企业可以营造出积极向上、关爱员工的文化氛围，从而提高员工的工作满意度和忠诚度，实现共赢。</w:t>
      </w:r>
    </w:p>
    <w:p>
      <w:pPr>
        <w:pStyle w:val="Heading1"/>
        <w:ind w:firstLine="560" w:firstLineChars="200"/>
        <w:rPr>
          <w:rFonts w:ascii="仿宋" w:eastAsia="仿宋" w:hAnsi="仿宋" w:cs="仿宋" w:hint="eastAsia"/>
          <w:sz w:val="28"/>
          <w:lang w:eastAsia="zh-CN"/>
        </w:rPr>
      </w:pPr>
      <w:bookmarkStart w:id="37" w:name="_Toc28382"/>
      <w:r>
        <w:rPr>
          <w:rFonts w:ascii="仿宋" w:eastAsia="仿宋" w:hAnsi="仿宋" w:cs="仿宋" w:hint="eastAsia"/>
          <w:sz w:val="28"/>
          <w:lang w:eastAsia="zh-CN"/>
        </w:rPr>
        <w:t>七、常温，远红外陶瓷及制品项目投资可行性分析</w:t>
      </w:r>
      <w:bookmarkEnd w:id="37"/>
    </w:p>
    <w:p>
      <w:pPr>
        <w:pStyle w:val="Heading2"/>
        <w:rPr>
          <w:rFonts w:ascii="仿宋" w:eastAsia="仿宋" w:hAnsi="仿宋" w:cs="仿宋" w:hint="eastAsia"/>
          <w:lang w:eastAsia="zh-CN"/>
        </w:rPr>
      </w:pPr>
      <w:bookmarkStart w:id="38" w:name="_Toc29401"/>
      <w:r>
        <w:rPr>
          <w:rFonts w:ascii="仿宋" w:eastAsia="仿宋" w:hAnsi="仿宋" w:cs="仿宋" w:hint="eastAsia"/>
          <w:lang w:eastAsia="zh-CN"/>
        </w:rPr>
        <w:t>(一)、常温，远红外陶瓷及制品项目估算说明</w:t>
      </w:r>
      <w:bookmarkEnd w:id="38"/>
    </w:p>
    <w:p>
      <w:pPr>
        <w:ind w:firstLine="560" w:firstLineChars="200"/>
        <w:rPr>
          <w:rFonts w:ascii="仿宋" w:eastAsia="仿宋" w:hAnsi="仿宋" w:cs="仿宋" w:hint="eastAsia"/>
          <w:sz w:val="28"/>
        </w:rPr>
      </w:pPr>
      <w:r>
        <w:rPr>
          <w:rFonts w:ascii="仿宋" w:eastAsia="仿宋" w:hAnsi="仿宋" w:cs="仿宋" w:hint="eastAsia"/>
          <w:sz w:val="28"/>
          <w:lang w:eastAsia="zh-CN"/>
        </w:rPr>
        <w:t>1. 常温，远红外陶瓷及制品项目建设成本估算：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常温，远红外陶瓷及制品项目建设成本估算中，需要详细考虑土地开发、建筑工程、设备采购和劳动力成本等方面。例如，土地开发阶段需要考虑土地购置费用、清理费用、基础设施建设费用等，而建筑工程阶段则包括建筑材料、施工人员薪酬、建筑设备租赁费等。设备采购阶段需要综合考虑设备价格、运输费用、安装费用等。通过详细的估算，可以形成建设成本的全貌，为后续资金筹措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运营成本估算涉及到常温，远红外陶瓷及制品项目建设后的日常运营阶段，包括人员薪酬、能源消耗、维护费用、管理费用等方面。例如，人员薪酬需要考虑岗位设置、薪资水平；能源消耗包括电力、水、燃料等的费用。通过综合分析这些因素，可以形成可行的运营成本估算，为企业运营提供经济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3. 收益估算：</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收益估算是常温，远红外陶瓷及制品项目估算的核心，需要全面分析市场需求、销售价格、产值和盈利能力等因素。例如，通过市场调研确定产品或服务的市场需求程度，结合竞争对手的定价策略制定合理的销售价格。同时，对产值和盈利能力进行预估，以制定可行的收益预期。这一过程需要细致分析市场动态和企业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估算需要全面考虑潜在的市场风险、技术风险、政策风险等因素。例如，对市场风险的估算可以通过分析市场趋势、竞争格局来评估；技术风险可以通过对常温，远红外陶瓷及制品项目技术难点和可能出现的问题进行评估；政策风险则需要了解相关政策法规的变化对常温，远红外陶瓷及制品项目可能造成的影响。通过对风险的全面估算，企业可以有针对性地制定风险管理策略，减小不确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环境和社会影响估算：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社会，环境和社会影响估算越来越受到重视。这包括环境保护设施投资、社会责任活动费用等方面。例如，常温，远红外陶瓷及制品项目可能需要投入一定的资金用于建设环保设施，符合环境法规的要求；社会责任活动费用可以用于企业参与社会公益、员工培训等。通过综合考虑这些因素，企业可以更好地履行社会责任，提高常温，远红外陶瓷及制品项目的可持续性和社会接受度。</w:t>
      </w:r>
    </w:p>
    <w:p>
      <w:pPr>
        <w:pStyle w:val="Heading2"/>
        <w:ind w:firstLine="560" w:firstLineChars="200"/>
        <w:rPr>
          <w:rFonts w:ascii="仿宋" w:eastAsia="仿宋" w:hAnsi="仿宋" w:cs="仿宋" w:hint="eastAsia"/>
          <w:sz w:val="28"/>
          <w:lang w:eastAsia="zh-CN"/>
        </w:rPr>
      </w:pPr>
      <w:bookmarkStart w:id="39" w:name="_Toc18448"/>
      <w:r>
        <w:rPr>
          <w:rFonts w:ascii="仿宋" w:eastAsia="仿宋" w:hAnsi="仿宋" w:cs="仿宋" w:hint="eastAsia"/>
          <w:sz w:val="28"/>
          <w:lang w:eastAsia="zh-CN"/>
        </w:rPr>
        <w:t>(二)、常温，远红外陶瓷及制品项目总投资估算</w:t>
      </w:r>
      <w:bookmarkEnd w:id="3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4" w:history="1">
        <w:r>
          <w:rPr>
            <w:rFonts w:ascii="SimSun" w:eastAsia="SimSun" w:hAnsi="SimSun" w:cs="SimSun"/>
            <w:b/>
            <w:bCs/>
            <w:color w:val="0000EE"/>
            <w:kern w:val="0"/>
            <w:sz w:val="30"/>
            <w:szCs w:val="30"/>
            <w:u w:val="single" w:color="0000EE"/>
          </w:rPr>
          <w:t>https://d.book118.com/145010001320011114</w:t>
        </w:r>
      </w:hyperlink>
    </w:p>
    <w:p>
      <w:pPr>
        <w:ind w:firstLine="560" w:firstLineChars="200"/>
        <w:rPr>
          <w:rFonts w:ascii="仿宋" w:eastAsia="仿宋" w:hAnsi="仿宋" w:cs="仿宋" w:hint="eastAsia"/>
          <w:sz w:val="28"/>
        </w:rPr>
      </w:pPr>
    </w:p>
    <w:sectPr>
      <w:headerReference w:type="default" r:id="rId85"/>
      <w:footerReference w:type="default" r:id="rId86"/>
      <w:type w:val="nextPage"/>
      <w:pgSz w:w="11906" w:h="16838"/>
      <w:pgMar w:top="1440" w:right="1800" w:bottom="1440" w:left="1800" w:header="851" w:footer="992" w:gutter="0"/>
      <w:pgNumType w:start="4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常温，远红外陶瓷及制品项目情况报告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常温，远红外陶瓷及制品项目情况报告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常温，远红外陶瓷及制品项目情况报告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常温，远红外陶瓷及制品项目情况报告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常温，远红外陶瓷及制品项目情况报告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常温，远红外陶瓷及制品项目情况报告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常温，远红外陶瓷及制品项目情况报告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常温，远红外陶瓷及制品项目情况报告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常温，远红外陶瓷及制品项目情况报告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常温，远红外陶瓷及制品项目情况报告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常温，远红外陶瓷及制品项目情况报告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常温，远红外陶瓷及制品项目情况报告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常温，远红外陶瓷及制品项目情况报告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常温，远红外陶瓷及制品项目情况报告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常温，远红外陶瓷及制品项目情况报告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常温，远红外陶瓷及制品项目情况报告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常温，远红外陶瓷及制品项目情况报告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常温，远红外陶瓷及制品项目情况报告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常温，远红外陶瓷及制品项目情况报告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常温，远红外陶瓷及制品项目情况报告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常温，远红外陶瓷及制品项目情况报告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常温，远红外陶瓷及制品项目情况报告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常温，远红外陶瓷及制品项目情况报告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常温，远红外陶瓷及制品项目情况报告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常温，远红外陶瓷及制品项目情况报告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常温，远红外陶瓷及制品项目情况报告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常温，远红外陶瓷及制品项目情况报告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常温，远红外陶瓷及制品项目情况报告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常温，远红外陶瓷及制品项目情况报告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常温，远红外陶瓷及制品项目情况报告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常温，远红外陶瓷及制品项目情况报告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常温，远红外陶瓷及制品项目情况报告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常温，远红外陶瓷及制品项目情况报告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常温，远红外陶瓷及制品项目情况报告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常温，远红外陶瓷及制品项目情况报告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常温，远红外陶瓷及制品项目情况报告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常温，远红外陶瓷及制品项目情况报告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常温，远红外陶瓷及制品项目情况报告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常温，远红外陶瓷及制品项目情况报告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常温，远红外陶瓷及制品项目情况报告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常温，远红外陶瓷及制品项目情况报告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DE49FA"/>
    <w:rsid w:val="6FDE49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yperlink" Target="https://d.book118.com/145010001320011114" TargetMode="External" /><Relationship Id="rId85" Type="http://schemas.openxmlformats.org/officeDocument/2006/relationships/header" Target="header41.xml" /><Relationship Id="rId86" Type="http://schemas.openxmlformats.org/officeDocument/2006/relationships/footer" Target="footer41.xml" /><Relationship Id="rId87" Type="http://schemas.openxmlformats.org/officeDocument/2006/relationships/theme" Target="theme/theme1.xml" /><Relationship Id="rId88"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2024-01-21T10:53:00Z</dcterms:created>
  <dcterms:modified xsi:type="dcterms:W3CDTF">2024-01-21T10:53:59Z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9B6F3B95A24B4049AE70BF338414FB31_11</vt:lpwstr>
  </property>
  <property fmtid="{D5CDD505-2E9C-101B-9397-08002B2CF9AE}" pid="3" name="KSOProductBuildVer">
    <vt:lpwstr>2052-12.1.0.16120</vt:lpwstr>
  </property>
</Properties>
</file>