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2018-2023年浙江金融职业学院高职单招（数学／语文／英语）历年常考试题库含答案解析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主张文章应“明道”、“致用”、“事信”、“言文”的是（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《郑伯克段于鄢》一文中出现的谋臣是（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A.共叔段、公子吕、颍考叔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B.郑庄公、颍考叔、公子吕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C.颍考叔、祭仲、公子吕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D.子封、共叔段、颍考叔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“亟请于武公”句中“亟”的意思是（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A.迅速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B.急忙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C.屡次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D.竭力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“天下为公”“狡兔三窟”两个成语依次出自（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A.《礼记·大同》《冯谖客孟尝君》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B.《季氏将伐颛臾》《李将军列传》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C.《冯谖客孟尝君》《季氏将伐颛失》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D.《李将军列传》《礼记·大同》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下列画横线的句子翻译错误的一项是（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A.与尔三矢，尔其无忘乃父之志。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B.故今具道所以，冀君实或见恕。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C.左右以君贱之也，食以草具。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D.将军自念，岂尝有所恨乎?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关于苏轼《前赤壁赋》一文，下列表述错误的是（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A.是一篇文赋。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B.文章的语言骈散相间，音韵和谐。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C.文章在结构上采用的是主客问答、伸客抑主的方法。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D.文章中的景物描写体现出作者乐观豁达的人生态度。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下列属于曹操的作品是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A.《长歌行》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B.《短歌行》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C.《饮酒》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D.《兵车行》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孔子认为他所生活的时代是（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A.大同时代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B.三代之英的时代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C.小康时代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D.礼崩乐坏的时代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下列属于北宋豪放词人的是（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绝句属于（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A.古体诗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B.楚辞体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D.格律诗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“多行不义必自毙”出自（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D.《郑伯克段于鄢》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盛唐山水田园诗派的代表诗人是（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B.谢灵运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D.王之涣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在《往事（一之十四）》中，冰心赞颂了大海的性格和美德，号召大家做一个（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A.女神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B.大海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C.海舟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D.“海化”青年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《苦恼》中主人公的名字叫（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A.姚纳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B.拉京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C.万卡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https://d.book118.com/145113022333011112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145113022333011112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