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2018-2023年上海工艺美术职业学院高职单招（数学／语文／英语）历年常考试题库含答案解析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成语“分崩离析”出自（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C.《五代史伶官传序》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D.《答司马谏议书》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唐代诗歌流传下来最多的诗人是（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D.刘禹锡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《灯下漫笔》一文主要抨击的是（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A.复古主义思潮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B.帝国主义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C.资本主义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D.中国的奴隶制度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《谈时间》一文选自梁实秋著名的散文集（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“文章合为时而著，歌诗合为事而作”的口号是谁提出的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孔子的思想核心是（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B.仁和礼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C.严刑峻法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D.自然无为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D.数罟不入洿池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闻一多曾提出新格律诗的“三美”主张，即新诗要有（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A.理想美、思想美、形式美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B.色彩浓、回味永、意境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C.音乐的美、绘画的美、建筑的美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D.节奏、韵味、意境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B.套曲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C.慢词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王昌龄的《从军行》（青海长云暗雪山）主要是表现戍边将士（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A.艰难困苦的生活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B.出生入死的经历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C.报国御敌的壮志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D.思念家乡的感情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下列句子中，含有使动用法的是（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A.吾非至于子之门则殆矣，吾长见笑于大方之家。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D.孟尝君怪其疾也，衣冠而见之。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王维在《山居秋暝》诗中，流露出隐居山中之意的诗句是（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A.空山新雨后，天气晚来秋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B.明月松间照，清泉石上流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C.竹喧归浣女，莲动下渔舟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D.随意春芳歇，王孙自可留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《背影》本文为刻画一个慈父形象所选取的描写重点是（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A.人物的面貌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B.人物的行动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C.人物的背影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D.人物的语言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“我则或一日而返焉，或二三日而返焉，或五六日而返焉”所运用的修辞方法是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B.比喻、层递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C.层递、夸张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https://d.book118.com/145114024330011112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4511402433001111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