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329E" w:rsidP="001F329E" w14:paraId="1EBDD65F" w14:textId="77777777">
      <w:pPr>
        <w:spacing w:before="48" w:beforeLines="20" w:after="360" w:afterLines="150" w:line="360" w:lineRule="auto"/>
        <w:jc w:val="center"/>
        <w:rPr>
          <w:rFonts w:ascii="华文中宋" w:eastAsia="华文中宋" w:hAnsi="华文中宋"/>
          <w:b/>
          <w:sz w:val="30"/>
        </w:rPr>
      </w:pPr>
      <w:r w:rsidRPr="001F329E">
        <w:rPr>
          <w:rFonts w:ascii="华文中宋" w:eastAsia="华文中宋" w:hAnsi="华文中宋"/>
          <w:b/>
          <w:sz w:val="30"/>
        </w:rPr>
        <w:t>2023</w:t>
      </w:r>
      <w:r w:rsidRPr="001F329E">
        <w:rPr>
          <w:rFonts w:ascii="华文中宋" w:eastAsia="华文中宋" w:hAnsi="华文中宋"/>
          <w:b/>
          <w:sz w:val="30"/>
        </w:rPr>
        <w:t>江西吉安市井冈山市卫健系统选调部分岗位予以削减或取消笔试模拟试题及答案解析</w:t>
      </w:r>
    </w:p>
    <w:p w:rsidR="00A77B3E" w14:paraId="73D5B52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94882A" w14:textId="77777777">
      <w:pPr>
        <w:spacing w:after="260" w:line="360" w:lineRule="auto"/>
      </w:pPr>
      <w:r>
        <w:rPr>
          <w:rFonts w:ascii="微软雅黑" w:eastAsia="微软雅黑" w:cs="微软雅黑"/>
        </w:rPr>
        <w:t>一、选择题</w:t>
      </w:r>
    </w:p>
    <w:p w:rsidR="00AD1216" w14:paraId="2538A72D"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《党政机关公文处理工作条例》规定，公文办理包括</w:t>
      </w:r>
      <w:r w:rsidRPr="00AD1216">
        <w:rPr>
          <w:rFonts w:ascii="微软雅黑" w:eastAsia="微软雅黑" w:cs="微软雅黑"/>
          <w:szCs w:val="14"/>
        </w:rPr>
        <w:t>()</w:t>
      </w:r>
      <w:r w:rsidRPr="00AD1216">
        <w:rPr>
          <w:rFonts w:ascii="微软雅黑" w:eastAsia="微软雅黑" w:cs="微软雅黑"/>
          <w:szCs w:val="14"/>
        </w:rPr>
        <w:t>。</w:t>
      </w:r>
    </w:p>
    <w:p w:rsidR="00AD1216" w14:paraId="09721CC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、发文办理、收文办理、整理归档</w:t>
      </w:r>
    </w:p>
    <w:p w:rsidR="00AD1216" w14:paraId="79C5BC7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、起草、审核、签发</w:t>
      </w:r>
    </w:p>
    <w:p w:rsidR="00AD1216" w14:paraId="31DB8BA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、交拟、拟议、签发</w:t>
      </w:r>
    </w:p>
    <w:p w:rsidR="00AD1216" w14:paraId="4E89538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、登记、承办、分发</w:t>
      </w:r>
    </w:p>
    <w:p w:rsidR="00AD1216" w14:paraId="0555E49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B2F557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公文办理包括收文办理、发文办理和整理归档。故选</w:t>
      </w:r>
      <w:r w:rsidRPr="00AD1216">
        <w:rPr>
          <w:rFonts w:ascii="微软雅黑" w:eastAsia="微软雅黑" w:cs="微软雅黑"/>
          <w:szCs w:val="14"/>
        </w:rPr>
        <w:t>A</w:t>
      </w:r>
      <w:r w:rsidRPr="00AD1216">
        <w:rPr>
          <w:rFonts w:ascii="微软雅黑" w:eastAsia="微软雅黑" w:cs="微软雅黑"/>
          <w:szCs w:val="14"/>
        </w:rPr>
        <w:t>。</w:t>
      </w:r>
    </w:p>
    <w:p w:rsidR="00AD1216" w14:paraId="71ED88B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区分普通个人和历史人物的标准是</w:t>
      </w:r>
      <w:r w:rsidRPr="00AD1216">
        <w:rPr>
          <w:rFonts w:ascii="微软雅黑" w:eastAsia="微软雅黑" w:cs="微软雅黑"/>
          <w:szCs w:val="14"/>
        </w:rPr>
        <w:t>()</w:t>
      </w:r>
      <w:r w:rsidRPr="00AD1216">
        <w:rPr>
          <w:rFonts w:ascii="微软雅黑" w:eastAsia="微软雅黑" w:cs="微软雅黑"/>
          <w:szCs w:val="14"/>
        </w:rPr>
        <w:t>。</w:t>
      </w:r>
    </w:p>
    <w:p w:rsidR="00AD1216" w14:paraId="40A1FAC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、对历史发展作用的大小</w:t>
      </w:r>
    </w:p>
    <w:p w:rsidR="00AD1216" w14:paraId="211F076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、对历史发展的作用是积极还是消极的</w:t>
      </w:r>
    </w:p>
    <w:p w:rsidR="00AD1216" w14:paraId="3E6BC31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、对历史发展的作用是主动还是被动的</w:t>
      </w:r>
    </w:p>
    <w:p w:rsidR="00AD1216" w14:paraId="4728774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、对历史发展的作用是必然还是偶然的</w:t>
      </w:r>
    </w:p>
    <w:p w:rsidR="00AD1216" w14:paraId="767435B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33E327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个人按其对历史发展作用的大小，可以区分为普通个人和历史人物</w:t>
      </w:r>
      <w:r w:rsidRPr="00AD1216">
        <w:rPr>
          <w:rFonts w:ascii="微软雅黑" w:eastAsia="微软雅黑" w:cs="微软雅黑"/>
          <w:szCs w:val="14"/>
        </w:rPr>
        <w:t>;</w:t>
      </w:r>
      <w:r w:rsidRPr="00AD1216">
        <w:rPr>
          <w:rFonts w:ascii="微软雅黑" w:eastAsia="微软雅黑" w:cs="微软雅黑"/>
          <w:szCs w:val="14"/>
        </w:rPr>
        <w:t>按照历史人物的作用是消极的还是积极的，可以区分为正面人物和反面人物。选项</w:t>
      </w:r>
      <w:r w:rsidRPr="00AD1216">
        <w:rPr>
          <w:rFonts w:ascii="微软雅黑" w:eastAsia="微软雅黑" w:cs="微软雅黑"/>
          <w:szCs w:val="14"/>
        </w:rPr>
        <w:t>A</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易混淆。选项</w:t>
      </w:r>
      <w:r w:rsidRPr="00AD1216">
        <w:rPr>
          <w:rFonts w:ascii="微软雅黑" w:eastAsia="微软雅黑" w:cs="微软雅黑"/>
          <w:szCs w:val="14"/>
        </w:rPr>
        <w:t>C</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为无关干扰项，应排除。故选</w:t>
      </w:r>
      <w:r w:rsidRPr="00AD1216">
        <w:rPr>
          <w:rFonts w:ascii="微软雅黑" w:eastAsia="微软雅黑" w:cs="微软雅黑"/>
          <w:szCs w:val="14"/>
        </w:rPr>
        <w:t>A</w:t>
      </w:r>
      <w:r w:rsidRPr="00AD1216">
        <w:rPr>
          <w:rFonts w:ascii="微软雅黑" w:eastAsia="微软雅黑" w:cs="微软雅黑"/>
          <w:szCs w:val="14"/>
        </w:rPr>
        <w:t>。</w:t>
      </w:r>
    </w:p>
    <w:p w:rsidR="00AD1216" w14:paraId="64227F27"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法律规范生效的时间，如无明文规定时，其生效时间应是</w:t>
      </w:r>
      <w:r w:rsidRPr="00AD1216">
        <w:rPr>
          <w:rFonts w:ascii="微软雅黑" w:eastAsia="微软雅黑" w:cs="微软雅黑"/>
          <w:szCs w:val="14"/>
        </w:rPr>
        <w:t>()</w:t>
      </w:r>
      <w:r w:rsidRPr="00AD1216">
        <w:rPr>
          <w:rFonts w:ascii="微软雅黑" w:eastAsia="微软雅黑" w:cs="微软雅黑"/>
          <w:szCs w:val="14"/>
        </w:rPr>
        <w:t>。</w:t>
      </w:r>
    </w:p>
    <w:p w:rsidR="00AD1216" w14:paraId="1A74F46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、法律通过之日</w:t>
      </w:r>
    </w:p>
    <w:p w:rsidR="00AD1216" w14:paraId="13D0E93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、法律公布之日</w:t>
      </w:r>
    </w:p>
    <w:p w:rsidR="00AD1216" w14:paraId="508F95A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、法律批准之日</w:t>
      </w:r>
    </w:p>
    <w:p w:rsidR="00AD1216" w14:paraId="2F6C399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、法律签署之日</w:t>
      </w:r>
    </w:p>
    <w:p w:rsidR="00AD1216" w14:paraId="65EA82F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70AE21A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法律生效有四种方式：</w:t>
      </w:r>
      <w:r w:rsidRPr="00AD1216">
        <w:rPr>
          <w:rFonts w:ascii="微软雅黑" w:eastAsia="微软雅黑" w:cs="微软雅黑"/>
          <w:szCs w:val="14"/>
        </w:rPr>
        <w:t>(</w:t>
      </w:r>
      <w:r w:rsidRPr="00AD1216">
        <w:rPr>
          <w:rFonts w:ascii="微软雅黑" w:eastAsia="微软雅黑" w:cs="微软雅黑"/>
          <w:szCs w:val="14"/>
        </w:rPr>
        <w:t>一</w:t>
      </w:r>
      <w:r w:rsidRPr="00AD1216">
        <w:rPr>
          <w:rFonts w:ascii="微软雅黑" w:eastAsia="微软雅黑" w:cs="微软雅黑"/>
          <w:szCs w:val="14"/>
        </w:rPr>
        <w:t>)</w:t>
      </w:r>
      <w:r w:rsidRPr="00AD1216">
        <w:rPr>
          <w:rFonts w:ascii="微软雅黑" w:eastAsia="微软雅黑" w:cs="微软雅黑"/>
          <w:szCs w:val="14"/>
        </w:rPr>
        <w:t>自颁布之日起生效</w:t>
      </w:r>
      <w:r w:rsidRPr="00AD1216">
        <w:rPr>
          <w:rFonts w:ascii="微软雅黑" w:eastAsia="微软雅黑" w:cs="微软雅黑"/>
          <w:szCs w:val="14"/>
        </w:rPr>
        <w:t>;(</w:t>
      </w:r>
      <w:r w:rsidRPr="00AD1216">
        <w:rPr>
          <w:rFonts w:ascii="微软雅黑" w:eastAsia="微软雅黑" w:cs="微软雅黑"/>
          <w:szCs w:val="14"/>
        </w:rPr>
        <w:t>二</w:t>
      </w:r>
      <w:r w:rsidRPr="00AD1216">
        <w:rPr>
          <w:rFonts w:ascii="微软雅黑" w:eastAsia="微软雅黑" w:cs="微软雅黑"/>
          <w:szCs w:val="14"/>
        </w:rPr>
        <w:t>)</w:t>
      </w:r>
      <w:r w:rsidRPr="00AD1216">
        <w:rPr>
          <w:rFonts w:ascii="微软雅黑" w:eastAsia="微软雅黑" w:cs="微软雅黑"/>
          <w:szCs w:val="14"/>
        </w:rPr>
        <w:t>法律本身规定具体生效时间</w:t>
      </w:r>
      <w:r w:rsidRPr="00AD1216">
        <w:rPr>
          <w:rFonts w:ascii="微软雅黑" w:eastAsia="微软雅黑" w:cs="微软雅黑"/>
          <w:szCs w:val="14"/>
        </w:rPr>
        <w:t>;(</w:t>
      </w:r>
      <w:r w:rsidRPr="00AD1216">
        <w:rPr>
          <w:rFonts w:ascii="微软雅黑" w:eastAsia="微软雅黑" w:cs="微软雅黑"/>
          <w:szCs w:val="14"/>
        </w:rPr>
        <w:t>三</w:t>
      </w:r>
      <w:r w:rsidRPr="00AD1216">
        <w:rPr>
          <w:rFonts w:ascii="微软雅黑" w:eastAsia="微软雅黑" w:cs="微软雅黑"/>
          <w:szCs w:val="14"/>
        </w:rPr>
        <w:t>)</w:t>
      </w:r>
      <w:r w:rsidRPr="00AD1216">
        <w:rPr>
          <w:rFonts w:ascii="微软雅黑" w:eastAsia="微软雅黑" w:cs="微软雅黑"/>
          <w:szCs w:val="14"/>
        </w:rPr>
        <w:t>由另外的专门决定规定生效时间</w:t>
      </w:r>
      <w:r w:rsidRPr="00AD1216">
        <w:rPr>
          <w:rFonts w:ascii="微软雅黑" w:eastAsia="微软雅黑" w:cs="微软雅黑"/>
          <w:szCs w:val="14"/>
        </w:rPr>
        <w:t>;(</w:t>
      </w:r>
      <w:r w:rsidRPr="00AD1216">
        <w:rPr>
          <w:rFonts w:ascii="微软雅黑" w:eastAsia="微软雅黑" w:cs="微软雅黑"/>
          <w:szCs w:val="14"/>
        </w:rPr>
        <w:t>四</w:t>
      </w:r>
      <w:r w:rsidRPr="00AD1216">
        <w:rPr>
          <w:rFonts w:ascii="微软雅黑" w:eastAsia="微软雅黑" w:cs="微软雅黑"/>
          <w:szCs w:val="14"/>
        </w:rPr>
        <w:t>)</w:t>
      </w:r>
      <w:r w:rsidRPr="00AD1216">
        <w:rPr>
          <w:rFonts w:ascii="微软雅黑" w:eastAsia="微软雅黑" w:cs="微软雅黑"/>
          <w:szCs w:val="14"/>
        </w:rPr>
        <w:t>规定在法律颁布后一段时间后生效。如无明文规定时，法律生效时间即为法律公布之日。故选</w:t>
      </w:r>
      <w:r w:rsidRPr="00AD1216">
        <w:rPr>
          <w:rFonts w:ascii="微软雅黑" w:eastAsia="微软雅黑" w:cs="微软雅黑"/>
          <w:szCs w:val="14"/>
        </w:rPr>
        <w:t>B</w:t>
      </w:r>
      <w:r w:rsidRPr="00AD1216">
        <w:rPr>
          <w:rFonts w:ascii="微软雅黑" w:eastAsia="微软雅黑" w:cs="微软雅黑"/>
          <w:szCs w:val="14"/>
        </w:rPr>
        <w:t>。</w:t>
      </w:r>
    </w:p>
    <w:p w:rsidR="00AD1216" w14:paraId="634DF628"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在我国，十六周岁以上的未成年人以自己的劳动收入为主要生活来源的，应视为</w:t>
      </w:r>
      <w:r w:rsidRPr="00AD1216">
        <w:rPr>
          <w:rFonts w:ascii="微软雅黑" w:eastAsia="微软雅黑" w:cs="微软雅黑"/>
          <w:szCs w:val="14"/>
        </w:rPr>
        <w:t>()</w:t>
      </w:r>
      <w:r w:rsidRPr="00AD1216">
        <w:rPr>
          <w:rFonts w:ascii="微软雅黑" w:eastAsia="微软雅黑" w:cs="微软雅黑"/>
          <w:szCs w:val="14"/>
        </w:rPr>
        <w:t>。</w:t>
      </w:r>
    </w:p>
    <w:p w:rsidR="00AD1216" w14:paraId="40E94B5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、限制行为能力人</w:t>
      </w:r>
    </w:p>
    <w:p w:rsidR="00AD1216" w14:paraId="50FC87F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、无行为能力人</w:t>
      </w:r>
    </w:p>
    <w:p w:rsidR="00AD1216" w14:paraId="02F931D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、完全行为能力人</w:t>
      </w:r>
    </w:p>
    <w:p w:rsidR="00AD1216" w14:paraId="2CFA3C3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、部分限制行为能力人</w:t>
      </w:r>
    </w:p>
    <w:p w:rsidR="00AD1216" w14:paraId="16E57A9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C9C53C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《民法典》第十八条第二款规定：十六周岁以上的未成年人，以自己的劳动收入为主要生活来源的，视为完全民事行为能力人。故选</w:t>
      </w:r>
      <w:r w:rsidRPr="00AD1216">
        <w:rPr>
          <w:rFonts w:ascii="微软雅黑" w:eastAsia="微软雅黑" w:cs="微软雅黑"/>
          <w:szCs w:val="14"/>
        </w:rPr>
        <w:t>C</w:t>
      </w:r>
      <w:r w:rsidRPr="00AD1216">
        <w:rPr>
          <w:rFonts w:ascii="微软雅黑" w:eastAsia="微软雅黑" w:cs="微软雅黑"/>
          <w:szCs w:val="14"/>
        </w:rPr>
        <w:t>。</w:t>
      </w:r>
    </w:p>
    <w:p w:rsidR="00AD1216" w14:paraId="14462B12"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下列关于行政管理的运行职能表述错误的是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62EF131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、一般来说，越往高层，战略性决策越多</w:t>
      </w:r>
      <w:r w:rsidRPr="00AD1216">
        <w:rPr>
          <w:rFonts w:ascii="微软雅黑" w:eastAsia="微软雅黑" w:cs="微软雅黑"/>
          <w:szCs w:val="14"/>
        </w:rPr>
        <w:t>;</w:t>
      </w:r>
      <w:r w:rsidRPr="00AD1216">
        <w:rPr>
          <w:rFonts w:ascii="微软雅黑" w:eastAsia="微软雅黑" w:cs="微软雅黑"/>
          <w:szCs w:val="14"/>
        </w:rPr>
        <w:t>越往基层，执行性决策越多</w:t>
      </w:r>
    </w:p>
    <w:p w:rsidR="00AD1216" w14:paraId="08BCA3D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、培训和考核属于组织职能</w:t>
      </w:r>
    </w:p>
    <w:p w:rsidR="00AD1216" w14:paraId="47E5347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、控制职能在表现形式上可以分为前期控制，中期控制，后期控制</w:t>
      </w:r>
    </w:p>
    <w:p w:rsidR="00AD1216" w14:paraId="3F1A5AC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、行政管理过程必须重视公共关系与协调功能的发挥</w:t>
      </w:r>
    </w:p>
    <w:p w:rsidR="00AD1216" w14:paraId="711A2C5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1423AC1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项正确，一般越往高层，战略性决策越多</w:t>
      </w:r>
      <w:r w:rsidRPr="00AD1216">
        <w:rPr>
          <w:rFonts w:ascii="微软雅黑" w:eastAsia="微软雅黑" w:cs="微软雅黑"/>
          <w:szCs w:val="14"/>
        </w:rPr>
        <w:t>;</w:t>
      </w:r>
      <w:r w:rsidRPr="00AD1216">
        <w:rPr>
          <w:rFonts w:ascii="微软雅黑" w:eastAsia="微软雅黑" w:cs="微软雅黑"/>
          <w:szCs w:val="14"/>
        </w:rPr>
        <w:t>越往基层，执行性决策越多。战略性决策多是非程序性的，较为复杂，而执行性决策多为程序性的，难度相对较小。</w:t>
      </w:r>
      <w:r w:rsidRPr="00AD1216">
        <w:rPr>
          <w:rFonts w:ascii="微软雅黑" w:eastAsia="微软雅黑" w:cs="微软雅黑"/>
          <w:szCs w:val="14"/>
        </w:rPr>
        <w:t>B</w:t>
      </w:r>
      <w:r w:rsidRPr="00AD1216">
        <w:rPr>
          <w:rFonts w:ascii="微软雅黑" w:eastAsia="微软雅黑" w:cs="微软雅黑"/>
          <w:szCs w:val="14"/>
        </w:rPr>
        <w:t>项正确，培训和考核属于组织职能，为实现组织目标培养和考核相关人才。</w:t>
      </w:r>
      <w:r w:rsidRPr="00AD1216">
        <w:rPr>
          <w:rFonts w:ascii="微软雅黑" w:eastAsia="微软雅黑" w:cs="微软雅黑"/>
          <w:szCs w:val="14"/>
        </w:rPr>
        <w:t>C</w:t>
      </w:r>
      <w:r w:rsidRPr="00AD1216">
        <w:rPr>
          <w:rFonts w:ascii="微软雅黑" w:eastAsia="微软雅黑" w:cs="微软雅黑"/>
          <w:szCs w:val="14"/>
        </w:rPr>
        <w:t>项错误，控制职能在具体表现形式上可分为前馈控制，现场控制和反馈控制。</w:t>
      </w:r>
      <w:r w:rsidRPr="00AD1216">
        <w:rPr>
          <w:rFonts w:ascii="微软雅黑" w:eastAsia="微软雅黑" w:cs="微软雅黑"/>
          <w:szCs w:val="14"/>
        </w:rPr>
        <w:t>D</w:t>
      </w:r>
      <w:r w:rsidRPr="00AD1216">
        <w:rPr>
          <w:rFonts w:ascii="微软雅黑" w:eastAsia="微软雅黑" w:cs="微软雅黑"/>
          <w:szCs w:val="14"/>
        </w:rPr>
        <w:t>项正确，行政管理过程必须重视公共关系与协调功能的发挥，因为公共关系如果恶化会影响行政管理过程顺利开展。故选</w:t>
      </w:r>
      <w:r w:rsidRPr="00AD1216">
        <w:rPr>
          <w:rFonts w:ascii="微软雅黑" w:eastAsia="微软雅黑" w:cs="微软雅黑"/>
          <w:szCs w:val="14"/>
        </w:rPr>
        <w:t>C</w:t>
      </w:r>
      <w:r w:rsidRPr="00AD1216">
        <w:rPr>
          <w:rFonts w:ascii="微软雅黑" w:eastAsia="微软雅黑" w:cs="微软雅黑"/>
          <w:szCs w:val="14"/>
        </w:rPr>
        <w:t>。</w:t>
      </w:r>
    </w:p>
    <w:p w:rsidR="00AD1216" w14:paraId="378EE2D3" w14:textId="77777777">
      <w:pPr>
        <w:pStyle w:val="NormalWeb"/>
        <w:widowControl/>
        <w:spacing w:beforeAutospacing="0" w:after="260" w:afterAutospacing="0" w:line="360" w:lineRule="auto"/>
      </w:pPr>
      <w:r w:rsidRPr="00AD1216">
        <w:rPr>
          <w:rFonts w:ascii="微软雅黑" w:eastAsia="微软雅黑" w:cs="微软雅黑"/>
          <w:color w:val="0000FF"/>
          <w:szCs w:val="14"/>
        </w:rPr>
        <w:t>6</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是衡量一个家庭或一个国家富裕程度的主要标准之一。</w:t>
      </w:r>
    </w:p>
    <w:p w:rsidR="00AD1216" w14:paraId="7FA0900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、恩格尔系数</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https://d.book118.com/146103045111010044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rsidP="00AA6F0C" w14:paraId="778BF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329E" w14:paraId="19BB5C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rsidP="00AA6F0C" w14:paraId="50C7D720" w14:textId="031C77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329E" w14:paraId="48324C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paraId="3CB56A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329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rsidP="00AA6F0C" w14:textId="031C77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329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329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rsidP="00AA6F0C" w14:textId="031C77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32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paraId="673721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paraId="03ED42B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paraId="74CF09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329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329E"/>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587087"/>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1F329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329E"/>
    <w:rPr>
      <w:sz w:val="18"/>
      <w:szCs w:val="18"/>
    </w:rPr>
  </w:style>
  <w:style w:type="paragraph" w:styleId="Footer">
    <w:name w:val="footer"/>
    <w:basedOn w:val="Normal"/>
    <w:link w:val="a0"/>
    <w:rsid w:val="001F329E"/>
    <w:pPr>
      <w:tabs>
        <w:tab w:val="center" w:pos="4153"/>
        <w:tab w:val="right" w:pos="8306"/>
      </w:tabs>
      <w:snapToGrid w:val="0"/>
    </w:pPr>
    <w:rPr>
      <w:sz w:val="18"/>
      <w:szCs w:val="18"/>
    </w:rPr>
  </w:style>
  <w:style w:type="character" w:customStyle="1" w:styleId="a0">
    <w:name w:val="页脚 字符"/>
    <w:basedOn w:val="DefaultParagraphFont"/>
    <w:link w:val="Footer"/>
    <w:rsid w:val="001F329E"/>
    <w:rPr>
      <w:sz w:val="18"/>
      <w:szCs w:val="18"/>
    </w:rPr>
  </w:style>
  <w:style w:type="character" w:styleId="PageNumber">
    <w:name w:val="page number"/>
    <w:basedOn w:val="DefaultParagraphFont"/>
    <w:rsid w:val="001F32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6103045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3112</Words>
  <Characters>17742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