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7"/>
        </w:rPr>
      </w:pPr>
      <w:r>
        <w:pict>
          <v:shapetype id="_x0000_t202" coordsize="21600,21600" o:spt="202" path="m,l,21600r21600,l21600,xe">
            <v:stroke joinstyle="miter"/>
            <v:path gradientshapeok="t" o:connecttype="rect"/>
          </v:shapetype>
          <v:shape id="_x0000_s1025" type="#_x0000_t202" style="width:342pt;height:25.5pt;margin-top:732.92pt;margin-left:58.95pt;mso-position-horizontal-relative:page;mso-position-vertical-relative:page;position:absolute;z-index:-251658240" filled="f" stroked="f">
            <v:textbox inset="0,0,0,0">
              <w:txbxContent>
                <w:p>
                  <w:pPr>
                    <w:spacing w:before="0" w:line="195" w:lineRule="exact"/>
                    <w:ind w:left="0" w:right="0" w:firstLine="0"/>
                    <w:jc w:val="left"/>
                    <w:rPr>
                      <w:sz w:val="18"/>
                    </w:rPr>
                  </w:pPr>
                  <w:r>
                    <w:rPr>
                      <w:sz w:val="18"/>
                    </w:rPr>
                    <w:t>此报告最后部分的分析师披露、商业关系披露和免责声明为报告的一部分，必须阅读。</w:t>
                  </w:r>
                </w:p>
                <w:p>
                  <w:pPr>
                    <w:spacing w:before="89" w:line="225" w:lineRule="exact"/>
                    <w:ind w:left="0" w:right="0" w:firstLine="0"/>
                    <w:jc w:val="left"/>
                    <w:rPr>
                      <w:rFonts w:ascii="Calibri" w:eastAsia="Calibri"/>
                      <w:sz w:val="18"/>
                    </w:rPr>
                  </w:pPr>
                  <w:r>
                    <w:rPr>
                      <w:sz w:val="18"/>
                    </w:rPr>
                    <w:t>下载本公司之研究报告，可从彭博信息：</w:t>
                  </w:r>
                  <w:r>
                    <w:rPr>
                      <w:rFonts w:ascii="Calibri" w:eastAsia="Calibri"/>
                      <w:sz w:val="18"/>
                    </w:rPr>
                    <w:t xml:space="preserve">BOCM </w:t>
                  </w:r>
                  <w:r>
                    <w:rPr>
                      <w:sz w:val="18"/>
                    </w:rPr>
                    <w:t xml:space="preserve">或 </w:t>
                  </w:r>
                  <w:r>
                    <w:rPr>
                      <w:rFonts w:ascii="Calibri" w:eastAsia="Calibri"/>
                      <w:sz w:val="18"/>
                    </w:rPr>
                    <w:t>https://research.bocomgroup.com</w:t>
                  </w:r>
                </w:p>
              </w:txbxContent>
            </v:textbox>
          </v:shape>
        </w:pict>
      </w:r>
      <w:r>
        <w:pict>
          <v:group id="_x0000_s1026" style="width:610.9pt;height:788.2pt;margin-top:1.55pt;margin-left:0.44pt;mso-position-horizontal-relative:page;mso-position-vertical-relative:page;position:absolute;z-index:251659264" coordorigin="9,31" coordsize="12218,15764">
            <v:line id="_x0000_s1027" style="position:absolute" from="1151,14494" to="11089,14494" stroked="t" strokecolor="#ddebed" strokeweight="2.8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2218;height:15764;left:8;position:absolute;top:30" stroked="f">
              <v:imagedata r:id="rId4" o:title=""/>
            </v:shape>
          </v:group>
        </w:pict>
      </w:r>
    </w:p>
    <w:p>
      <w:pPr>
        <w:spacing w:after="0"/>
        <w:rPr>
          <w:rFonts w:ascii="Times New Roman"/>
          <w:sz w:val="17"/>
        </w:rPr>
        <w:sectPr>
          <w:headerReference w:type="default" r:id="rId5"/>
          <w:footerReference w:type="default" r:id="rId6"/>
          <w:type w:val="continuous"/>
          <w:pgSz w:w="12240" w:h="15840"/>
          <w:pgMar w:top="1500" w:right="0" w:bottom="280" w:left="0" w:header="708" w:footer="708"/>
          <w:cols w:space="708"/>
        </w:sectPr>
      </w:pPr>
    </w:p>
    <w:p>
      <w:pPr>
        <w:pStyle w:val="BodyText"/>
        <w:spacing w:before="11"/>
        <w:rPr>
          <w:rFonts w:ascii="Times New Roman"/>
          <w:sz w:val="11"/>
        </w:rPr>
      </w:pPr>
    </w:p>
    <w:p>
      <w:pPr>
        <w:spacing w:before="65" w:line="170" w:lineRule="auto"/>
        <w:ind w:left="1151" w:right="9648" w:firstLine="0"/>
        <w:jc w:val="left"/>
        <w:rPr>
          <w:rFonts w:ascii="Microsoft JhengHei" w:eastAsia="Microsoft JhengHei" w:hint="eastAsia"/>
          <w:b/>
          <w:sz w:val="24"/>
        </w:rPr>
      </w:pPr>
      <w:r>
        <w:t xml:space="preserve"> 研究行业剖析</w:t>
      </w:r>
    </w:p>
    <w:tbl>
      <w:tblPr>
        <w:tblStyle w:val="TableNormal0"/>
        <w:tblW w:w="0" w:type="auto"/>
        <w:jc w:val="left"/>
        <w:tblInd w:w="1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77"/>
        <w:gridCol w:w="2553"/>
        <w:gridCol w:w="2698"/>
      </w:tblGrid>
      <w:tr>
        <w:tblPrEx>
          <w:tblW w:w="0" w:type="auto"/>
          <w:jc w:val="left"/>
          <w:tblInd w:w="1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6"/>
          <w:jc w:val="left"/>
        </w:trPr>
        <w:tc>
          <w:tcPr>
            <w:tcW w:w="9928" w:type="dxa"/>
            <w:gridSpan w:val="3"/>
            <w:shd w:val="clear" w:color="auto" w:fill="DDEBED"/>
          </w:tcPr>
          <w:p>
            <w:pPr>
              <w:pStyle w:val="TableParagraph"/>
              <w:jc w:val="left"/>
              <w:rPr>
                <w:rFonts w:ascii="Times New Roman"/>
                <w:sz w:val="18"/>
              </w:rPr>
            </w:pPr>
          </w:p>
        </w:tc>
      </w:tr>
      <w:tr>
        <w:tblPrEx>
          <w:tblW w:w="0" w:type="auto"/>
          <w:jc w:val="left"/>
          <w:tblInd w:w="1150" w:type="dxa"/>
          <w:tblLayout w:type="fixed"/>
          <w:tblCellMar>
            <w:top w:w="0" w:type="dxa"/>
            <w:left w:w="0" w:type="dxa"/>
            <w:bottom w:w="0" w:type="dxa"/>
            <w:right w:w="0" w:type="dxa"/>
          </w:tblCellMar>
          <w:tblLook w:val="01E0"/>
        </w:tblPrEx>
        <w:trPr>
          <w:trHeight w:val="783"/>
          <w:jc w:val="left"/>
        </w:trPr>
        <w:tc>
          <w:tcPr>
            <w:tcW w:w="4677" w:type="dxa"/>
            <w:tcBorders>
              <w:right w:val="single" w:sz="6" w:space="0" w:color="9AC6CD"/>
            </w:tcBorders>
          </w:tcPr>
          <w:p>
            <w:pPr>
              <w:pStyle w:val="TableParagraph"/>
              <w:spacing w:before="127" w:line="635" w:lineRule="exact"/>
              <w:ind w:left="31"/>
              <w:jc w:val="left"/>
              <w:rPr>
                <w:rFonts w:ascii="Microsoft JhengHei" w:eastAsia="Microsoft JhengHei" w:hint="eastAsia"/>
                <w:b/>
                <w:sz w:val="40"/>
              </w:rPr>
            </w:pPr>
            <w:r>
              <w:rPr>
                <w:rFonts w:ascii="Microsoft JhengHei" w:eastAsia="Microsoft JhengHei" w:hint="eastAsia"/>
                <w:b/>
                <w:color w:val="59A1AE"/>
                <w:sz w:val="40"/>
              </w:rPr>
              <w:t>光伏逆变器行业</w:t>
            </w:r>
          </w:p>
        </w:tc>
        <w:tc>
          <w:tcPr>
            <w:tcW w:w="2553" w:type="dxa"/>
            <w:tcBorders>
              <w:left w:val="single" w:sz="6" w:space="0" w:color="9AC6CD"/>
              <w:right w:val="single" w:sz="6" w:space="0" w:color="9AC6CD"/>
            </w:tcBorders>
          </w:tcPr>
          <w:p>
            <w:pPr>
              <w:pStyle w:val="TableParagraph"/>
              <w:spacing w:line="313" w:lineRule="exact"/>
              <w:ind w:left="51"/>
              <w:jc w:val="left"/>
              <w:rPr>
                <w:rFonts w:ascii="Microsoft JhengHei" w:eastAsia="Microsoft JhengHei" w:hint="eastAsia"/>
                <w:b/>
                <w:sz w:val="24"/>
              </w:rPr>
            </w:pPr>
            <w:r>
              <w:rPr>
                <w:rFonts w:ascii="Microsoft JhengHei" w:eastAsia="Microsoft JhengHei" w:hint="eastAsia"/>
                <w:b/>
                <w:color w:val="287ED4"/>
                <w:sz w:val="24"/>
              </w:rPr>
              <w:t>行业评级</w:t>
            </w:r>
          </w:p>
          <w:p>
            <w:pPr>
              <w:pStyle w:val="TableParagraph"/>
              <w:spacing w:line="450" w:lineRule="exact"/>
              <w:ind w:left="51"/>
              <w:jc w:val="left"/>
              <w:rPr>
                <w:rFonts w:ascii="Microsoft JhengHei" w:eastAsia="Microsoft JhengHei" w:hint="eastAsia"/>
                <w:b/>
                <w:sz w:val="28"/>
              </w:rPr>
            </w:pPr>
            <w:r>
              <w:rPr>
                <w:rFonts w:ascii="Microsoft JhengHei" w:eastAsia="Microsoft JhengHei" w:hint="eastAsia"/>
                <w:b/>
                <w:color w:val="59A1AE"/>
                <w:sz w:val="28"/>
              </w:rPr>
              <w:t>领先</w:t>
            </w:r>
          </w:p>
        </w:tc>
        <w:tc>
          <w:tcPr>
            <w:tcW w:w="2698" w:type="dxa"/>
            <w:vMerge w:val="restart"/>
            <w:tcBorders>
              <w:left w:val="single" w:sz="6" w:space="0" w:color="9AC6CD"/>
            </w:tcBorders>
          </w:tcPr>
          <w:p>
            <w:pPr>
              <w:pStyle w:val="TableParagraph"/>
              <w:spacing w:before="88"/>
              <w:ind w:left="1405"/>
              <w:jc w:val="left"/>
              <w:rPr>
                <w:rFonts w:ascii="宋体" w:eastAsia="宋体" w:hint="eastAsia"/>
                <w:sz w:val="18"/>
              </w:rPr>
            </w:pPr>
            <w:r>
              <w:rPr>
                <w:rFonts w:ascii="Calibri" w:eastAsia="Calibri"/>
                <w:sz w:val="18"/>
              </w:rPr>
              <w:t>2024</w:t>
            </w:r>
            <w:r>
              <w:rPr>
                <w:rFonts w:ascii="宋体" w:eastAsia="宋体" w:hint="eastAsia"/>
                <w:sz w:val="18"/>
              </w:rPr>
              <w:t>年</w:t>
            </w:r>
            <w:r>
              <w:rPr>
                <w:rFonts w:ascii="Calibri" w:eastAsia="Calibri"/>
                <w:sz w:val="18"/>
              </w:rPr>
              <w:t>3</w:t>
            </w:r>
            <w:r>
              <w:rPr>
                <w:rFonts w:ascii="宋体" w:eastAsia="宋体" w:hint="eastAsia"/>
                <w:sz w:val="18"/>
              </w:rPr>
              <w:t>月</w:t>
            </w:r>
            <w:r>
              <w:rPr>
                <w:rFonts w:ascii="Calibri" w:eastAsia="Calibri"/>
                <w:sz w:val="18"/>
              </w:rPr>
              <w:t>11</w:t>
            </w:r>
            <w:r>
              <w:rPr>
                <w:rFonts w:ascii="宋体" w:eastAsia="宋体" w:hint="eastAsia"/>
                <w:sz w:val="18"/>
              </w:rPr>
              <w:t>日</w:t>
            </w:r>
          </w:p>
        </w:tc>
      </w:tr>
      <w:tr>
        <w:tblPrEx>
          <w:tblW w:w="0" w:type="auto"/>
          <w:jc w:val="left"/>
          <w:tblInd w:w="1150" w:type="dxa"/>
          <w:tblLayout w:type="fixed"/>
          <w:tblCellMar>
            <w:top w:w="0" w:type="dxa"/>
            <w:left w:w="0" w:type="dxa"/>
            <w:bottom w:w="0" w:type="dxa"/>
            <w:right w:w="0" w:type="dxa"/>
          </w:tblCellMar>
          <w:tblLook w:val="01E0"/>
        </w:tblPrEx>
        <w:trPr>
          <w:trHeight w:val="238"/>
          <w:jc w:val="left"/>
        </w:trPr>
        <w:tc>
          <w:tcPr>
            <w:tcW w:w="7230" w:type="dxa"/>
            <w:gridSpan w:val="2"/>
            <w:tcBorders>
              <w:right w:val="single" w:sz="6" w:space="0" w:color="9AC6CD"/>
            </w:tcBorders>
            <w:shd w:val="clear" w:color="auto" w:fill="DDEBED"/>
          </w:tcPr>
          <w:p>
            <w:pPr>
              <w:pStyle w:val="TableParagraph"/>
              <w:jc w:val="left"/>
              <w:rPr>
                <w:rFonts w:ascii="Times New Roman"/>
                <w:sz w:val="16"/>
              </w:rPr>
            </w:pPr>
          </w:p>
        </w:tc>
        <w:tc>
          <w:tcPr>
            <w:tcW w:w="2698" w:type="dxa"/>
            <w:vMerge/>
            <w:tcBorders>
              <w:top w:val="nil"/>
              <w:left w:val="single" w:sz="6" w:space="0" w:color="9AC6CD"/>
            </w:tcBorders>
          </w:tcPr>
          <w:p>
            <w:pPr>
              <w:rPr>
                <w:sz w:val="2"/>
                <w:szCs w:val="2"/>
              </w:rPr>
            </w:pPr>
          </w:p>
        </w:tc>
      </w:tr>
      <w:tr>
        <w:tblPrEx>
          <w:tblW w:w="0" w:type="auto"/>
          <w:jc w:val="left"/>
          <w:tblInd w:w="1150" w:type="dxa"/>
          <w:tblLayout w:type="fixed"/>
          <w:tblCellMar>
            <w:top w:w="0" w:type="dxa"/>
            <w:left w:w="0" w:type="dxa"/>
            <w:bottom w:w="0" w:type="dxa"/>
            <w:right w:w="0" w:type="dxa"/>
          </w:tblCellMar>
          <w:tblLook w:val="01E0"/>
        </w:tblPrEx>
        <w:trPr>
          <w:trHeight w:val="390"/>
          <w:jc w:val="left"/>
        </w:trPr>
        <w:tc>
          <w:tcPr>
            <w:tcW w:w="7230" w:type="dxa"/>
            <w:gridSpan w:val="2"/>
            <w:tcBorders>
              <w:bottom w:val="single" w:sz="6" w:space="0" w:color="9AC6CD"/>
              <w:right w:val="single" w:sz="6" w:space="0" w:color="9AC6CD"/>
            </w:tcBorders>
          </w:tcPr>
          <w:p>
            <w:pPr>
              <w:pStyle w:val="TableParagraph"/>
              <w:spacing w:line="371" w:lineRule="exact"/>
              <w:ind w:left="7"/>
              <w:jc w:val="left"/>
              <w:rPr>
                <w:rFonts w:ascii="Microsoft JhengHei" w:eastAsia="Microsoft JhengHei" w:hint="eastAsia"/>
                <w:b/>
                <w:sz w:val="32"/>
              </w:rPr>
            </w:pPr>
            <w:r>
              <w:rPr>
                <w:rFonts w:ascii="Microsoft JhengHei" w:eastAsia="Microsoft JhengHei" w:hint="eastAsia"/>
                <w:b/>
                <w:sz w:val="32"/>
              </w:rPr>
              <w:t>储能第二成长曲线已至，拉开逆变器新序章</w:t>
            </w:r>
          </w:p>
        </w:tc>
        <w:tc>
          <w:tcPr>
            <w:tcW w:w="2698" w:type="dxa"/>
            <w:vMerge/>
            <w:tcBorders>
              <w:top w:val="nil"/>
              <w:left w:val="single" w:sz="6" w:space="0" w:color="9AC6CD"/>
            </w:tcBorders>
          </w:tcPr>
          <w:p>
            <w:pPr>
              <w:rPr>
                <w:sz w:val="2"/>
                <w:szCs w:val="2"/>
              </w:rPr>
            </w:pPr>
          </w:p>
        </w:tc>
      </w:tr>
    </w:tbl>
    <w:p>
      <w:pPr>
        <w:pStyle w:val="BodyText"/>
        <w:spacing w:before="9"/>
        <w:rPr>
          <w:rFonts w:ascii="Microsoft JhengHei"/>
          <w:b/>
          <w:sz w:val="7"/>
        </w:rPr>
      </w:pPr>
    </w:p>
    <w:p>
      <w:pPr>
        <w:spacing w:after="0"/>
        <w:rPr>
          <w:rFonts w:ascii="Microsoft JhengHei"/>
          <w:sz w:val="7"/>
        </w:rPr>
        <w:sectPr>
          <w:headerReference w:type="default" r:id="rId7"/>
          <w:footerReference w:type="default" r:id="rId8"/>
          <w:pgSz w:w="12240" w:h="15840"/>
          <w:pgMar w:top="740" w:right="0" w:bottom="280" w:left="0" w:header="708" w:footer="708"/>
          <w:pgNumType w:start="2"/>
          <w:cols w:space="708"/>
        </w:sectPr>
      </w:pPr>
    </w:p>
    <w:p>
      <w:pPr>
        <w:pStyle w:val="Heading4"/>
        <w:tabs>
          <w:tab w:val="left" w:pos="1511"/>
        </w:tabs>
        <w:spacing w:before="22" w:line="332" w:lineRule="exact"/>
        <w:rPr>
          <w:rFonts w:ascii="宋体" w:eastAsia="宋体" w:hAnsi="宋体" w:hint="eastAsia"/>
          <w:b w:val="0"/>
        </w:rPr>
      </w:pPr>
      <w:r>
        <w:rPr>
          <w:rFonts w:ascii="Symbol" w:eastAsia="Symbol" w:hAnsi="Symbol"/>
          <w:b w:val="0"/>
          <w:color w:val="59A1AE"/>
          <w:sz w:val="20"/>
        </w:rPr>
        <w:sym w:font="Symbol" w:char="F051"/>
      </w:r>
      <w:r>
        <w:rPr>
          <w:rFonts w:ascii="Times New Roman" w:eastAsia="Times New Roman" w:hAnsi="Times New Roman"/>
          <w:b w:val="0"/>
          <w:color w:val="59A1AE"/>
          <w:sz w:val="20"/>
        </w:rPr>
        <w:tab/>
      </w:r>
      <w:r>
        <w:t>储能第二曲线爆发下逆变器成长性高于光伏其他环节且确定性高：</w:t>
      </w:r>
      <w:r>
        <w:rPr>
          <w:rFonts w:ascii="宋体" w:eastAsia="宋体" w:hAnsi="宋体" w:hint="eastAsia"/>
          <w:b w:val="0"/>
        </w:rPr>
        <w:t>逆变器</w:t>
      </w:r>
    </w:p>
    <w:p>
      <w:pPr>
        <w:pStyle w:val="Heading3"/>
        <w:spacing w:before="15" w:line="339" w:lineRule="exact"/>
        <w:ind w:left="196"/>
      </w:pPr>
      <w:r>
        <w:rPr>
          <w:b w:val="0"/>
        </w:rPr>
        <w:br w:type="column"/>
      </w:r>
      <w:r>
        <w:t>行业与大盘一年趋势图</w:t>
      </w:r>
    </w:p>
    <w:p>
      <w:pPr>
        <w:spacing w:after="0" w:line="339" w:lineRule="exact"/>
        <w:sectPr>
          <w:headerReference w:type="default" r:id="rId9"/>
          <w:footerReference w:type="default" r:id="rId10"/>
          <w:type w:val="continuous"/>
          <w:pgSz w:w="12240" w:h="15840"/>
          <w:pgMar w:top="1500" w:right="0" w:bottom="280" w:left="0" w:header="708" w:footer="708"/>
          <w:pgNumType w:start="3"/>
          <w:cols w:num="2" w:space="708" w:equalWidth="0">
            <w:col w:w="8294" w:space="40"/>
            <w:col w:w="3906" w:space="0"/>
          </w:cols>
        </w:sectPr>
      </w:pPr>
    </w:p>
    <w:p>
      <w:pPr>
        <w:tabs>
          <w:tab w:val="left" w:pos="7595"/>
          <w:tab w:val="left" w:pos="8030"/>
          <w:tab w:val="left" w:pos="8987"/>
        </w:tabs>
        <w:spacing w:before="0" w:line="221" w:lineRule="exact"/>
        <w:ind w:left="126" w:right="0" w:firstLine="0"/>
        <w:jc w:val="center"/>
        <w:rPr>
          <w:sz w:val="12"/>
        </w:rPr>
      </w:pPr>
      <w:r>
        <w:pict>
          <v:line id="_x0000_s1029" style="mso-position-horizontal-relative:page;position:absolute;z-index:-251656192" from="426.5pt,2.3pt" to="554.05pt,2.3pt" stroked="t" strokecolor="black" strokeweight="0.5pt">
            <v:stroke dashstyle="solid"/>
          </v:line>
        </w:pict>
      </w:r>
      <w:r>
        <w:rPr>
          <w:position w:val="1"/>
          <w:sz w:val="21"/>
        </w:rPr>
        <w:t>是光伏发电系统中唯一具备高度智能化处理功能的设备，其性能对发电量</w:t>
        <w:tab/>
      </w:r>
      <w:r>
        <w:rPr>
          <w:position w:val="1"/>
          <w:sz w:val="21"/>
          <w:u w:val="thick" w:color="1D5D9E"/>
        </w:rPr>
        <w:t xml:space="preserve"> </w:t>
        <w:tab/>
      </w:r>
      <w:r>
        <w:rPr>
          <w:sz w:val="12"/>
        </w:rPr>
        <w:t>行业表现</w:t>
      </w:r>
      <w:r>
        <w:rPr>
          <w:sz w:val="12"/>
          <w:u w:val="thick" w:color="A1C3E2"/>
        </w:rPr>
        <w:t xml:space="preserve"> </w:t>
        <w:tab/>
      </w:r>
      <w:r>
        <w:rPr>
          <w:sz w:val="12"/>
        </w:rPr>
        <w:t>恒生指数</w:t>
      </w:r>
    </w:p>
    <w:p>
      <w:pPr>
        <w:spacing w:after="0" w:line="221" w:lineRule="exact"/>
        <w:jc w:val="center"/>
        <w:rPr>
          <w:sz w:val="12"/>
        </w:rPr>
        <w:sectPr>
          <w:headerReference w:type="default" r:id="rId11"/>
          <w:footerReference w:type="default" r:id="rId12"/>
          <w:type w:val="continuous"/>
          <w:pgSz w:w="12240" w:h="15840"/>
          <w:pgMar w:top="1500" w:right="0" w:bottom="280" w:left="0" w:header="708" w:footer="708"/>
          <w:pgNumType w:start="4"/>
          <w:cols w:space="708"/>
        </w:sectPr>
      </w:pPr>
    </w:p>
    <w:p>
      <w:pPr>
        <w:pStyle w:val="BodyText"/>
        <w:spacing w:before="19" w:line="213" w:lineRule="auto"/>
        <w:ind w:left="1511" w:right="3"/>
      </w:pPr>
      <w:r>
        <w:t>影响较大。相比光伏制造其他环节，我们认为逆变器同质化较低，可维持较高的利润率，同时随着新能源发电量占比快速提升和储能成本大幅下降</w:t>
      </w:r>
    </w:p>
    <w:p>
      <w:pPr>
        <w:pStyle w:val="BodyText"/>
        <w:spacing w:line="233" w:lineRule="exact"/>
        <w:ind w:left="1511"/>
      </w:pPr>
      <w:r>
        <w:t>，储能需求快速爆发，逆变器还拥有储能这一第二成长曲线，成长性更高</w:t>
      </w:r>
    </w:p>
    <w:p>
      <w:pPr>
        <w:pStyle w:val="BodyText"/>
        <w:spacing w:before="9" w:line="213" w:lineRule="auto"/>
        <w:ind w:left="1511" w:right="3"/>
      </w:pPr>
      <w:r>
        <w:t>，且无技术路线风险，因此是难得具确定性的长期成长赛道，尽管未来竞争或加剧，但龙头企业仍可以量补价实现业绩持续增长。</w:t>
      </w:r>
    </w:p>
    <w:p>
      <w:pPr>
        <w:spacing w:before="139" w:line="196" w:lineRule="auto"/>
        <w:ind w:left="1511" w:right="0" w:hanging="360"/>
        <w:jc w:val="both"/>
        <w:rPr>
          <w:sz w:val="21"/>
        </w:rPr>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sz w:val="21"/>
        </w:rPr>
        <w:t>光储装机爆发推动逆变器需求快速增长</w:t>
      </w:r>
      <w:r>
        <w:rPr>
          <w:rFonts w:ascii="Malgun Gothic" w:eastAsia="Malgun Gothic" w:hAnsi="Malgun Gothic" w:hint="eastAsia"/>
          <w:b/>
          <w:sz w:val="21"/>
        </w:rPr>
        <w:t>，</w:t>
      </w:r>
      <w:r>
        <w:rPr>
          <w:rFonts w:ascii="Microsoft JhengHei" w:eastAsia="Microsoft JhengHei" w:hAnsi="Microsoft JhengHei" w:hint="eastAsia"/>
          <w:b/>
          <w:sz w:val="21"/>
        </w:rPr>
        <w:t>储能占比提高推升单位毛利：</w:t>
      </w:r>
      <w:r>
        <w:rPr>
          <w:sz w:val="21"/>
        </w:rPr>
        <w:t>在光伏新增装机、存量项目替换、储能三重需求驱动下，我们预计</w:t>
      </w:r>
      <w:r>
        <w:rPr>
          <w:rFonts w:ascii="Calibri" w:eastAsia="Calibri" w:hAnsi="Calibri"/>
          <w:sz w:val="21"/>
        </w:rPr>
        <w:t xml:space="preserve">2023/24 </w:t>
      </w:r>
      <w:r>
        <w:rPr>
          <w:sz w:val="21"/>
        </w:rPr>
        <w:t>年全球逆变器需求将达</w:t>
      </w:r>
      <w:r>
        <w:rPr>
          <w:rFonts w:ascii="Calibri" w:eastAsia="Calibri" w:hAnsi="Calibri"/>
          <w:sz w:val="21"/>
        </w:rPr>
        <w:t>463/568GW</w:t>
      </w:r>
      <w:r>
        <w:rPr>
          <w:sz w:val="21"/>
        </w:rPr>
        <w:t>，增速</w:t>
      </w:r>
      <w:r>
        <w:rPr>
          <w:rFonts w:ascii="Calibri" w:eastAsia="Calibri" w:hAnsi="Calibri"/>
          <w:sz w:val="21"/>
        </w:rPr>
        <w:t>64%/23%</w:t>
      </w:r>
      <w:r>
        <w:rPr>
          <w:sz w:val="21"/>
        </w:rPr>
        <w:t>，此后仍将多年保持在</w:t>
      </w:r>
    </w:p>
    <w:p>
      <w:pPr>
        <w:pStyle w:val="BodyText"/>
        <w:spacing w:before="4" w:line="213" w:lineRule="auto"/>
        <w:ind w:left="1511"/>
        <w:jc w:val="both"/>
      </w:pPr>
      <w:r>
        <w:rPr>
          <w:rFonts w:ascii="Calibri" w:eastAsia="Calibri"/>
        </w:rPr>
        <w:t>20%</w:t>
      </w:r>
      <w:r>
        <w:t>左右，其中储能逆变器增速高达</w:t>
      </w:r>
      <w:r>
        <w:rPr>
          <w:rFonts w:ascii="Calibri" w:eastAsia="Calibri"/>
        </w:rPr>
        <w:t>121%/56%</w:t>
      </w:r>
      <w:r>
        <w:t>，部分弥补了光伏增速放缓的影响，需求占比由</w:t>
      </w:r>
      <w:r>
        <w:rPr>
          <w:rFonts w:ascii="Calibri" w:eastAsia="Calibri"/>
        </w:rPr>
        <w:t>2022</w:t>
      </w:r>
      <w:r>
        <w:t>年的</w:t>
      </w:r>
      <w:r>
        <w:rPr>
          <w:rFonts w:ascii="Calibri" w:eastAsia="Calibri"/>
        </w:rPr>
        <w:t>7%</w:t>
      </w:r>
      <w:r>
        <w:t>提升至</w:t>
      </w:r>
      <w:r>
        <w:rPr>
          <w:rFonts w:ascii="Calibri" w:eastAsia="Calibri"/>
        </w:rPr>
        <w:t>10%/12%</w:t>
      </w:r>
      <w:r>
        <w:t>。储能逆变器单价和毛利率远高于并网逆变器，其占比提高将明显推升单位毛利。</w:t>
      </w:r>
    </w:p>
    <w:p>
      <w:pPr>
        <w:pStyle w:val="BodyText"/>
        <w:spacing w:before="130" w:line="218" w:lineRule="auto"/>
        <w:ind w:left="1511" w:hanging="360"/>
        <w:jc w:val="both"/>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rPr>
        <w:t>竞争格局</w:t>
      </w:r>
      <w:r>
        <w:rPr>
          <w:rFonts w:ascii="Calibri" w:eastAsia="Calibri" w:hAnsi="Calibri"/>
          <w:b/>
        </w:rPr>
        <w:t xml:space="preserve">: </w:t>
      </w:r>
      <w:r>
        <w:rPr>
          <w:rFonts w:ascii="Microsoft JhengHei" w:eastAsia="Microsoft JhengHei" w:hAnsi="Microsoft JhengHei" w:hint="eastAsia"/>
          <w:b/>
        </w:rPr>
        <w:t>内地企业优势明显，不断抢占全球份额：</w:t>
      </w:r>
      <w:r>
        <w:t>由于明显的性价比优势，內地企业不断在海外抢占海外企业份额，</w:t>
      </w:r>
      <w:r>
        <w:rPr>
          <w:rFonts w:ascii="Calibri" w:eastAsia="Calibri" w:hAnsi="Calibri"/>
        </w:rPr>
        <w:t>2022</w:t>
      </w:r>
      <w:r>
        <w:t>年全球市占率达</w:t>
      </w:r>
      <w:r>
        <w:rPr>
          <w:rFonts w:ascii="Calibri" w:eastAsia="Calibri" w:hAnsi="Calibri"/>
        </w:rPr>
        <w:t>7-8</w:t>
      </w:r>
      <w:r>
        <w:t>成， 我们预计还将继续提升至</w:t>
      </w:r>
      <w:r>
        <w:rPr>
          <w:rFonts w:ascii="Calibri" w:eastAsia="Calibri" w:hAnsi="Calibri"/>
        </w:rPr>
        <w:t>9</w:t>
      </w:r>
      <w:r>
        <w:t>成。全球前十大逆变器厂商中，中国厂商占据</w:t>
      </w:r>
      <w:r>
        <w:rPr>
          <w:rFonts w:ascii="Calibri" w:eastAsia="Calibri" w:hAnsi="Calibri"/>
        </w:rPr>
        <w:t xml:space="preserve">8 </w:t>
      </w:r>
      <w:r>
        <w:t>席，阳光电源、华为稳居前二，其他龙头占据户用等细分市场。</w:t>
      </w:r>
    </w:p>
    <w:p>
      <w:pPr>
        <w:spacing w:before="144" w:line="196" w:lineRule="auto"/>
        <w:ind w:left="1511" w:right="0" w:hanging="360"/>
        <w:jc w:val="both"/>
        <w:rPr>
          <w:rFonts w:ascii="Calibri" w:eastAsia="Calibri" w:hAnsi="Calibri"/>
          <w:sz w:val="21"/>
        </w:rPr>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sz w:val="21"/>
        </w:rPr>
        <w:t>库存高企导致出口短期下滑但拐点已现，</w:t>
      </w:r>
      <w:r>
        <w:rPr>
          <w:rFonts w:ascii="Calibri" w:eastAsia="Calibri" w:hAnsi="Calibri"/>
          <w:b/>
          <w:sz w:val="21"/>
        </w:rPr>
        <w:t>2024</w:t>
      </w:r>
      <w:r>
        <w:rPr>
          <w:rFonts w:ascii="Microsoft JhengHei" w:eastAsia="Microsoft JhengHei" w:hAnsi="Microsoft JhengHei" w:hint="eastAsia"/>
          <w:b/>
          <w:sz w:val="21"/>
        </w:rPr>
        <w:t>年将重回增长：</w:t>
      </w:r>
      <w:r>
        <w:rPr>
          <w:sz w:val="21"/>
        </w:rPr>
        <w:t xml:space="preserve">地缘政治因素下欧洲恐慌式进口远超实际装机需求导致库存高企（户用尤为严重）， </w:t>
      </w:r>
      <w:r>
        <w:rPr>
          <w:rFonts w:ascii="Calibri" w:eastAsia="Calibri" w:hAnsi="Calibri"/>
          <w:sz w:val="21"/>
        </w:rPr>
        <w:t>2023</w:t>
      </w:r>
      <w:r>
        <w:rPr>
          <w:sz w:val="21"/>
        </w:rPr>
        <w:t>年</w:t>
      </w:r>
      <w:r>
        <w:rPr>
          <w:rFonts w:ascii="Calibri" w:eastAsia="Calibri" w:hAnsi="Calibri"/>
          <w:sz w:val="21"/>
        </w:rPr>
        <w:t>4</w:t>
      </w:r>
      <w:r>
        <w:rPr>
          <w:sz w:val="21"/>
        </w:rPr>
        <w:t>月起逆变器月出口金额连续环比下降，</w:t>
      </w:r>
      <w:r>
        <w:rPr>
          <w:rFonts w:ascii="Calibri" w:eastAsia="Calibri" w:hAnsi="Calibri"/>
          <w:sz w:val="21"/>
        </w:rPr>
        <w:t>10</w:t>
      </w:r>
      <w:r>
        <w:rPr>
          <w:sz w:val="21"/>
        </w:rPr>
        <w:t>月相比</w:t>
      </w:r>
      <w:r>
        <w:rPr>
          <w:rFonts w:ascii="Calibri" w:eastAsia="Calibri" w:hAnsi="Calibri"/>
          <w:sz w:val="21"/>
        </w:rPr>
        <w:t>3</w:t>
      </w:r>
      <w:r>
        <w:rPr>
          <w:sz w:val="21"/>
        </w:rPr>
        <w:t>月顶峰下降</w:t>
      </w:r>
      <w:r>
        <w:rPr>
          <w:rFonts w:ascii="Calibri" w:eastAsia="Calibri" w:hAnsi="Calibri"/>
          <w:sz w:val="21"/>
        </w:rPr>
        <w:t>53%</w:t>
      </w:r>
    </w:p>
    <w:p>
      <w:pPr>
        <w:pStyle w:val="BodyText"/>
        <w:spacing w:before="4" w:line="213" w:lineRule="auto"/>
        <w:ind w:left="1511"/>
        <w:jc w:val="both"/>
      </w:pPr>
      <w:r>
        <w:t>，下半年同比下降</w:t>
      </w:r>
      <w:r>
        <w:rPr>
          <w:rFonts w:ascii="Calibri" w:eastAsia="Calibri"/>
        </w:rPr>
        <w:t>35%</w:t>
      </w:r>
      <w:r>
        <w:t>，但</w:t>
      </w:r>
      <w:r>
        <w:rPr>
          <w:rFonts w:ascii="Calibri" w:eastAsia="Calibri"/>
        </w:rPr>
        <w:t>11/12</w:t>
      </w:r>
      <w:r>
        <w:t>月环比回升</w:t>
      </w:r>
      <w:r>
        <w:rPr>
          <w:rFonts w:ascii="Calibri" w:eastAsia="Calibri"/>
        </w:rPr>
        <w:t>1%/7%</w:t>
      </w:r>
      <w:r>
        <w:t>，拐点已现。欧洲实际装机需求仍然旺盛，我们预计</w:t>
      </w:r>
      <w:r>
        <w:rPr>
          <w:rFonts w:ascii="Calibri" w:eastAsia="Calibri"/>
        </w:rPr>
        <w:t>2024</w:t>
      </w:r>
      <w:r>
        <w:t>年</w:t>
      </w:r>
      <w:r>
        <w:rPr>
          <w:rFonts w:ascii="Calibri" w:eastAsia="Calibri"/>
        </w:rPr>
        <w:t>1</w:t>
      </w:r>
      <w:r>
        <w:t>季度将完成去库存，出口</w:t>
      </w:r>
      <w:r>
        <w:rPr>
          <w:rFonts w:ascii="Calibri" w:eastAsia="Calibri"/>
        </w:rPr>
        <w:t>1</w:t>
      </w:r>
      <w:r>
        <w:t>季度将环比转正，</w:t>
      </w:r>
      <w:r>
        <w:rPr>
          <w:rFonts w:ascii="Calibri" w:eastAsia="Calibri"/>
        </w:rPr>
        <w:t>2</w:t>
      </w:r>
      <w:r>
        <w:t>季度有望恢复正常，下半年将重回同比快速增长。</w:t>
      </w:r>
    </w:p>
    <w:p>
      <w:pPr>
        <w:pStyle w:val="BodyText"/>
        <w:spacing w:before="134" w:line="201" w:lineRule="auto"/>
        <w:ind w:left="1511" w:hanging="360"/>
        <w:jc w:val="both"/>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rPr>
        <w:t>高利润率下竞争将加剧但总体下降空间有限：</w:t>
      </w:r>
      <w:r>
        <w:t>目前并网逆变器在光伏项目投资成本中仅占</w:t>
      </w:r>
      <w:r>
        <w:rPr>
          <w:rFonts w:ascii="Calibri" w:eastAsia="Calibri" w:hAnsi="Calibri"/>
        </w:rPr>
        <w:t>3-4%</w:t>
      </w:r>
      <w:r>
        <w:t>，但其性能对发电量影响较大，因此降价压力相对较小。我们预计未来逆变器将竞争加剧，行业利润率或将由目前较高水平回落，但总体下降空间有限。</w:t>
      </w:r>
    </w:p>
    <w:p>
      <w:pPr>
        <w:pStyle w:val="BodyText"/>
        <w:spacing w:before="137" w:line="201" w:lineRule="auto"/>
        <w:ind w:left="1511" w:hanging="360"/>
        <w:jc w:val="both"/>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spacing w:val="5"/>
        </w:rPr>
        <w:t>板块低估值存修复空间，首选阳光电源：</w:t>
      </w:r>
      <w:r>
        <w:rPr>
          <w:spacing w:val="5"/>
        </w:rPr>
        <w:t>在连续</w:t>
      </w:r>
      <w:r>
        <w:rPr>
          <w:rFonts w:ascii="Calibri" w:eastAsia="Calibri" w:hAnsi="Calibri"/>
          <w:spacing w:val="5"/>
        </w:rPr>
        <w:t>2</w:t>
      </w:r>
      <w:r>
        <w:rPr>
          <w:spacing w:val="4"/>
        </w:rPr>
        <w:t>年股价下跌和业绩大增后，目前板块</w:t>
      </w:r>
      <w:r>
        <w:rPr>
          <w:rFonts w:ascii="Calibri" w:eastAsia="Calibri" w:hAnsi="Calibri"/>
          <w:spacing w:val="4"/>
        </w:rPr>
        <w:t>2024</w:t>
      </w:r>
      <w:r>
        <w:rPr>
          <w:spacing w:val="4"/>
        </w:rPr>
        <w:t>年市盈率降至仅</w:t>
      </w:r>
      <w:r>
        <w:rPr>
          <w:rFonts w:ascii="Calibri" w:eastAsia="Calibri" w:hAnsi="Calibri"/>
          <w:spacing w:val="4"/>
        </w:rPr>
        <w:t>15.7</w:t>
      </w:r>
      <w:r>
        <w:rPr>
          <w:spacing w:val="4"/>
        </w:rPr>
        <w:t>倍，为</w:t>
      </w:r>
      <w:r>
        <w:rPr>
          <w:rFonts w:ascii="Calibri" w:eastAsia="Calibri" w:hAnsi="Calibri"/>
          <w:spacing w:val="4"/>
        </w:rPr>
        <w:t>2020</w:t>
      </w:r>
      <w:r>
        <w:rPr>
          <w:spacing w:val="4"/>
        </w:rPr>
        <w:t>年</w:t>
      </w:r>
      <w:r>
        <w:rPr>
          <w:rFonts w:ascii="Calibri" w:eastAsia="Calibri" w:hAnsi="Calibri"/>
          <w:spacing w:val="4"/>
        </w:rPr>
        <w:t>9</w:t>
      </w:r>
      <w:r>
        <w:rPr>
          <w:spacing w:val="1"/>
        </w:rPr>
        <w:t>月中国宣布双碳目标</w:t>
      </w:r>
      <w:r>
        <w:rPr>
          <w:spacing w:val="3"/>
        </w:rPr>
        <w:t>前远期市盈率的</w:t>
      </w:r>
      <w:r>
        <w:rPr>
          <w:rFonts w:ascii="Calibri" w:eastAsia="Calibri" w:hAnsi="Calibri"/>
        </w:rPr>
        <w:t>38%</w:t>
      </w:r>
      <w:r>
        <w:rPr>
          <w:spacing w:val="1"/>
        </w:rPr>
        <w:t>，我们认为存在估值修复空间，首选大功率产品占比</w:t>
      </w:r>
      <w:r>
        <w:rPr>
          <w:spacing w:val="23"/>
        </w:rPr>
        <w:t>高的低估值龙头阳光电源</w:t>
      </w:r>
      <w:r>
        <w:t>（</w:t>
      </w:r>
      <w:r>
        <w:rPr>
          <w:spacing w:val="-83"/>
        </w:rPr>
        <w:t xml:space="preserve"> </w:t>
      </w:r>
      <w:r>
        <w:rPr>
          <w:rFonts w:ascii="Calibri" w:eastAsia="Calibri" w:hAnsi="Calibri"/>
        </w:rPr>
        <w:t xml:space="preserve">300274 CH </w:t>
      </w:r>
      <w:r>
        <w:rPr>
          <w:spacing w:val="11"/>
        </w:rPr>
        <w:t>）， 并看好户用龙头固德威</w:t>
      </w:r>
      <w:r>
        <w:rPr>
          <w:spacing w:val="-12"/>
        </w:rPr>
        <w:t>（</w:t>
      </w:r>
    </w:p>
    <w:p>
      <w:pPr>
        <w:pStyle w:val="BodyText"/>
        <w:spacing w:line="299" w:lineRule="exact"/>
        <w:ind w:left="1511"/>
        <w:jc w:val="both"/>
      </w:pPr>
      <w:r>
        <w:rPr>
          <w:rFonts w:ascii="Calibri" w:eastAsia="Calibri"/>
        </w:rPr>
        <w:t>688390 CH</w:t>
      </w:r>
      <w:r>
        <w:t>），首次覆盖均给予</w:t>
      </w:r>
      <w:r>
        <w:rPr>
          <w:rFonts w:ascii="Microsoft JhengHei" w:eastAsia="Microsoft JhengHei" w:hint="eastAsia"/>
          <w:b/>
        </w:rPr>
        <w:t>买入</w:t>
      </w:r>
      <w:r>
        <w:t>评级。</w:t>
      </w:r>
    </w:p>
    <w:p>
      <w:pPr>
        <w:pStyle w:val="BodyText"/>
        <w:spacing w:before="7"/>
        <w:rPr>
          <w:sz w:val="25"/>
        </w:rPr>
      </w:pPr>
    </w:p>
    <w:p>
      <w:pPr>
        <w:pStyle w:val="Heading3"/>
        <w:spacing w:line="368" w:lineRule="exact"/>
      </w:pPr>
      <w:r>
        <w:t>估值概要</w:t>
      </w:r>
    </w:p>
    <w:p>
      <w:pPr>
        <w:tabs>
          <w:tab w:val="left" w:pos="2260"/>
          <w:tab w:val="left" w:pos="3516"/>
          <w:tab w:val="left" w:pos="4179"/>
          <w:tab w:val="left" w:pos="5017"/>
          <w:tab w:val="left" w:leader="hyphen" w:pos="7851"/>
        </w:tabs>
        <w:spacing w:before="0" w:line="207" w:lineRule="exact"/>
        <w:ind w:left="1202" w:right="0" w:firstLine="0"/>
        <w:jc w:val="left"/>
        <w:rPr>
          <w:rFonts w:ascii="Microsoft JhengHei" w:eastAsia="Microsoft JhengHei" w:hint="eastAsia"/>
          <w:b/>
          <w:sz w:val="14"/>
        </w:rPr>
      </w:pPr>
      <w:r>
        <w:pict>
          <v:line id="_x0000_s1030" style="mso-position-horizontal-relative:page;position:absolute;z-index:251661312" from="57.55pt,0.85pt" to="414.7pt,0.85pt" stroked="t" strokecolor="black" strokeweight="0.5pt">
            <v:stroke dashstyle="solid"/>
          </v:line>
        </w:pict>
      </w:r>
      <w:r>
        <w:rPr>
          <w:rFonts w:ascii="Microsoft JhengHei" w:eastAsia="Microsoft JhengHei" w:hint="eastAsia"/>
          <w:b/>
          <w:sz w:val="14"/>
        </w:rPr>
        <w:t>公司名称</w:t>
        <w:tab/>
        <w:t>股 票 代 码</w:t>
      </w:r>
      <w:r>
        <w:rPr>
          <w:rFonts w:ascii="Microsoft JhengHei" w:eastAsia="Microsoft JhengHei" w:hint="eastAsia"/>
          <w:b/>
          <w:spacing w:val="31"/>
          <w:sz w:val="14"/>
        </w:rPr>
        <w:t xml:space="preserve"> </w:t>
      </w:r>
      <w:r>
        <w:rPr>
          <w:rFonts w:ascii="Microsoft JhengHei" w:eastAsia="Microsoft JhengHei" w:hint="eastAsia"/>
          <w:b/>
          <w:color w:val="1F2123"/>
          <w:sz w:val="14"/>
        </w:rPr>
        <w:t>评级</w:t>
        <w:tab/>
      </w:r>
      <w:r>
        <w:rPr>
          <w:rFonts w:ascii="Microsoft JhengHei" w:eastAsia="Microsoft JhengHei" w:hint="eastAsia"/>
          <w:b/>
          <w:sz w:val="14"/>
        </w:rPr>
        <w:t>目标价</w:t>
        <w:tab/>
        <w:t>收盘价</w:t>
        <w:tab/>
      </w:r>
      <w:r>
        <w:rPr>
          <w:rFonts w:ascii="Arial Narrow" w:eastAsia="Arial Narrow"/>
          <w:b/>
          <w:sz w:val="14"/>
        </w:rPr>
        <w:t>-----</w:t>
      </w:r>
      <w:r>
        <w:rPr>
          <w:rFonts w:ascii="Microsoft JhengHei" w:eastAsia="Microsoft JhengHei" w:hint="eastAsia"/>
          <w:b/>
          <w:sz w:val="14"/>
        </w:rPr>
        <w:t>每股盈利</w:t>
      </w:r>
      <w:r>
        <w:rPr>
          <w:rFonts w:ascii="Arial Narrow" w:eastAsia="Arial Narrow"/>
          <w:b/>
          <w:sz w:val="14"/>
        </w:rPr>
        <w:t xml:space="preserve">-----    </w:t>
      </w:r>
      <w:r>
        <w:rPr>
          <w:rFonts w:ascii="Arial Narrow" w:eastAsia="Arial Narrow"/>
          <w:b/>
          <w:spacing w:val="18"/>
          <w:sz w:val="14"/>
        </w:rPr>
        <w:t xml:space="preserve"> </w:t>
      </w:r>
      <w:r>
        <w:rPr>
          <w:rFonts w:ascii="Arial Narrow" w:eastAsia="Arial Narrow"/>
          <w:b/>
          <w:sz w:val="14"/>
        </w:rPr>
        <w:t>----</w:t>
      </w:r>
      <w:r>
        <w:rPr>
          <w:rFonts w:ascii="Microsoft JhengHei" w:eastAsia="Microsoft JhengHei" w:hint="eastAsia"/>
          <w:b/>
          <w:sz w:val="14"/>
        </w:rPr>
        <w:t>市盈率</w:t>
      </w:r>
      <w:r>
        <w:rPr>
          <w:rFonts w:ascii="Arial Narrow" w:eastAsia="Arial Narrow"/>
          <w:b/>
          <w:sz w:val="14"/>
        </w:rPr>
        <w:t xml:space="preserve">----    </w:t>
      </w:r>
      <w:r>
        <w:rPr>
          <w:rFonts w:ascii="Arial Narrow" w:eastAsia="Arial Narrow"/>
          <w:b/>
          <w:spacing w:val="18"/>
          <w:sz w:val="14"/>
        </w:rPr>
        <w:t xml:space="preserve"> </w:t>
      </w:r>
      <w:r>
        <w:rPr>
          <w:rFonts w:ascii="Arial Narrow" w:eastAsia="Arial Narrow"/>
          <w:b/>
          <w:sz w:val="14"/>
        </w:rPr>
        <w:t>----</w:t>
      </w:r>
      <w:r>
        <w:rPr>
          <w:rFonts w:ascii="Microsoft JhengHei" w:eastAsia="Microsoft JhengHei" w:hint="eastAsia"/>
          <w:b/>
          <w:sz w:val="14"/>
        </w:rPr>
        <w:t>市账率</w:t>
        <w:tab/>
      </w:r>
      <w:r>
        <w:rPr>
          <w:rFonts w:ascii="Microsoft JhengHei" w:eastAsia="Microsoft JhengHei" w:hint="eastAsia"/>
          <w:b/>
          <w:w w:val="95"/>
          <w:sz w:val="14"/>
        </w:rPr>
        <w:t>股息率</w:t>
      </w:r>
    </w:p>
    <w:p>
      <w:pPr>
        <w:tabs>
          <w:tab w:val="left" w:pos="5607"/>
        </w:tabs>
        <w:spacing w:before="0" w:line="126" w:lineRule="exact"/>
        <w:ind w:left="4928" w:right="0" w:firstLine="0"/>
        <w:jc w:val="left"/>
        <w:rPr>
          <w:rFonts w:ascii="Arial Narrow"/>
          <w:b/>
          <w:sz w:val="14"/>
        </w:rPr>
      </w:pPr>
      <w:r>
        <w:rPr>
          <w:rFonts w:ascii="Arial Narrow"/>
          <w:b/>
          <w:sz w:val="14"/>
        </w:rPr>
        <w:t>FY23E</w:t>
        <w:tab/>
        <w:t xml:space="preserve">FY24E   FY23E   FY24E   FY23E  </w:t>
      </w:r>
      <w:r>
        <w:rPr>
          <w:rFonts w:ascii="Arial Narrow"/>
          <w:b/>
          <w:spacing w:val="12"/>
          <w:sz w:val="14"/>
        </w:rPr>
        <w:t xml:space="preserve"> </w:t>
      </w:r>
      <w:r>
        <w:rPr>
          <w:rFonts w:ascii="Arial Narrow"/>
          <w:b/>
          <w:sz w:val="14"/>
        </w:rPr>
        <w:t>FY24E     FY23E</w:t>
      </w:r>
    </w:p>
    <w:p>
      <w:pPr>
        <w:tabs>
          <w:tab w:val="left" w:pos="6194"/>
          <w:tab w:val="left" w:pos="6647"/>
          <w:tab w:val="left" w:pos="7100"/>
          <w:tab w:val="left" w:pos="7553"/>
          <w:tab w:val="left" w:pos="8092"/>
        </w:tabs>
        <w:spacing w:before="0" w:line="237" w:lineRule="exact"/>
        <w:ind w:left="3300" w:right="0" w:firstLine="0"/>
        <w:jc w:val="left"/>
        <w:rPr>
          <w:rFonts w:ascii="Arial Narrow" w:eastAsia="Arial Narrow"/>
          <w:b/>
          <w:sz w:val="14"/>
        </w:rPr>
      </w:pPr>
      <w:r>
        <w:rPr>
          <w:rFonts w:ascii="Arial Narrow" w:eastAsia="Arial Narrow"/>
          <w:b/>
          <w:sz w:val="14"/>
        </w:rPr>
        <w:t>(</w:t>
      </w:r>
      <w:r>
        <w:rPr>
          <w:rFonts w:ascii="Microsoft JhengHei" w:eastAsia="Microsoft JhengHei" w:hint="eastAsia"/>
          <w:b/>
          <w:sz w:val="14"/>
        </w:rPr>
        <w:t>当地货币</w:t>
      </w:r>
      <w:r>
        <w:rPr>
          <w:rFonts w:ascii="Arial Narrow" w:eastAsia="Arial Narrow"/>
          <w:b/>
          <w:sz w:val="14"/>
        </w:rPr>
        <w:t>)</w:t>
      </w:r>
      <w:r>
        <w:rPr>
          <w:rFonts w:ascii="Arial Narrow" w:eastAsia="Arial Narrow"/>
          <w:b/>
          <w:spacing w:val="-5"/>
          <w:sz w:val="14"/>
        </w:rPr>
        <w:t xml:space="preserve"> </w:t>
      </w:r>
      <w:r>
        <w:rPr>
          <w:rFonts w:ascii="Arial Narrow" w:eastAsia="Arial Narrow"/>
          <w:b/>
          <w:sz w:val="14"/>
        </w:rPr>
        <w:t>(</w:t>
      </w:r>
      <w:r>
        <w:rPr>
          <w:rFonts w:ascii="Microsoft JhengHei" w:eastAsia="Microsoft JhengHei" w:hint="eastAsia"/>
          <w:b/>
          <w:sz w:val="14"/>
        </w:rPr>
        <w:t>当地货币</w:t>
      </w:r>
      <w:r>
        <w:rPr>
          <w:rFonts w:ascii="Arial Narrow" w:eastAsia="Arial Narrow"/>
          <w:b/>
          <w:sz w:val="14"/>
        </w:rPr>
        <w:t>)</w:t>
      </w:r>
      <w:r>
        <w:rPr>
          <w:rFonts w:ascii="Arial Narrow" w:eastAsia="Arial Narrow"/>
          <w:b/>
          <w:spacing w:val="10"/>
          <w:sz w:val="14"/>
        </w:rPr>
        <w:t xml:space="preserve"> </w:t>
      </w:r>
      <w:r>
        <w:rPr>
          <w:rFonts w:ascii="Arial Narrow" w:eastAsia="Arial Narrow"/>
          <w:b/>
          <w:sz w:val="14"/>
        </w:rPr>
        <w:t>(</w:t>
      </w:r>
      <w:r>
        <w:rPr>
          <w:rFonts w:ascii="Microsoft JhengHei" w:eastAsia="Microsoft JhengHei" w:hint="eastAsia"/>
          <w:b/>
          <w:sz w:val="14"/>
        </w:rPr>
        <w:t>报表货币</w:t>
      </w:r>
      <w:r>
        <w:rPr>
          <w:rFonts w:ascii="Arial Narrow" w:eastAsia="Arial Narrow"/>
          <w:b/>
          <w:sz w:val="14"/>
        </w:rPr>
        <w:t>)</w:t>
      </w:r>
      <w:r>
        <w:rPr>
          <w:rFonts w:ascii="Arial Narrow" w:eastAsia="Arial Narrow"/>
          <w:b/>
          <w:spacing w:val="11"/>
          <w:sz w:val="14"/>
        </w:rPr>
        <w:t xml:space="preserve"> </w:t>
      </w:r>
      <w:r>
        <w:rPr>
          <w:rFonts w:ascii="Arial Narrow" w:eastAsia="Arial Narrow"/>
          <w:b/>
          <w:sz w:val="14"/>
        </w:rPr>
        <w:t>(</w:t>
      </w:r>
      <w:r>
        <w:rPr>
          <w:rFonts w:ascii="Microsoft JhengHei" w:eastAsia="Microsoft JhengHei" w:hint="eastAsia"/>
          <w:b/>
          <w:sz w:val="14"/>
        </w:rPr>
        <w:t>报表货币</w:t>
      </w:r>
      <w:r>
        <w:rPr>
          <w:rFonts w:ascii="Arial Narrow" w:eastAsia="Arial Narrow"/>
          <w:b/>
          <w:sz w:val="14"/>
        </w:rPr>
        <w:t>)</w:t>
        <w:tab/>
        <w:t>(</w:t>
      </w:r>
      <w:r>
        <w:rPr>
          <w:rFonts w:ascii="Microsoft JhengHei" w:eastAsia="Microsoft JhengHei" w:hint="eastAsia"/>
          <w:b/>
          <w:sz w:val="14"/>
        </w:rPr>
        <w:t>倍</w:t>
      </w:r>
      <w:r>
        <w:rPr>
          <w:rFonts w:ascii="Arial Narrow" w:eastAsia="Arial Narrow"/>
          <w:b/>
          <w:sz w:val="14"/>
        </w:rPr>
        <w:t>)</w:t>
        <w:tab/>
        <w:t>(</w:t>
      </w:r>
      <w:r>
        <w:rPr>
          <w:rFonts w:ascii="Microsoft JhengHei" w:eastAsia="Microsoft JhengHei" w:hint="eastAsia"/>
          <w:b/>
          <w:sz w:val="14"/>
        </w:rPr>
        <w:t>倍</w:t>
      </w:r>
      <w:r>
        <w:rPr>
          <w:rFonts w:ascii="Arial Narrow" w:eastAsia="Arial Narrow"/>
          <w:b/>
          <w:sz w:val="14"/>
        </w:rPr>
        <w:t>)</w:t>
        <w:tab/>
        <w:t>(</w:t>
      </w:r>
      <w:r>
        <w:rPr>
          <w:rFonts w:ascii="Microsoft JhengHei" w:eastAsia="Microsoft JhengHei" w:hint="eastAsia"/>
          <w:b/>
          <w:sz w:val="14"/>
        </w:rPr>
        <w:t>倍</w:t>
      </w:r>
      <w:r>
        <w:rPr>
          <w:rFonts w:ascii="Arial Narrow" w:eastAsia="Arial Narrow"/>
          <w:b/>
          <w:sz w:val="14"/>
        </w:rPr>
        <w:t>)</w:t>
        <w:tab/>
        <w:t>(</w:t>
      </w:r>
      <w:r>
        <w:rPr>
          <w:rFonts w:ascii="Microsoft JhengHei" w:eastAsia="Microsoft JhengHei" w:hint="eastAsia"/>
          <w:b/>
          <w:sz w:val="14"/>
        </w:rPr>
        <w:t>倍</w:t>
      </w:r>
      <w:r>
        <w:rPr>
          <w:rFonts w:ascii="Arial Narrow" w:eastAsia="Arial Narrow"/>
          <w:b/>
          <w:sz w:val="14"/>
        </w:rPr>
        <w:t>)</w:t>
        <w:tab/>
        <w:t>(%)</w:t>
      </w:r>
    </w:p>
    <w:tbl>
      <w:tblPr>
        <w:tblStyle w:val="TableNormal0"/>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0"/>
        <w:gridCol w:w="906"/>
        <w:gridCol w:w="523"/>
        <w:gridCol w:w="664"/>
        <w:gridCol w:w="704"/>
        <w:gridCol w:w="680"/>
        <w:gridCol w:w="599"/>
        <w:gridCol w:w="454"/>
        <w:gridCol w:w="454"/>
        <w:gridCol w:w="454"/>
        <w:gridCol w:w="510"/>
        <w:gridCol w:w="354"/>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8"/>
          <w:jc w:val="left"/>
        </w:trPr>
        <w:tc>
          <w:tcPr>
            <w:tcW w:w="850" w:type="dxa"/>
            <w:tcBorders>
              <w:top w:val="single" w:sz="4" w:space="0" w:color="000000"/>
            </w:tcBorders>
          </w:tcPr>
          <w:p>
            <w:pPr>
              <w:pStyle w:val="TableParagraph"/>
              <w:spacing w:line="137" w:lineRule="exact"/>
              <w:ind w:left="51"/>
              <w:jc w:val="left"/>
              <w:rPr>
                <w:rFonts w:ascii="宋体" w:eastAsia="宋体" w:hint="eastAsia"/>
                <w:sz w:val="14"/>
              </w:rPr>
            </w:pPr>
            <w:r>
              <w:rPr>
                <w:rFonts w:ascii="宋体" w:eastAsia="宋体" w:hint="eastAsia"/>
                <w:sz w:val="14"/>
              </w:rPr>
              <w:t>阳光电源</w:t>
            </w:r>
          </w:p>
        </w:tc>
        <w:tc>
          <w:tcPr>
            <w:tcW w:w="906" w:type="dxa"/>
            <w:tcBorders>
              <w:top w:val="single" w:sz="4" w:space="0" w:color="000000"/>
            </w:tcBorders>
          </w:tcPr>
          <w:p>
            <w:pPr>
              <w:pStyle w:val="TableParagraph"/>
              <w:spacing w:line="129" w:lineRule="exact"/>
              <w:ind w:right="85"/>
              <w:rPr>
                <w:sz w:val="14"/>
              </w:rPr>
            </w:pPr>
            <w:r>
              <w:rPr>
                <w:sz w:val="14"/>
              </w:rPr>
              <w:t>300274 CH</w:t>
            </w:r>
          </w:p>
        </w:tc>
        <w:tc>
          <w:tcPr>
            <w:tcW w:w="523" w:type="dxa"/>
            <w:tcBorders>
              <w:top w:val="single" w:sz="4" w:space="0" w:color="000000"/>
            </w:tcBorders>
          </w:tcPr>
          <w:p>
            <w:pPr>
              <w:pStyle w:val="TableParagraph"/>
              <w:spacing w:line="137" w:lineRule="exact"/>
              <w:ind w:left="86"/>
              <w:jc w:val="left"/>
              <w:rPr>
                <w:rFonts w:ascii="宋体" w:eastAsia="宋体" w:hint="eastAsia"/>
                <w:sz w:val="14"/>
              </w:rPr>
            </w:pPr>
            <w:r>
              <w:rPr>
                <w:rFonts w:ascii="宋体" w:eastAsia="宋体" w:hint="eastAsia"/>
                <w:sz w:val="14"/>
              </w:rPr>
              <w:t>买入</w:t>
            </w:r>
          </w:p>
        </w:tc>
        <w:tc>
          <w:tcPr>
            <w:tcW w:w="664" w:type="dxa"/>
            <w:tcBorders>
              <w:top w:val="single" w:sz="4" w:space="0" w:color="000000"/>
            </w:tcBorders>
          </w:tcPr>
          <w:p>
            <w:pPr>
              <w:pStyle w:val="TableParagraph"/>
              <w:spacing w:line="129" w:lineRule="exact"/>
              <w:ind w:left="135" w:right="136"/>
              <w:jc w:val="center"/>
              <w:rPr>
                <w:sz w:val="14"/>
              </w:rPr>
            </w:pPr>
            <w:r>
              <w:rPr>
                <w:sz w:val="14"/>
              </w:rPr>
              <w:t>125.50</w:t>
            </w:r>
          </w:p>
        </w:tc>
        <w:tc>
          <w:tcPr>
            <w:tcW w:w="704" w:type="dxa"/>
            <w:tcBorders>
              <w:top w:val="single" w:sz="4" w:space="0" w:color="000000"/>
            </w:tcBorders>
          </w:tcPr>
          <w:p>
            <w:pPr>
              <w:pStyle w:val="TableParagraph"/>
              <w:spacing w:line="129" w:lineRule="exact"/>
              <w:ind w:left="218"/>
              <w:jc w:val="left"/>
              <w:rPr>
                <w:sz w:val="14"/>
              </w:rPr>
            </w:pPr>
            <w:r>
              <w:rPr>
                <w:sz w:val="14"/>
              </w:rPr>
              <w:t>99.40</w:t>
            </w:r>
          </w:p>
        </w:tc>
        <w:tc>
          <w:tcPr>
            <w:tcW w:w="680" w:type="dxa"/>
            <w:tcBorders>
              <w:top w:val="single" w:sz="4" w:space="0" w:color="000000"/>
            </w:tcBorders>
          </w:tcPr>
          <w:p>
            <w:pPr>
              <w:pStyle w:val="TableParagraph"/>
              <w:spacing w:line="129" w:lineRule="exact"/>
              <w:ind w:left="174" w:right="178"/>
              <w:jc w:val="center"/>
              <w:rPr>
                <w:sz w:val="14"/>
              </w:rPr>
            </w:pPr>
            <w:r>
              <w:rPr>
                <w:sz w:val="14"/>
              </w:rPr>
              <w:t>6.491</w:t>
            </w:r>
          </w:p>
        </w:tc>
        <w:tc>
          <w:tcPr>
            <w:tcW w:w="599" w:type="dxa"/>
            <w:tcBorders>
              <w:top w:val="single" w:sz="4" w:space="0" w:color="000000"/>
            </w:tcBorders>
          </w:tcPr>
          <w:p>
            <w:pPr>
              <w:pStyle w:val="TableParagraph"/>
              <w:spacing w:line="129" w:lineRule="exact"/>
              <w:ind w:right="117"/>
              <w:rPr>
                <w:sz w:val="14"/>
              </w:rPr>
            </w:pPr>
            <w:r>
              <w:rPr>
                <w:w w:val="95"/>
                <w:sz w:val="14"/>
              </w:rPr>
              <w:t>7.253</w:t>
            </w:r>
          </w:p>
        </w:tc>
        <w:tc>
          <w:tcPr>
            <w:tcW w:w="454" w:type="dxa"/>
            <w:tcBorders>
              <w:top w:val="single" w:sz="4" w:space="0" w:color="000000"/>
            </w:tcBorders>
          </w:tcPr>
          <w:p>
            <w:pPr>
              <w:pStyle w:val="TableParagraph"/>
              <w:spacing w:line="129" w:lineRule="exact"/>
              <w:ind w:left="110"/>
              <w:jc w:val="left"/>
              <w:rPr>
                <w:sz w:val="14"/>
              </w:rPr>
            </w:pPr>
            <w:r>
              <w:rPr>
                <w:sz w:val="14"/>
              </w:rPr>
              <w:t>15.3</w:t>
            </w:r>
          </w:p>
        </w:tc>
        <w:tc>
          <w:tcPr>
            <w:tcW w:w="454" w:type="dxa"/>
            <w:tcBorders>
              <w:top w:val="single" w:sz="4" w:space="0" w:color="000000"/>
            </w:tcBorders>
          </w:tcPr>
          <w:p>
            <w:pPr>
              <w:pStyle w:val="TableParagraph"/>
              <w:spacing w:line="129" w:lineRule="exact"/>
              <w:ind w:left="89" w:right="98"/>
              <w:jc w:val="center"/>
              <w:rPr>
                <w:sz w:val="14"/>
              </w:rPr>
            </w:pPr>
            <w:r>
              <w:rPr>
                <w:sz w:val="14"/>
              </w:rPr>
              <w:t>13.7</w:t>
            </w:r>
          </w:p>
        </w:tc>
        <w:tc>
          <w:tcPr>
            <w:tcW w:w="454" w:type="dxa"/>
            <w:tcBorders>
              <w:top w:val="single" w:sz="4" w:space="0" w:color="000000"/>
            </w:tcBorders>
          </w:tcPr>
          <w:p>
            <w:pPr>
              <w:pStyle w:val="TableParagraph"/>
              <w:spacing w:line="129" w:lineRule="exact"/>
              <w:ind w:left="87" w:right="99"/>
              <w:jc w:val="center"/>
              <w:rPr>
                <w:sz w:val="14"/>
              </w:rPr>
            </w:pPr>
            <w:r>
              <w:rPr>
                <w:sz w:val="14"/>
              </w:rPr>
              <w:t>5.40</w:t>
            </w:r>
          </w:p>
        </w:tc>
        <w:tc>
          <w:tcPr>
            <w:tcW w:w="510" w:type="dxa"/>
            <w:tcBorders>
              <w:top w:val="single" w:sz="4" w:space="0" w:color="000000"/>
            </w:tcBorders>
          </w:tcPr>
          <w:p>
            <w:pPr>
              <w:pStyle w:val="TableParagraph"/>
              <w:spacing w:line="129" w:lineRule="exact"/>
              <w:ind w:left="107"/>
              <w:jc w:val="left"/>
              <w:rPr>
                <w:sz w:val="14"/>
              </w:rPr>
            </w:pPr>
            <w:r>
              <w:rPr>
                <w:sz w:val="14"/>
              </w:rPr>
              <w:t>3.99</w:t>
            </w:r>
          </w:p>
        </w:tc>
        <w:tc>
          <w:tcPr>
            <w:tcW w:w="354" w:type="dxa"/>
            <w:tcBorders>
              <w:top w:val="single" w:sz="4" w:space="0" w:color="000000"/>
            </w:tcBorders>
          </w:tcPr>
          <w:p>
            <w:pPr>
              <w:pStyle w:val="TableParagraph"/>
              <w:spacing w:line="129" w:lineRule="exact"/>
              <w:ind w:right="30"/>
              <w:rPr>
                <w:sz w:val="14"/>
              </w:rPr>
            </w:pPr>
            <w:r>
              <w:rPr>
                <w:w w:val="95"/>
                <w:sz w:val="14"/>
              </w:rPr>
              <w:t>0.7</w:t>
            </w:r>
          </w:p>
        </w:tc>
      </w:tr>
      <w:tr>
        <w:tblPrEx>
          <w:tblW w:w="0" w:type="auto"/>
          <w:jc w:val="left"/>
          <w:tblInd w:w="1158" w:type="dxa"/>
          <w:tblLayout w:type="fixed"/>
          <w:tblCellMar>
            <w:top w:w="0" w:type="dxa"/>
            <w:left w:w="0" w:type="dxa"/>
            <w:bottom w:w="0" w:type="dxa"/>
            <w:right w:w="0" w:type="dxa"/>
          </w:tblCellMar>
          <w:tblLook w:val="01E0"/>
        </w:tblPrEx>
        <w:trPr>
          <w:trHeight w:val="182"/>
          <w:jc w:val="left"/>
        </w:trPr>
        <w:tc>
          <w:tcPr>
            <w:tcW w:w="850" w:type="dxa"/>
          </w:tcPr>
          <w:p>
            <w:pPr>
              <w:pStyle w:val="TableParagraph"/>
              <w:spacing w:line="158" w:lineRule="exact"/>
              <w:ind w:left="51"/>
              <w:jc w:val="left"/>
              <w:rPr>
                <w:rFonts w:ascii="宋体" w:eastAsia="宋体" w:hint="eastAsia"/>
                <w:sz w:val="14"/>
              </w:rPr>
            </w:pPr>
            <w:r>
              <w:rPr>
                <w:rFonts w:ascii="宋体" w:eastAsia="宋体" w:hint="eastAsia"/>
                <w:sz w:val="14"/>
              </w:rPr>
              <w:t>固德威</w:t>
            </w:r>
          </w:p>
        </w:tc>
        <w:tc>
          <w:tcPr>
            <w:tcW w:w="906" w:type="dxa"/>
          </w:tcPr>
          <w:p>
            <w:pPr>
              <w:pStyle w:val="TableParagraph"/>
              <w:spacing w:line="146" w:lineRule="exact"/>
              <w:ind w:right="85"/>
              <w:rPr>
                <w:sz w:val="14"/>
              </w:rPr>
            </w:pPr>
            <w:r>
              <w:rPr>
                <w:sz w:val="14"/>
              </w:rPr>
              <w:t>688390 CH</w:t>
            </w:r>
          </w:p>
        </w:tc>
        <w:tc>
          <w:tcPr>
            <w:tcW w:w="523" w:type="dxa"/>
          </w:tcPr>
          <w:p>
            <w:pPr>
              <w:pStyle w:val="TableParagraph"/>
              <w:spacing w:line="158" w:lineRule="exact"/>
              <w:ind w:left="86"/>
              <w:jc w:val="left"/>
              <w:rPr>
                <w:rFonts w:ascii="宋体" w:eastAsia="宋体" w:hint="eastAsia"/>
                <w:sz w:val="14"/>
              </w:rPr>
            </w:pPr>
            <w:r>
              <w:rPr>
                <w:rFonts w:ascii="宋体" w:eastAsia="宋体" w:hint="eastAsia"/>
                <w:sz w:val="14"/>
              </w:rPr>
              <w:t>买入</w:t>
            </w:r>
          </w:p>
        </w:tc>
        <w:tc>
          <w:tcPr>
            <w:tcW w:w="664" w:type="dxa"/>
          </w:tcPr>
          <w:p>
            <w:pPr>
              <w:pStyle w:val="TableParagraph"/>
              <w:spacing w:line="146" w:lineRule="exact"/>
              <w:ind w:left="135" w:right="136"/>
              <w:jc w:val="center"/>
              <w:rPr>
                <w:sz w:val="14"/>
              </w:rPr>
            </w:pPr>
            <w:r>
              <w:rPr>
                <w:sz w:val="14"/>
              </w:rPr>
              <w:t>135.60</w:t>
            </w:r>
          </w:p>
        </w:tc>
        <w:tc>
          <w:tcPr>
            <w:tcW w:w="704" w:type="dxa"/>
          </w:tcPr>
          <w:p>
            <w:pPr>
              <w:pStyle w:val="TableParagraph"/>
              <w:spacing w:line="146" w:lineRule="exact"/>
              <w:ind w:left="154"/>
              <w:jc w:val="left"/>
              <w:rPr>
                <w:sz w:val="14"/>
              </w:rPr>
            </w:pPr>
            <w:r>
              <w:rPr>
                <w:sz w:val="14"/>
              </w:rPr>
              <w:t>110.88</w:t>
            </w:r>
          </w:p>
        </w:tc>
        <w:tc>
          <w:tcPr>
            <w:tcW w:w="680" w:type="dxa"/>
          </w:tcPr>
          <w:p>
            <w:pPr>
              <w:pStyle w:val="TableParagraph"/>
              <w:spacing w:line="146" w:lineRule="exact"/>
              <w:ind w:left="174" w:right="178"/>
              <w:jc w:val="center"/>
              <w:rPr>
                <w:sz w:val="14"/>
              </w:rPr>
            </w:pPr>
            <w:r>
              <w:rPr>
                <w:sz w:val="14"/>
              </w:rPr>
              <w:t>5.034</w:t>
            </w:r>
          </w:p>
        </w:tc>
        <w:tc>
          <w:tcPr>
            <w:tcW w:w="599" w:type="dxa"/>
          </w:tcPr>
          <w:p>
            <w:pPr>
              <w:pStyle w:val="TableParagraph"/>
              <w:spacing w:line="146" w:lineRule="exact"/>
              <w:ind w:right="117"/>
              <w:rPr>
                <w:sz w:val="14"/>
              </w:rPr>
            </w:pPr>
            <w:r>
              <w:rPr>
                <w:w w:val="95"/>
                <w:sz w:val="14"/>
              </w:rPr>
              <w:t>5.599</w:t>
            </w:r>
          </w:p>
        </w:tc>
        <w:tc>
          <w:tcPr>
            <w:tcW w:w="454" w:type="dxa"/>
          </w:tcPr>
          <w:p>
            <w:pPr>
              <w:pStyle w:val="TableParagraph"/>
              <w:spacing w:line="146" w:lineRule="exact"/>
              <w:ind w:left="110"/>
              <w:jc w:val="left"/>
              <w:rPr>
                <w:sz w:val="14"/>
              </w:rPr>
            </w:pPr>
            <w:r>
              <w:rPr>
                <w:sz w:val="14"/>
              </w:rPr>
              <w:t>22.0</w:t>
            </w:r>
          </w:p>
        </w:tc>
        <w:tc>
          <w:tcPr>
            <w:tcW w:w="454" w:type="dxa"/>
          </w:tcPr>
          <w:p>
            <w:pPr>
              <w:pStyle w:val="TableParagraph"/>
              <w:spacing w:line="146" w:lineRule="exact"/>
              <w:ind w:left="89" w:right="98"/>
              <w:jc w:val="center"/>
              <w:rPr>
                <w:sz w:val="14"/>
              </w:rPr>
            </w:pPr>
            <w:r>
              <w:rPr>
                <w:sz w:val="14"/>
              </w:rPr>
              <w:t>19.8</w:t>
            </w:r>
          </w:p>
        </w:tc>
        <w:tc>
          <w:tcPr>
            <w:tcW w:w="454" w:type="dxa"/>
          </w:tcPr>
          <w:p>
            <w:pPr>
              <w:pStyle w:val="TableParagraph"/>
              <w:spacing w:line="146" w:lineRule="exact"/>
              <w:ind w:left="87" w:right="99"/>
              <w:jc w:val="center"/>
              <w:rPr>
                <w:sz w:val="14"/>
              </w:rPr>
            </w:pPr>
            <w:r>
              <w:rPr>
                <w:sz w:val="14"/>
              </w:rPr>
              <w:t>6.67</w:t>
            </w:r>
          </w:p>
        </w:tc>
        <w:tc>
          <w:tcPr>
            <w:tcW w:w="510" w:type="dxa"/>
          </w:tcPr>
          <w:p>
            <w:pPr>
              <w:pStyle w:val="TableParagraph"/>
              <w:spacing w:line="146" w:lineRule="exact"/>
              <w:ind w:left="107"/>
              <w:jc w:val="left"/>
              <w:rPr>
                <w:sz w:val="14"/>
              </w:rPr>
            </w:pPr>
            <w:r>
              <w:rPr>
                <w:sz w:val="14"/>
              </w:rPr>
              <w:t>5.40</w:t>
            </w:r>
          </w:p>
        </w:tc>
        <w:tc>
          <w:tcPr>
            <w:tcW w:w="354" w:type="dxa"/>
          </w:tcPr>
          <w:p>
            <w:pPr>
              <w:pStyle w:val="TableParagraph"/>
              <w:spacing w:line="146" w:lineRule="exact"/>
              <w:ind w:right="30"/>
              <w:rPr>
                <w:sz w:val="14"/>
              </w:rPr>
            </w:pPr>
            <w:r>
              <w:rPr>
                <w:w w:val="95"/>
                <w:sz w:val="14"/>
              </w:rPr>
              <w:t>1.4</w:t>
            </w:r>
          </w:p>
        </w:tc>
      </w:tr>
      <w:tr>
        <w:tblPrEx>
          <w:tblW w:w="0" w:type="auto"/>
          <w:jc w:val="left"/>
          <w:tblInd w:w="1158" w:type="dxa"/>
          <w:tblLayout w:type="fixed"/>
          <w:tblCellMar>
            <w:top w:w="0" w:type="dxa"/>
            <w:left w:w="0" w:type="dxa"/>
            <w:bottom w:w="0" w:type="dxa"/>
            <w:right w:w="0" w:type="dxa"/>
          </w:tblCellMar>
          <w:tblLook w:val="01E0"/>
        </w:tblPrEx>
        <w:trPr>
          <w:trHeight w:val="213"/>
          <w:jc w:val="left"/>
        </w:trPr>
        <w:tc>
          <w:tcPr>
            <w:tcW w:w="850" w:type="dxa"/>
            <w:tcBorders>
              <w:bottom w:val="single" w:sz="4" w:space="0" w:color="000000"/>
            </w:tcBorders>
          </w:tcPr>
          <w:p>
            <w:pPr>
              <w:pStyle w:val="TableParagraph"/>
              <w:spacing w:line="165" w:lineRule="exact"/>
              <w:ind w:left="51"/>
              <w:jc w:val="left"/>
              <w:rPr>
                <w:rFonts w:ascii="宋体" w:eastAsia="宋体" w:hint="eastAsia"/>
                <w:sz w:val="14"/>
              </w:rPr>
            </w:pPr>
            <w:r>
              <w:rPr>
                <w:rFonts w:ascii="宋体" w:eastAsia="宋体" w:hint="eastAsia"/>
                <w:color w:val="1F2123"/>
                <w:sz w:val="14"/>
              </w:rPr>
              <w:t>平均</w:t>
            </w:r>
          </w:p>
        </w:tc>
        <w:tc>
          <w:tcPr>
            <w:tcW w:w="906" w:type="dxa"/>
            <w:tcBorders>
              <w:bottom w:val="single" w:sz="4" w:space="0" w:color="000000"/>
            </w:tcBorders>
          </w:tcPr>
          <w:p>
            <w:pPr>
              <w:pStyle w:val="TableParagraph"/>
              <w:jc w:val="left"/>
              <w:rPr>
                <w:rFonts w:ascii="Times New Roman"/>
                <w:sz w:val="14"/>
              </w:rPr>
            </w:pPr>
          </w:p>
        </w:tc>
        <w:tc>
          <w:tcPr>
            <w:tcW w:w="523" w:type="dxa"/>
            <w:tcBorders>
              <w:bottom w:val="single" w:sz="4" w:space="0" w:color="000000"/>
            </w:tcBorders>
          </w:tcPr>
          <w:p>
            <w:pPr>
              <w:pStyle w:val="TableParagraph"/>
              <w:jc w:val="left"/>
              <w:rPr>
                <w:rFonts w:ascii="Times New Roman"/>
                <w:sz w:val="14"/>
              </w:rPr>
            </w:pPr>
          </w:p>
        </w:tc>
        <w:tc>
          <w:tcPr>
            <w:tcW w:w="664" w:type="dxa"/>
            <w:tcBorders>
              <w:bottom w:val="single" w:sz="4" w:space="0" w:color="000000"/>
            </w:tcBorders>
          </w:tcPr>
          <w:p>
            <w:pPr>
              <w:pStyle w:val="TableParagraph"/>
              <w:jc w:val="left"/>
              <w:rPr>
                <w:rFonts w:ascii="Times New Roman"/>
                <w:sz w:val="14"/>
              </w:rPr>
            </w:pPr>
          </w:p>
        </w:tc>
        <w:tc>
          <w:tcPr>
            <w:tcW w:w="704" w:type="dxa"/>
            <w:tcBorders>
              <w:bottom w:val="single" w:sz="4" w:space="0" w:color="000000"/>
            </w:tcBorders>
          </w:tcPr>
          <w:p>
            <w:pPr>
              <w:pStyle w:val="TableParagraph"/>
              <w:jc w:val="left"/>
              <w:rPr>
                <w:rFonts w:ascii="Times New Roman"/>
                <w:sz w:val="14"/>
              </w:rPr>
            </w:pPr>
          </w:p>
        </w:tc>
        <w:tc>
          <w:tcPr>
            <w:tcW w:w="680" w:type="dxa"/>
            <w:tcBorders>
              <w:bottom w:val="single" w:sz="4" w:space="0" w:color="000000"/>
            </w:tcBorders>
          </w:tcPr>
          <w:p>
            <w:pPr>
              <w:pStyle w:val="TableParagraph"/>
              <w:jc w:val="left"/>
              <w:rPr>
                <w:rFonts w:ascii="Times New Roman"/>
                <w:sz w:val="14"/>
              </w:rPr>
            </w:pPr>
          </w:p>
        </w:tc>
        <w:tc>
          <w:tcPr>
            <w:tcW w:w="599" w:type="dxa"/>
            <w:tcBorders>
              <w:bottom w:val="single" w:sz="4" w:space="0" w:color="000000"/>
            </w:tcBorders>
          </w:tcPr>
          <w:p>
            <w:pPr>
              <w:pStyle w:val="TableParagraph"/>
              <w:jc w:val="left"/>
              <w:rPr>
                <w:rFonts w:ascii="Times New Roman"/>
                <w:sz w:val="14"/>
              </w:rPr>
            </w:pPr>
          </w:p>
        </w:tc>
        <w:tc>
          <w:tcPr>
            <w:tcW w:w="454" w:type="dxa"/>
            <w:tcBorders>
              <w:bottom w:val="single" w:sz="4" w:space="0" w:color="000000"/>
            </w:tcBorders>
          </w:tcPr>
          <w:p>
            <w:pPr>
              <w:pStyle w:val="TableParagraph"/>
              <w:spacing w:line="153" w:lineRule="exact"/>
              <w:ind w:left="110"/>
              <w:jc w:val="left"/>
              <w:rPr>
                <w:b/>
                <w:sz w:val="14"/>
              </w:rPr>
            </w:pPr>
            <w:r>
              <w:rPr>
                <w:b/>
                <w:sz w:val="14"/>
              </w:rPr>
              <w:t>18.7</w:t>
            </w:r>
          </w:p>
        </w:tc>
        <w:tc>
          <w:tcPr>
            <w:tcW w:w="454" w:type="dxa"/>
            <w:tcBorders>
              <w:bottom w:val="single" w:sz="4" w:space="0" w:color="000000"/>
            </w:tcBorders>
          </w:tcPr>
          <w:p>
            <w:pPr>
              <w:pStyle w:val="TableParagraph"/>
              <w:spacing w:line="153" w:lineRule="exact"/>
              <w:ind w:left="89" w:right="98"/>
              <w:jc w:val="center"/>
              <w:rPr>
                <w:b/>
                <w:sz w:val="14"/>
              </w:rPr>
            </w:pPr>
            <w:r>
              <w:rPr>
                <w:b/>
                <w:sz w:val="14"/>
              </w:rPr>
              <w:t>16.8</w:t>
            </w:r>
          </w:p>
        </w:tc>
        <w:tc>
          <w:tcPr>
            <w:tcW w:w="454" w:type="dxa"/>
            <w:tcBorders>
              <w:bottom w:val="single" w:sz="4" w:space="0" w:color="000000"/>
            </w:tcBorders>
          </w:tcPr>
          <w:p>
            <w:pPr>
              <w:pStyle w:val="TableParagraph"/>
              <w:spacing w:line="153" w:lineRule="exact"/>
              <w:ind w:left="87" w:right="99"/>
              <w:jc w:val="center"/>
              <w:rPr>
                <w:b/>
                <w:sz w:val="14"/>
              </w:rPr>
            </w:pPr>
            <w:r>
              <w:rPr>
                <w:b/>
                <w:sz w:val="14"/>
              </w:rPr>
              <w:t>6.04</w:t>
            </w:r>
          </w:p>
        </w:tc>
        <w:tc>
          <w:tcPr>
            <w:tcW w:w="510" w:type="dxa"/>
            <w:tcBorders>
              <w:bottom w:val="single" w:sz="4" w:space="0" w:color="000000"/>
            </w:tcBorders>
          </w:tcPr>
          <w:p>
            <w:pPr>
              <w:pStyle w:val="TableParagraph"/>
              <w:spacing w:line="153" w:lineRule="exact"/>
              <w:ind w:left="107"/>
              <w:jc w:val="left"/>
              <w:rPr>
                <w:b/>
                <w:sz w:val="14"/>
              </w:rPr>
            </w:pPr>
            <w:r>
              <w:rPr>
                <w:b/>
                <w:sz w:val="14"/>
              </w:rPr>
              <w:t>4.69</w:t>
            </w:r>
          </w:p>
        </w:tc>
        <w:tc>
          <w:tcPr>
            <w:tcW w:w="354" w:type="dxa"/>
            <w:tcBorders>
              <w:bottom w:val="single" w:sz="4" w:space="0" w:color="000000"/>
            </w:tcBorders>
          </w:tcPr>
          <w:p>
            <w:pPr>
              <w:pStyle w:val="TableParagraph"/>
              <w:spacing w:line="153" w:lineRule="exact"/>
              <w:ind w:right="30"/>
              <w:rPr>
                <w:b/>
                <w:sz w:val="14"/>
              </w:rPr>
            </w:pPr>
            <w:r>
              <w:rPr>
                <w:b/>
                <w:w w:val="95"/>
                <w:sz w:val="14"/>
              </w:rPr>
              <w:t>1.0</w:t>
            </w:r>
          </w:p>
        </w:tc>
      </w:tr>
    </w:tbl>
    <w:p>
      <w:pPr>
        <w:spacing w:before="0"/>
        <w:ind w:left="1150" w:right="0" w:firstLine="0"/>
        <w:jc w:val="left"/>
        <w:rPr>
          <w:sz w:val="14"/>
        </w:rPr>
      </w:pPr>
      <w:r>
        <w:t>资料来源：FactSet、 预测、 收盘价为3月8日价格</w:t>
      </w:r>
    </w:p>
    <w:p>
      <w:pPr>
        <w:spacing w:before="0" w:line="129" w:lineRule="exact"/>
        <w:ind w:left="299" w:right="0" w:firstLine="0"/>
        <w:jc w:val="left"/>
        <w:rPr>
          <w:rFonts w:ascii="Arial Narrow"/>
          <w:sz w:val="12"/>
        </w:rPr>
        <w:sectPr>
          <w:headerReference w:type="default" r:id="rId13"/>
          <w:footerReference w:type="default" r:id="rId14"/>
          <w:type w:val="continuous"/>
          <w:pgSz w:w="12240" w:h="15840"/>
          <w:pgMar w:top="1500" w:right="0" w:bottom="280" w:left="0" w:header="708" w:footer="708"/>
          <w:pgNumType w:start="5"/>
          <w:cols w:num="2" w:space="708" w:equalWidth="0">
            <w:col w:w="8295" w:space="40"/>
            <w:col w:w="3905" w:space="0"/>
          </w:cols>
        </w:sectPr>
      </w:pPr>
      <w:r>
        <w:br w:type="column"/>
      </w:r>
    </w:p>
    <w:p>
      <w:pPr>
        <w:spacing w:before="0" w:line="129" w:lineRule="exact"/>
        <w:ind w:left="299" w:right="0" w:firstLine="0"/>
        <w:jc w:val="left"/>
        <w:rPr>
          <w:rFonts w:ascii="Arial Narrow"/>
          <w:sz w:val="12"/>
        </w:rPr>
      </w:pPr>
      <w:r>
        <w:rPr>
          <w:rFonts w:ascii="Arial Narrow"/>
          <w:sz w:val="12"/>
        </w:rPr>
        <w:t>10%</w:t>
      </w:r>
    </w:p>
    <w:p>
      <w:pPr>
        <w:spacing w:before="0" w:line="128" w:lineRule="exact"/>
        <w:ind w:left="353" w:right="0" w:firstLine="0"/>
        <w:jc w:val="left"/>
        <w:rPr>
          <w:rFonts w:ascii="Arial Narrow"/>
          <w:sz w:val="12"/>
        </w:rPr>
      </w:pPr>
      <w:r>
        <w:drawing>
          <wp:anchor distT="0" distB="0" distL="0" distR="0" simplePos="0" relativeHeight="251662336" behindDoc="0" locked="0" layoutInCell="1" allowOverlap="1">
            <wp:simplePos x="0" y="0"/>
            <wp:positionH relativeFrom="page">
              <wp:posOffset>5645198</wp:posOffset>
            </wp:positionH>
            <wp:positionV relativeFrom="paragraph">
              <wp:posOffset>-40143</wp:posOffset>
            </wp:positionV>
            <wp:extent cx="1224160" cy="806701"/>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5" cstate="print"/>
                    <a:stretch>
                      <a:fillRect/>
                    </a:stretch>
                  </pic:blipFill>
                  <pic:spPr>
                    <a:xfrm>
                      <a:off x="0" y="0"/>
                      <a:ext cx="1224160" cy="806701"/>
                    </a:xfrm>
                    <a:prstGeom prst="rect">
                      <a:avLst/>
                    </a:prstGeom>
                  </pic:spPr>
                </pic:pic>
              </a:graphicData>
            </a:graphic>
          </wp:anchor>
        </w:drawing>
      </w:r>
      <w:r>
        <w:rPr>
          <w:rFonts w:ascii="Arial Narrow"/>
          <w:sz w:val="12"/>
        </w:rPr>
        <w:t>5%</w:t>
      </w:r>
    </w:p>
    <w:p>
      <w:pPr>
        <w:spacing w:before="0" w:line="128" w:lineRule="exact"/>
        <w:ind w:left="353" w:right="0" w:firstLine="0"/>
        <w:jc w:val="left"/>
        <w:rPr>
          <w:rFonts w:ascii="Arial Narrow"/>
          <w:sz w:val="12"/>
        </w:rPr>
      </w:pPr>
      <w:r>
        <w:rPr>
          <w:rFonts w:ascii="Arial Narrow"/>
          <w:sz w:val="12"/>
        </w:rPr>
        <w:t>0%</w:t>
      </w:r>
    </w:p>
    <w:p>
      <w:pPr>
        <w:spacing w:before="0" w:line="128" w:lineRule="exact"/>
        <w:ind w:left="321" w:right="0" w:firstLine="0"/>
        <w:jc w:val="left"/>
        <w:rPr>
          <w:rFonts w:ascii="Arial Narrow"/>
          <w:sz w:val="12"/>
        </w:rPr>
      </w:pPr>
      <w:r>
        <w:rPr>
          <w:rFonts w:ascii="Arial Narrow"/>
          <w:sz w:val="12"/>
        </w:rPr>
        <w:t>-5%</w:t>
      </w:r>
    </w:p>
    <w:p>
      <w:pPr>
        <w:spacing w:before="0" w:line="128" w:lineRule="exact"/>
        <w:ind w:left="266" w:right="0" w:firstLine="0"/>
        <w:jc w:val="left"/>
        <w:rPr>
          <w:rFonts w:ascii="Arial Narrow"/>
          <w:sz w:val="12"/>
        </w:rPr>
      </w:pPr>
      <w:r>
        <w:rPr>
          <w:rFonts w:ascii="Arial Narrow"/>
          <w:sz w:val="12"/>
        </w:rPr>
        <w:t>-10%</w:t>
      </w:r>
    </w:p>
    <w:p>
      <w:pPr>
        <w:spacing w:before="0" w:line="120" w:lineRule="exact"/>
        <w:ind w:left="266" w:right="0" w:firstLine="0"/>
        <w:jc w:val="left"/>
        <w:rPr>
          <w:rFonts w:ascii="Arial Narrow"/>
          <w:sz w:val="12"/>
        </w:rPr>
      </w:pPr>
      <w:r>
        <w:rPr>
          <w:rFonts w:ascii="Arial Narrow"/>
          <w:sz w:val="12"/>
        </w:rPr>
        <w:t>-15%</w:t>
      </w:r>
    </w:p>
    <w:p>
      <w:pPr>
        <w:spacing w:before="0" w:line="128" w:lineRule="exact"/>
        <w:ind w:left="266" w:right="0" w:firstLine="0"/>
        <w:jc w:val="left"/>
        <w:rPr>
          <w:rFonts w:ascii="Arial Narrow"/>
          <w:sz w:val="12"/>
        </w:rPr>
      </w:pPr>
      <w:r>
        <w:rPr>
          <w:rFonts w:ascii="Arial Narrow"/>
          <w:sz w:val="12"/>
        </w:rPr>
        <w:t>-20%</w:t>
      </w:r>
    </w:p>
    <w:p>
      <w:pPr>
        <w:spacing w:before="0" w:line="128" w:lineRule="exact"/>
        <w:ind w:left="266" w:right="0" w:firstLine="0"/>
        <w:jc w:val="left"/>
        <w:rPr>
          <w:rFonts w:ascii="Arial Narrow"/>
          <w:sz w:val="12"/>
        </w:rPr>
      </w:pPr>
      <w:r>
        <w:rPr>
          <w:rFonts w:ascii="Arial Narrow"/>
          <w:sz w:val="12"/>
        </w:rPr>
        <w:t>-25%</w:t>
      </w:r>
    </w:p>
    <w:p>
      <w:pPr>
        <w:spacing w:before="0" w:line="128" w:lineRule="exact"/>
        <w:ind w:left="266" w:right="0" w:firstLine="0"/>
        <w:jc w:val="left"/>
        <w:rPr>
          <w:rFonts w:ascii="Arial Narrow"/>
          <w:sz w:val="12"/>
        </w:rPr>
      </w:pPr>
      <w:r>
        <w:rPr>
          <w:rFonts w:ascii="Arial Narrow"/>
          <w:sz w:val="12"/>
        </w:rPr>
        <w:t>-30%</w:t>
      </w:r>
    </w:p>
    <w:p>
      <w:pPr>
        <w:spacing w:before="0" w:line="128" w:lineRule="exact"/>
        <w:ind w:left="266" w:right="0" w:firstLine="0"/>
        <w:jc w:val="left"/>
        <w:rPr>
          <w:rFonts w:ascii="Arial Narrow"/>
          <w:sz w:val="12"/>
        </w:rPr>
      </w:pPr>
      <w:r>
        <w:rPr>
          <w:rFonts w:ascii="Arial Narrow"/>
          <w:sz w:val="12"/>
        </w:rPr>
        <w:t>-35%</w:t>
      </w:r>
    </w:p>
    <w:p>
      <w:pPr>
        <w:spacing w:before="0" w:line="129" w:lineRule="exact"/>
        <w:ind w:left="266" w:right="0" w:firstLine="0"/>
        <w:jc w:val="left"/>
        <w:rPr>
          <w:rFonts w:ascii="Arial Narrow"/>
          <w:sz w:val="12"/>
        </w:rPr>
      </w:pPr>
      <w:r>
        <w:rPr>
          <w:rFonts w:ascii="Arial Narrow"/>
          <w:sz w:val="12"/>
        </w:rPr>
        <w:t>-40%</w:t>
      </w:r>
    </w:p>
    <w:p>
      <w:pPr>
        <w:tabs>
          <w:tab w:val="left" w:pos="1120"/>
          <w:tab w:val="left" w:pos="1738"/>
        </w:tabs>
        <w:spacing w:before="5"/>
        <w:ind w:left="490" w:right="0" w:firstLine="0"/>
        <w:jc w:val="left"/>
        <w:rPr>
          <w:rFonts w:ascii="Arial Narrow"/>
          <w:sz w:val="12"/>
        </w:rPr>
      </w:pPr>
      <w:r>
        <w:rPr>
          <w:rFonts w:ascii="Arial Narrow"/>
          <w:sz w:val="12"/>
        </w:rPr>
        <w:t>3/23</w:t>
        <w:tab/>
        <w:t>7/23</w:t>
        <w:tab/>
        <w:t>11/23</w:t>
      </w:r>
    </w:p>
    <w:p>
      <w:pPr>
        <w:pStyle w:val="BodyText"/>
        <w:spacing w:before="2"/>
        <w:rPr>
          <w:rFonts w:ascii="Arial Narrow"/>
          <w:sz w:val="5"/>
        </w:rPr>
      </w:pPr>
    </w:p>
    <w:p>
      <w:pPr>
        <w:pStyle w:val="BodyText"/>
        <w:spacing w:line="20" w:lineRule="exact"/>
        <w:ind w:left="191"/>
        <w:rPr>
          <w:rFonts w:ascii="Arial Narrow"/>
          <w:sz w:val="2"/>
        </w:rPr>
      </w:pPr>
      <w:r>
        <w:rPr>
          <w:rFonts w:ascii="Arial Narrow"/>
          <w:sz w:val="2"/>
        </w:rPr>
        <w:pict>
          <v:group id="_x0000_i1031" style="width:127.55pt;height:0.5pt;mso-position-horizontal-relative:char;mso-position-vertical-relative:line" coordorigin="0,0" coordsize="2551,10">
            <v:line id="_x0000_s1032" style="position:absolute" from="0,5" to="2551,5" stroked="t" strokecolor="black" strokeweight="0.5pt">
              <v:stroke dashstyle="solid"/>
            </v:line>
            <w10:wrap type="none"/>
          </v:group>
        </w:pict>
      </w:r>
    </w:p>
    <w:p>
      <w:pPr>
        <w:spacing w:before="0"/>
        <w:ind w:left="195" w:right="0" w:firstLine="0"/>
        <w:jc w:val="left"/>
        <w:rPr>
          <w:rFonts w:ascii="Calibri" w:eastAsia="Calibri"/>
          <w:i/>
          <w:sz w:val="14"/>
        </w:rPr>
      </w:pPr>
      <w:r>
        <w:rPr>
          <w:sz w:val="15"/>
        </w:rPr>
        <w:t>资料来源</w:t>
      </w:r>
      <w:r>
        <w:rPr>
          <w:rFonts w:ascii="Calibri" w:eastAsia="Calibri"/>
          <w:i/>
          <w:sz w:val="14"/>
        </w:rPr>
        <w:t>: FactSet</w:t>
      </w:r>
    </w:p>
    <w:p>
      <w:pPr>
        <w:spacing w:before="116" w:line="343" w:lineRule="exact"/>
        <w:ind w:left="247" w:right="0" w:firstLine="0"/>
        <w:jc w:val="left"/>
        <w:rPr>
          <w:rFonts w:ascii="Calibri" w:eastAsia="Calibri"/>
          <w:sz w:val="20"/>
        </w:rPr>
      </w:pPr>
      <w:r>
        <w:rPr>
          <w:rFonts w:ascii="Microsoft JhengHei" w:eastAsia="Microsoft JhengHei" w:hint="eastAsia"/>
          <w:b/>
          <w:color w:val="59A1AE"/>
          <w:sz w:val="20"/>
        </w:rPr>
        <w:t>文昊</w:t>
      </w:r>
      <w:r>
        <w:rPr>
          <w:rFonts w:ascii="Calibri" w:eastAsia="Calibri"/>
          <w:color w:val="59A1AE"/>
          <w:sz w:val="20"/>
        </w:rPr>
        <w:t>, CPA</w:t>
      </w:r>
    </w:p>
    <w:p>
      <w:pPr>
        <w:spacing w:before="0" w:line="171" w:lineRule="exact"/>
        <w:ind w:left="247" w:right="0" w:firstLine="0"/>
        <w:jc w:val="left"/>
        <w:rPr>
          <w:rFonts w:ascii="Calibri"/>
          <w:sz w:val="16"/>
        </w:rPr>
      </w:pPr>
      <w:hyperlink r:id="rId16">
        <w:r>
          <w:rPr>
            <w:rFonts w:ascii="Calibri"/>
            <w:sz w:val="16"/>
          </w:rPr>
          <w:t>bob.wen@bocomgroup.com</w:t>
        </w:r>
      </w:hyperlink>
    </w:p>
    <w:p>
      <w:pPr>
        <w:spacing w:before="37"/>
        <w:ind w:left="247" w:right="0" w:firstLine="0"/>
        <w:jc w:val="left"/>
        <w:rPr>
          <w:rFonts w:ascii="Calibri"/>
          <w:sz w:val="16"/>
        </w:rPr>
      </w:pPr>
      <w:r>
        <w:rPr>
          <w:rFonts w:ascii="Calibri"/>
          <w:sz w:val="16"/>
        </w:rPr>
        <w:t>(86) 21 6065 3667</w:t>
      </w:r>
    </w:p>
    <w:p>
      <w:pPr>
        <w:pStyle w:val="BodyText"/>
        <w:spacing w:before="4"/>
        <w:rPr>
          <w:rFonts w:ascii="Calibri"/>
          <w:sz w:val="15"/>
        </w:rPr>
      </w:pPr>
    </w:p>
    <w:p>
      <w:pPr>
        <w:spacing w:before="0" w:line="338" w:lineRule="exact"/>
        <w:ind w:left="247" w:right="0" w:firstLine="0"/>
        <w:jc w:val="left"/>
        <w:rPr>
          <w:rFonts w:ascii="Microsoft JhengHei" w:eastAsia="Microsoft JhengHei" w:hint="eastAsia"/>
          <w:b/>
          <w:sz w:val="20"/>
        </w:rPr>
      </w:pPr>
      <w:r>
        <w:rPr>
          <w:rFonts w:ascii="Microsoft JhengHei" w:eastAsia="Microsoft JhengHei" w:hint="eastAsia"/>
          <w:b/>
          <w:color w:val="59A1AE"/>
          <w:sz w:val="20"/>
        </w:rPr>
        <w:t>郑民康</w:t>
      </w:r>
    </w:p>
    <w:p>
      <w:pPr>
        <w:spacing w:before="0" w:line="166" w:lineRule="exact"/>
        <w:ind w:left="247" w:right="0" w:firstLine="0"/>
        <w:jc w:val="left"/>
        <w:rPr>
          <w:rFonts w:ascii="Calibri"/>
          <w:sz w:val="16"/>
        </w:rPr>
      </w:pPr>
      <w:hyperlink r:id="rId17">
        <w:r>
          <w:rPr>
            <w:rFonts w:ascii="Calibri"/>
            <w:sz w:val="16"/>
          </w:rPr>
          <w:t>wallace.cheng@bocomgroup.com</w:t>
        </w:r>
      </w:hyperlink>
    </w:p>
    <w:p>
      <w:pPr>
        <w:spacing w:before="38"/>
        <w:ind w:left="247" w:right="0" w:firstLine="0"/>
        <w:jc w:val="left"/>
        <w:rPr>
          <w:rFonts w:ascii="Calibri"/>
          <w:sz w:val="16"/>
        </w:rPr>
      </w:pPr>
      <w:r>
        <w:rPr>
          <w:rFonts w:ascii="Calibri"/>
          <w:sz w:val="16"/>
        </w:rPr>
        <w:t>(852) 3766 1810</w:t>
      </w:r>
    </w:p>
    <w:p>
      <w:pPr>
        <w:spacing w:after="0"/>
        <w:jc w:val="left"/>
        <w:rPr>
          <w:rFonts w:ascii="Calibri"/>
          <w:sz w:val="16"/>
        </w:rPr>
        <w:sectPr>
          <w:headerReference w:type="default" r:id="rId18"/>
          <w:footerReference w:type="default" r:id="rId19"/>
          <w:type w:val="nextPage"/>
          <w:pgSz w:w="12240" w:h="15840"/>
          <w:pgMar w:top="1500" w:right="0" w:bottom="280" w:left="0" w:header="708" w:footer="708"/>
          <w:pgNumType w:start="6"/>
          <w:cols w:num="2" w:space="708" w:equalWidth="0">
            <w:col w:w="8295" w:space="40"/>
            <w:col w:w="3905" w:space="0"/>
          </w:cols>
          <w:titlePg w:val="0"/>
        </w:sectPr>
      </w:pPr>
    </w:p>
    <w:p>
      <w:pPr>
        <w:pStyle w:val="BodyText"/>
        <w:spacing w:before="9"/>
        <w:rPr>
          <w:rFonts w:ascii="Calibri"/>
          <w:sz w:val="20"/>
        </w:rPr>
      </w:pPr>
    </w:p>
    <w:p>
      <w:pPr>
        <w:pStyle w:val="BodyText"/>
        <w:spacing w:line="58" w:lineRule="exact"/>
        <w:ind w:left="1122"/>
        <w:rPr>
          <w:rFonts w:ascii="Calibri"/>
          <w:sz w:val="5"/>
        </w:rPr>
      </w:pPr>
      <w:r>
        <w:rPr>
          <w:rFonts w:ascii="Calibri"/>
          <w:position w:val="0"/>
          <w:sz w:val="5"/>
        </w:rPr>
        <w:pict>
          <v:group id="_x0000_i1033" style="width:496.9pt;height:2.85pt;mso-position-horizontal-relative:char;mso-position-vertical-relative:line" coordorigin="0,0" coordsize="9938,57">
            <v:line id="_x0000_s1034" style="position:absolute" from="0,28" to="9938,28" stroked="t" strokecolor="#ddebed" strokeweight="2.85pt">
              <v:stroke dashstyle="solid"/>
            </v:line>
            <w10:wrap type="none"/>
          </v:group>
        </w:pict>
      </w:r>
    </w:p>
    <w:p>
      <w:pPr>
        <w:spacing w:before="99" w:line="333" w:lineRule="auto"/>
        <w:ind w:left="1178" w:right="4220" w:firstLine="0"/>
        <w:jc w:val="left"/>
        <w:rPr>
          <w:rFonts w:ascii="Calibri" w:eastAsia="Calibri"/>
          <w:sz w:val="18"/>
        </w:rPr>
      </w:pPr>
      <w:r>
        <w:rPr>
          <w:sz w:val="18"/>
        </w:rPr>
        <w:t>此报告最后部分的分析师披露、商业关系披露和免责声明为报告的一部分，必须阅读。下载本公司之研究报告，可从彭博信息：</w:t>
      </w:r>
      <w:r>
        <w:rPr>
          <w:rFonts w:ascii="Calibri" w:eastAsia="Calibri"/>
          <w:sz w:val="18"/>
        </w:rPr>
        <w:t xml:space="preserve">BOCM </w:t>
      </w:r>
      <w:r>
        <w:rPr>
          <w:sz w:val="18"/>
        </w:rPr>
        <w:t xml:space="preserve">或 </w:t>
      </w:r>
      <w:r>
        <w:rPr>
          <w:rFonts w:ascii="Calibri" w:eastAsia="Calibri"/>
          <w:sz w:val="18"/>
        </w:rPr>
        <w:t>https://research.bocomgroup.com</w:t>
      </w:r>
    </w:p>
    <w:p>
      <w:pPr>
        <w:spacing w:after="0" w:line="333" w:lineRule="auto"/>
        <w:jc w:val="left"/>
        <w:rPr>
          <w:rFonts w:ascii="Calibri" w:eastAsia="Calibri"/>
          <w:sz w:val="18"/>
        </w:rPr>
        <w:sectPr>
          <w:headerReference w:type="default" r:id="rId20"/>
          <w:footerReference w:type="default" r:id="rId21"/>
          <w:type w:val="continuous"/>
          <w:pgSz w:w="12240" w:h="15840"/>
          <w:pgMar w:top="1500" w:right="0" w:bottom="280" w:left="0" w:header="708" w:footer="708"/>
          <w:pgNumType w:start="7"/>
          <w:cols w:space="708"/>
        </w:sectPr>
      </w:pPr>
    </w:p>
    <w:p>
      <w:pPr>
        <w:pStyle w:val="BodyText"/>
        <w:rPr>
          <w:rFonts w:ascii="Calibri"/>
          <w:sz w:val="20"/>
        </w:rPr>
      </w:pPr>
    </w:p>
    <w:p>
      <w:pPr>
        <w:pStyle w:val="BodyText"/>
        <w:spacing w:before="3"/>
        <w:rPr>
          <w:rFonts w:ascii="Calibri"/>
          <w:sz w:val="25"/>
        </w:rPr>
      </w:pPr>
    </w:p>
    <w:p>
      <w:pPr>
        <w:spacing w:before="0" w:line="500" w:lineRule="exact"/>
        <w:ind w:left="68" w:right="0" w:firstLine="0"/>
        <w:jc w:val="center"/>
        <w:rPr>
          <w:rFonts w:ascii="Microsoft JhengHei" w:eastAsia="Microsoft JhengHei" w:hint="eastAsia"/>
          <w:b/>
          <w:sz w:val="36"/>
        </w:rPr>
      </w:pPr>
      <w:r>
        <w:rPr>
          <w:rFonts w:ascii="Microsoft JhengHei" w:eastAsia="Microsoft JhengHei" w:hint="eastAsia"/>
          <w:b/>
          <w:color w:val="287ED4"/>
          <w:sz w:val="36"/>
        </w:rPr>
        <w:t>目录</w:t>
      </w:r>
    </w:p>
    <w:sdt>
      <w:sdtPr>
        <w:id w:val="1463390593"/>
        <w:docPartObj>
          <w:docPartGallery w:val="Table of Contents"/>
          <w:docPartUnique/>
        </w:docPartObj>
      </w:sdtPr>
      <w:sdtContent>
        <w:p>
          <w:pPr>
            <w:pStyle w:val="TOC1"/>
            <w:tabs>
              <w:tab w:val="right" w:leader="dot" w:pos="11049"/>
            </w:tabs>
            <w:spacing w:line="355" w:lineRule="exact"/>
            <w:rPr>
              <w:rFonts w:ascii="Calibri" w:eastAsia="Calibri"/>
            </w:rPr>
          </w:pPr>
          <w:hyperlink w:anchor="_TOC_250018" w:history="1">
            <w:r>
              <w:rPr>
                <w:color w:val="59A1AE"/>
              </w:rPr>
              <w:t>报告亮点：探讨市场关注点</w:t>
              <w:tab/>
            </w:r>
            <w:r>
              <w:rPr>
                <w:rFonts w:ascii="Calibri" w:eastAsia="Calibri"/>
                <w:color w:val="59A1AE"/>
              </w:rPr>
              <w:t>4</w:t>
            </w:r>
          </w:hyperlink>
        </w:p>
        <w:p>
          <w:pPr>
            <w:pStyle w:val="TOC1"/>
            <w:tabs>
              <w:tab w:val="right" w:leader="dot" w:pos="11049"/>
            </w:tabs>
            <w:rPr>
              <w:rFonts w:ascii="Calibri" w:eastAsia="Calibri"/>
            </w:rPr>
          </w:pPr>
          <w:hyperlink w:anchor="_TOC_250017" w:history="1">
            <w:r>
              <w:rPr>
                <w:color w:val="59A1AE"/>
              </w:rPr>
              <w:t>储能为第二成长曲线，光伏、储能装机爆发推动逆变器需求快速增长</w:t>
              <w:tab/>
            </w:r>
            <w:r>
              <w:rPr>
                <w:rFonts w:ascii="Calibri" w:eastAsia="Calibri"/>
                <w:color w:val="59A1AE"/>
              </w:rPr>
              <w:t>5</w:t>
            </w:r>
          </w:hyperlink>
        </w:p>
        <w:p>
          <w:pPr>
            <w:pStyle w:val="TOC2"/>
            <w:tabs>
              <w:tab w:val="right" w:leader="dot" w:pos="11049"/>
            </w:tabs>
            <w:spacing w:before="55"/>
            <w:rPr>
              <w:rFonts w:ascii="Calibri" w:eastAsia="Calibri"/>
            </w:rPr>
          </w:pPr>
          <w:hyperlink w:anchor="_TOC_250016" w:history="1">
            <w:r>
              <w:t>需求端</w:t>
            </w:r>
            <w:r>
              <w:rPr>
                <w:rFonts w:ascii="Calibri" w:eastAsia="Calibri"/>
              </w:rPr>
              <w:t xml:space="preserve">#1: </w:t>
            </w:r>
            <w:r>
              <w:t>光伏新增装机持续快速增长</w:t>
              <w:tab/>
            </w:r>
            <w:r>
              <w:rPr>
                <w:rFonts w:ascii="Calibri" w:eastAsia="Calibri"/>
              </w:rPr>
              <w:t>5</w:t>
            </w:r>
          </w:hyperlink>
        </w:p>
        <w:p>
          <w:pPr>
            <w:pStyle w:val="TOC2"/>
            <w:tabs>
              <w:tab w:val="right" w:leader="dot" w:pos="11049"/>
            </w:tabs>
            <w:spacing w:before="104"/>
            <w:rPr>
              <w:rFonts w:ascii="Calibri" w:eastAsia="Calibri"/>
            </w:rPr>
          </w:pPr>
          <w:hyperlink w:anchor="_TOC_250015" w:history="1">
            <w:r>
              <w:t>需求端</w:t>
            </w:r>
            <w:r>
              <w:rPr>
                <w:rFonts w:ascii="Calibri" w:eastAsia="Calibri"/>
              </w:rPr>
              <w:t xml:space="preserve">#2: </w:t>
            </w:r>
            <w:r>
              <w:t>储能逆变器单位毛利远超并网，需求爆发下成为逆变器第二增长曲线</w:t>
              <w:tab/>
            </w:r>
            <w:r>
              <w:rPr>
                <w:rFonts w:ascii="Calibri" w:eastAsia="Calibri"/>
              </w:rPr>
              <w:t>8</w:t>
            </w:r>
          </w:hyperlink>
        </w:p>
        <w:p>
          <w:pPr>
            <w:pStyle w:val="TOC2"/>
            <w:tabs>
              <w:tab w:val="right" w:leader="dot" w:pos="11049"/>
            </w:tabs>
            <w:rPr>
              <w:rFonts w:ascii="Calibri" w:eastAsia="Calibri"/>
            </w:rPr>
          </w:pPr>
          <w:hyperlink w:anchor="_TOC_250014" w:history="1">
            <w:r>
              <w:t>需求端</w:t>
            </w:r>
            <w:r>
              <w:rPr>
                <w:rFonts w:ascii="Calibri" w:eastAsia="Calibri"/>
              </w:rPr>
              <w:t xml:space="preserve">#3: </w:t>
            </w:r>
            <w:r>
              <w:t>逆变器寿命远短于组件，存量替换需求逐步起量</w:t>
              <w:tab/>
            </w:r>
            <w:r>
              <w:rPr>
                <w:rFonts w:ascii="Calibri" w:eastAsia="Calibri"/>
              </w:rPr>
              <w:t>12</w:t>
            </w:r>
          </w:hyperlink>
        </w:p>
        <w:p>
          <w:pPr>
            <w:pStyle w:val="TOC1"/>
            <w:tabs>
              <w:tab w:val="right" w:leader="dot" w:pos="11049"/>
            </w:tabs>
            <w:spacing w:before="18" w:line="240" w:lineRule="auto"/>
            <w:rPr>
              <w:rFonts w:ascii="Calibri" w:eastAsia="Calibri"/>
            </w:rPr>
          </w:pPr>
          <w:hyperlink w:anchor="_TOC_250013" w:history="1">
            <w:r>
              <w:rPr>
                <w:color w:val="59A1AE"/>
              </w:rPr>
              <w:t>竞争格局</w:t>
            </w:r>
            <w:r>
              <w:rPr>
                <w:rFonts w:ascii="Calibri" w:eastAsia="Calibri"/>
                <w:color w:val="59A1AE"/>
              </w:rPr>
              <w:t>:</w:t>
            </w:r>
            <w:r>
              <w:rPr>
                <w:rFonts w:ascii="Calibri" w:eastAsia="Calibri"/>
                <w:color w:val="59A1AE"/>
                <w:spacing w:val="-1"/>
              </w:rPr>
              <w:t xml:space="preserve"> </w:t>
            </w:r>
            <w:r>
              <w:rPr>
                <w:color w:val="59A1AE"/>
              </w:rPr>
              <w:t>中国企业优势明显，将继续抢占全球份额</w:t>
              <w:tab/>
            </w:r>
            <w:r>
              <w:rPr>
                <w:rFonts w:ascii="Calibri" w:eastAsia="Calibri"/>
                <w:color w:val="59A1AE"/>
              </w:rPr>
              <w:t>13</w:t>
            </w:r>
          </w:hyperlink>
        </w:p>
        <w:p>
          <w:pPr>
            <w:pStyle w:val="TOC2"/>
            <w:tabs>
              <w:tab w:val="right" w:leader="dot" w:pos="11049"/>
            </w:tabs>
            <w:spacing w:before="56"/>
            <w:rPr>
              <w:rFonts w:ascii="Calibri" w:eastAsia="Calibri"/>
            </w:rPr>
          </w:pPr>
          <w:hyperlink w:anchor="_TOC_250012" w:history="1">
            <w:r>
              <w:t>中国企业市占率达</w:t>
            </w:r>
            <w:r>
              <w:rPr>
                <w:spacing w:val="-45"/>
              </w:rPr>
              <w:t xml:space="preserve"> </w:t>
            </w:r>
            <w:r>
              <w:rPr>
                <w:rFonts w:ascii="Calibri" w:eastAsia="Calibri"/>
              </w:rPr>
              <w:t>7-8</w:t>
            </w:r>
            <w:r>
              <w:rPr>
                <w:rFonts w:ascii="Calibri" w:eastAsia="Calibri"/>
                <w:spacing w:val="6"/>
              </w:rPr>
              <w:t xml:space="preserve"> </w:t>
            </w:r>
            <w:r>
              <w:t>成并将继续提升</w:t>
              <w:tab/>
            </w:r>
            <w:r>
              <w:rPr>
                <w:rFonts w:ascii="Calibri" w:eastAsia="Calibri"/>
              </w:rPr>
              <w:t>13</w:t>
            </w:r>
          </w:hyperlink>
        </w:p>
        <w:p>
          <w:pPr>
            <w:pStyle w:val="TOC2"/>
            <w:tabs>
              <w:tab w:val="right" w:leader="dot" w:pos="11049"/>
            </w:tabs>
            <w:rPr>
              <w:rFonts w:ascii="Calibri" w:eastAsia="Calibri"/>
            </w:rPr>
          </w:pPr>
          <w:hyperlink w:anchor="_TOC_250011" w:history="1">
            <w:r>
              <w:t>阳光电源、华为稳居前二，其他龙头占据户用等细分市场</w:t>
              <w:tab/>
            </w:r>
            <w:r>
              <w:rPr>
                <w:rFonts w:ascii="Calibri" w:eastAsia="Calibri"/>
              </w:rPr>
              <w:t>13</w:t>
            </w:r>
          </w:hyperlink>
        </w:p>
        <w:p>
          <w:pPr>
            <w:pStyle w:val="TOC1"/>
            <w:tabs>
              <w:tab w:val="right" w:leader="dot" w:pos="11049"/>
            </w:tabs>
            <w:spacing w:before="19"/>
            <w:rPr>
              <w:rFonts w:ascii="Calibri" w:eastAsia="Calibri"/>
            </w:rPr>
          </w:pPr>
          <w:hyperlink w:anchor="_TOC_250010" w:history="1">
            <w:r>
              <w:rPr>
                <w:color w:val="59A1AE"/>
              </w:rPr>
              <w:t>欧洲库存高企导致出口短期下滑但拐点已现，</w:t>
            </w:r>
            <w:r>
              <w:rPr>
                <w:rFonts w:ascii="Calibri" w:eastAsia="Calibri"/>
                <w:color w:val="59A1AE"/>
              </w:rPr>
              <w:t>2024</w:t>
            </w:r>
            <w:r>
              <w:rPr>
                <w:rFonts w:ascii="Calibri" w:eastAsia="Calibri"/>
                <w:color w:val="59A1AE"/>
                <w:spacing w:val="8"/>
              </w:rPr>
              <w:t xml:space="preserve"> </w:t>
            </w:r>
            <w:r>
              <w:rPr>
                <w:color w:val="59A1AE"/>
              </w:rPr>
              <w:t>年将重回增长</w:t>
              <w:tab/>
            </w:r>
            <w:r>
              <w:rPr>
                <w:rFonts w:ascii="Calibri" w:eastAsia="Calibri"/>
                <w:color w:val="59A1AE"/>
              </w:rPr>
              <w:t>18</w:t>
            </w:r>
          </w:hyperlink>
        </w:p>
        <w:p>
          <w:pPr>
            <w:pStyle w:val="TOC1"/>
            <w:tabs>
              <w:tab w:val="right" w:leader="dot" w:pos="11049"/>
            </w:tabs>
            <w:rPr>
              <w:rFonts w:ascii="Calibri" w:eastAsia="Calibri"/>
            </w:rPr>
          </w:pPr>
          <w:hyperlink w:anchor="_TOC_250009" w:history="1">
            <w:r>
              <w:rPr>
                <w:color w:val="59A1AE"/>
              </w:rPr>
              <w:t>竞争加剧将导致利润率下行，但总体下降空间有限</w:t>
              <w:tab/>
            </w:r>
            <w:r>
              <w:rPr>
                <w:rFonts w:ascii="Calibri" w:eastAsia="Calibri"/>
                <w:color w:val="59A1AE"/>
              </w:rPr>
              <w:t>21</w:t>
            </w:r>
          </w:hyperlink>
        </w:p>
        <w:p>
          <w:pPr>
            <w:pStyle w:val="TOC2"/>
            <w:tabs>
              <w:tab w:val="right" w:leader="dot" w:pos="11049"/>
            </w:tabs>
            <w:spacing w:before="55"/>
            <w:rPr>
              <w:rFonts w:ascii="Calibri" w:eastAsia="Calibri"/>
            </w:rPr>
          </w:pPr>
          <w:hyperlink w:anchor="_TOC_250008" w:history="1">
            <w:r>
              <w:t>逆变器技术含量较高，项目投资成本中占比低，降价压力相对较小</w:t>
              <w:tab/>
            </w:r>
            <w:r>
              <w:rPr>
                <w:rFonts w:ascii="Calibri" w:eastAsia="Calibri"/>
              </w:rPr>
              <w:t>21</w:t>
            </w:r>
          </w:hyperlink>
        </w:p>
        <w:p>
          <w:pPr>
            <w:pStyle w:val="TOC2"/>
            <w:tabs>
              <w:tab w:val="right" w:leader="dot" w:pos="11049"/>
            </w:tabs>
            <w:spacing w:before="104"/>
            <w:rPr>
              <w:rFonts w:ascii="Calibri" w:eastAsia="Calibri"/>
            </w:rPr>
          </w:pPr>
          <w:hyperlink w:anchor="_TOC_250007" w:history="1">
            <w:r>
              <w:t>海外毛利率高于內地，阳光电源毛利率优势明显</w:t>
              <w:tab/>
            </w:r>
            <w:r>
              <w:rPr>
                <w:rFonts w:ascii="Calibri" w:eastAsia="Calibri"/>
              </w:rPr>
              <w:t>22</w:t>
            </w:r>
          </w:hyperlink>
        </w:p>
        <w:p>
          <w:pPr>
            <w:pStyle w:val="TOC2"/>
            <w:tabs>
              <w:tab w:val="right" w:leader="dot" w:pos="11049"/>
            </w:tabs>
            <w:rPr>
              <w:rFonts w:ascii="Calibri" w:eastAsia="Calibri"/>
            </w:rPr>
          </w:pPr>
          <w:hyperlink w:anchor="_TOC_250006" w:history="1">
            <w:r>
              <w:t>预计并网逆变器毛利率将温和下行，储能逆变器下降空间或更大但单位毛利优势仍将较大</w:t>
              <w:tab/>
            </w:r>
            <w:r>
              <w:rPr>
                <w:rFonts w:ascii="Calibri" w:eastAsia="Calibri"/>
              </w:rPr>
              <w:t>23</w:t>
            </w:r>
          </w:hyperlink>
        </w:p>
        <w:p>
          <w:pPr>
            <w:pStyle w:val="TOC1"/>
            <w:tabs>
              <w:tab w:val="right" w:leader="dot" w:pos="11049"/>
            </w:tabs>
            <w:spacing w:before="18"/>
            <w:rPr>
              <w:rFonts w:ascii="Calibri" w:eastAsia="Calibri"/>
            </w:rPr>
          </w:pPr>
          <w:hyperlink w:anchor="_TOC_250005" w:history="1">
            <w:r>
              <w:rPr>
                <w:color w:val="59A1AE"/>
              </w:rPr>
              <w:t>投资机会：逆变器长期增长确定性高，低估值存修复空间，首选阳光电源</w:t>
              <w:tab/>
            </w:r>
            <w:r>
              <w:rPr>
                <w:rFonts w:ascii="Calibri" w:eastAsia="Calibri"/>
                <w:color w:val="59A1AE"/>
              </w:rPr>
              <w:t>24</w:t>
            </w:r>
          </w:hyperlink>
        </w:p>
        <w:p>
          <w:pPr>
            <w:pStyle w:val="TOC1"/>
            <w:tabs>
              <w:tab w:val="right" w:leader="dot" w:pos="11049"/>
            </w:tabs>
            <w:rPr>
              <w:rFonts w:ascii="Calibri" w:eastAsia="Calibri"/>
            </w:rPr>
          </w:pPr>
          <w:hyperlink w:anchor="_TOC_250004" w:history="1">
            <w:r>
              <w:rPr>
                <w:color w:val="59A1AE"/>
              </w:rPr>
              <w:t>附录：逆变器</w:t>
            </w:r>
            <w:r>
              <w:rPr>
                <w:rFonts w:ascii="Calibri" w:eastAsia="Calibri"/>
                <w:color w:val="59A1AE"/>
              </w:rPr>
              <w:t>--</w:t>
            </w:r>
            <w:r>
              <w:rPr>
                <w:color w:val="59A1AE"/>
              </w:rPr>
              <w:t>光伏发电系统的核心部件</w:t>
              <w:tab/>
            </w:r>
            <w:r>
              <w:rPr>
                <w:rFonts w:ascii="Calibri" w:eastAsia="Calibri"/>
                <w:color w:val="59A1AE"/>
              </w:rPr>
              <w:t>26</w:t>
            </w:r>
          </w:hyperlink>
        </w:p>
        <w:p>
          <w:pPr>
            <w:pStyle w:val="TOC2"/>
            <w:tabs>
              <w:tab w:val="right" w:leader="dot" w:pos="11049"/>
            </w:tabs>
            <w:spacing w:before="56"/>
            <w:rPr>
              <w:rFonts w:ascii="Calibri" w:eastAsia="Calibri"/>
            </w:rPr>
          </w:pPr>
          <w:hyperlink w:anchor="_TOC_250003" w:history="1">
            <w:r>
              <w:t>转化直流电为具质量的交流电，其性能对光伏发电量影响较大</w:t>
              <w:tab/>
            </w:r>
            <w:r>
              <w:rPr>
                <w:rFonts w:ascii="Calibri" w:eastAsia="Calibri"/>
              </w:rPr>
              <w:t>26</w:t>
            </w:r>
          </w:hyperlink>
        </w:p>
        <w:p>
          <w:pPr>
            <w:pStyle w:val="TOC2"/>
            <w:tabs>
              <w:tab w:val="right" w:leader="dot" w:pos="11049"/>
            </w:tabs>
            <w:rPr>
              <w:rFonts w:ascii="Calibri" w:eastAsia="Calibri"/>
            </w:rPr>
          </w:pPr>
          <w:hyperlink w:anchor="_TOC_250002" w:history="1">
            <w:r>
              <w:t>组串式为主流，单台功率将持续提升</w:t>
              <w:tab/>
            </w:r>
            <w:r>
              <w:rPr>
                <w:rFonts w:ascii="Calibri" w:eastAsia="Calibri"/>
              </w:rPr>
              <w:t>27</w:t>
            </w:r>
          </w:hyperlink>
        </w:p>
        <w:p>
          <w:pPr>
            <w:pStyle w:val="TOC2"/>
            <w:tabs>
              <w:tab w:val="right" w:leader="dot" w:pos="11049"/>
            </w:tabs>
            <w:spacing w:before="104"/>
            <w:rPr>
              <w:rFonts w:ascii="Calibri" w:eastAsia="Calibri"/>
            </w:rPr>
          </w:pPr>
          <w:hyperlink w:anchor="_TOC_250001" w:history="1">
            <w:r>
              <w:t>单瓦成本与单台功率负相关，大型化趋势下单瓦价格持续下行</w:t>
              <w:tab/>
            </w:r>
            <w:r>
              <w:rPr>
                <w:rFonts w:ascii="Calibri" w:eastAsia="Calibri"/>
              </w:rPr>
              <w:t>29</w:t>
            </w:r>
          </w:hyperlink>
        </w:p>
        <w:p>
          <w:pPr>
            <w:pStyle w:val="TOC2"/>
            <w:tabs>
              <w:tab w:val="right" w:leader="dot" w:pos="11049"/>
            </w:tabs>
            <w:rPr>
              <w:rFonts w:ascii="Calibri" w:eastAsia="Calibri"/>
            </w:rPr>
          </w:pPr>
          <w:hyperlink w:anchor="_TOC_250000" w:history="1">
            <w:r>
              <w:t>直接材料在逆变器成本中占比超</w:t>
            </w:r>
            <w:r>
              <w:rPr>
                <w:spacing w:val="-45"/>
              </w:rPr>
              <w:t xml:space="preserve"> </w:t>
            </w:r>
            <w:r>
              <w:rPr>
                <w:rFonts w:ascii="Calibri" w:eastAsia="Calibri"/>
              </w:rPr>
              <w:t>80%</w:t>
            </w:r>
            <w:r>
              <w:t>，</w:t>
            </w:r>
            <w:r>
              <w:rPr>
                <w:rFonts w:ascii="Calibri" w:eastAsia="Calibri"/>
              </w:rPr>
              <w:t>IGBT</w:t>
            </w:r>
            <w:r>
              <w:rPr>
                <w:rFonts w:ascii="Calibri" w:eastAsia="Calibri"/>
                <w:spacing w:val="5"/>
              </w:rPr>
              <w:t xml:space="preserve"> </w:t>
            </w:r>
            <w:r>
              <w:t>为核心部件</w:t>
              <w:tab/>
            </w:r>
            <w:r>
              <w:rPr>
                <w:rFonts w:ascii="Calibri" w:eastAsia="Calibri"/>
              </w:rPr>
              <w:t>30</w:t>
            </w:r>
          </w:hyperlink>
        </w:p>
        <w:p>
          <w:pPr>
            <w:pStyle w:val="TOC3"/>
            <w:tabs>
              <w:tab w:val="right" w:leader="dot" w:pos="11049"/>
            </w:tabs>
            <w:rPr>
              <w:rFonts w:ascii="Calibri" w:eastAsia="Calibri"/>
              <w:i w:val="0"/>
              <w:sz w:val="24"/>
            </w:rPr>
          </w:pPr>
          <w:r>
            <w:rPr>
              <w:i w:val="0"/>
              <w:color w:val="59A1AE"/>
              <w:sz w:val="25"/>
            </w:rPr>
            <w:t>公司分析</w:t>
            <w:tab/>
          </w:r>
          <w:r>
            <w:rPr>
              <w:rFonts w:ascii="Calibri" w:eastAsia="Calibri"/>
              <w:i w:val="0"/>
              <w:color w:val="59A1AE"/>
              <w:sz w:val="24"/>
            </w:rPr>
            <w:t>32</w:t>
          </w:r>
        </w:p>
        <w:p>
          <w:pPr>
            <w:pStyle w:val="TOC1"/>
            <w:tabs>
              <w:tab w:val="right" w:leader="dot" w:pos="11049"/>
            </w:tabs>
            <w:spacing w:line="413" w:lineRule="exact"/>
            <w:rPr>
              <w:rFonts w:ascii="Calibri" w:eastAsia="Calibri"/>
            </w:rPr>
          </w:pPr>
          <w:r>
            <w:rPr>
              <w:color w:val="59A1AE"/>
            </w:rPr>
            <w:t>阳光电源</w:t>
          </w:r>
          <w:r>
            <w:rPr>
              <w:color w:val="59A1AE"/>
              <w:spacing w:val="-7"/>
            </w:rPr>
            <w:t xml:space="preserve"> </w:t>
          </w:r>
          <w:r>
            <w:rPr>
              <w:rFonts w:ascii="Calibri" w:eastAsia="Calibri"/>
              <w:color w:val="59A1AE"/>
            </w:rPr>
            <w:t>(300274</w:t>
          </w:r>
          <w:r>
            <w:rPr>
              <w:rFonts w:ascii="Calibri" w:eastAsia="Calibri"/>
              <w:color w:val="59A1AE"/>
              <w:spacing w:val="-1"/>
            </w:rPr>
            <w:t xml:space="preserve"> </w:t>
          </w:r>
          <w:r>
            <w:rPr>
              <w:rFonts w:ascii="Calibri" w:eastAsia="Calibri"/>
              <w:color w:val="59A1AE"/>
            </w:rPr>
            <w:t xml:space="preserve">CH): </w:t>
          </w:r>
          <w:r>
            <w:rPr>
              <w:color w:val="59A1AE"/>
            </w:rPr>
            <w:t>业绩井喷后龙头地位助力今明年稳健增长，历史低点估值具吸引力</w:t>
            <w:tab/>
          </w:r>
          <w:r>
            <w:rPr>
              <w:rFonts w:ascii="Calibri" w:eastAsia="Calibri"/>
              <w:color w:val="59A1AE"/>
            </w:rPr>
            <w:t>33</w:t>
          </w:r>
        </w:p>
        <w:p>
          <w:pPr>
            <w:pStyle w:val="TOC1"/>
            <w:tabs>
              <w:tab w:val="right" w:leader="dot" w:pos="11049"/>
            </w:tabs>
            <w:rPr>
              <w:rFonts w:ascii="Calibri" w:eastAsia="Calibri"/>
            </w:rPr>
          </w:pPr>
          <w:r>
            <w:rPr>
              <w:color w:val="59A1AE"/>
            </w:rPr>
            <w:t>固德威</w:t>
          </w:r>
          <w:r>
            <w:rPr>
              <w:color w:val="59A1AE"/>
              <w:spacing w:val="-7"/>
            </w:rPr>
            <w:t xml:space="preserve"> </w:t>
          </w:r>
          <w:r>
            <w:rPr>
              <w:rFonts w:ascii="Calibri" w:eastAsia="Calibri"/>
              <w:color w:val="59A1AE"/>
            </w:rPr>
            <w:t xml:space="preserve">(688390 CH): </w:t>
          </w:r>
          <w:r>
            <w:rPr>
              <w:color w:val="59A1AE"/>
            </w:rPr>
            <w:t>出口恢复下业绩拐点将至，低估值已反映悲观预期</w:t>
            <w:tab/>
          </w:r>
          <w:r>
            <w:rPr>
              <w:rFonts w:ascii="Calibri" w:eastAsia="Calibri"/>
              <w:color w:val="59A1AE"/>
            </w:rPr>
            <w:t>64</w:t>
          </w:r>
        </w:p>
      </w:sdtContent>
    </w:sdt>
    <w:p>
      <w:pPr>
        <w:spacing w:after="0"/>
        <w:rPr>
          <w:rFonts w:ascii="Calibri" w:eastAsia="Calibri"/>
        </w:rPr>
        <w:sectPr>
          <w:headerReference w:type="default" r:id="rId22"/>
          <w:footerReference w:type="default" r:id="rId23"/>
          <w:pgSz w:w="12240" w:h="15840"/>
          <w:pgMar w:top="1720" w:right="0" w:bottom="1380" w:left="0" w:header="708" w:footer="708"/>
          <w:pgNumType w:start="8"/>
          <w:cols w:space="708"/>
        </w:sectPr>
      </w:pPr>
    </w:p>
    <w:p>
      <w:pPr>
        <w:pStyle w:val="BodyText"/>
        <w:spacing w:before="2"/>
        <w:rPr>
          <w:rFonts w:ascii="Calibri"/>
          <w:b/>
          <w:sz w:val="39"/>
        </w:rPr>
      </w:pPr>
    </w:p>
    <w:p>
      <w:pPr>
        <w:pStyle w:val="Heading1"/>
        <w:spacing w:before="1"/>
      </w:pPr>
      <w:bookmarkStart w:id="0" w:name="_TOC_250018"/>
      <w:bookmarkEnd w:id="0"/>
      <w:r>
        <w:rPr>
          <w:color w:val="59A1AE"/>
        </w:rPr>
        <w:t>报告亮点：探讨市场关注点</w:t>
      </w:r>
    </w:p>
    <w:p>
      <w:pPr>
        <w:pStyle w:val="Heading4"/>
        <w:tabs>
          <w:tab w:val="left" w:pos="1507"/>
        </w:tabs>
        <w:spacing w:before="13"/>
      </w:pPr>
      <w:r>
        <w:rPr>
          <w:rFonts w:ascii="Symbol" w:eastAsia="Symbol" w:hAnsi="Symbol"/>
          <w:b w:val="0"/>
          <w:color w:val="59A1AE"/>
          <w:sz w:val="20"/>
        </w:rPr>
        <w:sym w:font="Symbol" w:char="F051"/>
      </w:r>
      <w:r>
        <w:rPr>
          <w:rFonts w:ascii="Times New Roman" w:eastAsia="Times New Roman" w:hAnsi="Times New Roman"/>
          <w:b w:val="0"/>
          <w:color w:val="59A1AE"/>
          <w:sz w:val="20"/>
        </w:rPr>
        <w:tab/>
      </w:r>
      <w:r>
        <w:t>在光伏制造板块内为何更看好逆变器？</w:t>
      </w:r>
    </w:p>
    <w:p>
      <w:pPr>
        <w:pStyle w:val="BodyText"/>
        <w:spacing w:before="123" w:line="265" w:lineRule="exact"/>
        <w:ind w:left="1151"/>
      </w:pPr>
      <w:r>
        <w:rPr>
          <w:spacing w:val="5"/>
        </w:rPr>
        <w:t>相比光伏制造其他环节，我们认为逆变器同质化较低，可维持较高的利润率</w:t>
      </w:r>
    </w:p>
    <w:p>
      <w:pPr>
        <w:pStyle w:val="BodyText"/>
        <w:spacing w:before="2" w:line="232" w:lineRule="auto"/>
        <w:ind w:left="1151" w:right="3960"/>
        <w:jc w:val="both"/>
      </w:pPr>
      <w:r>
        <w:rPr>
          <w:spacing w:val="5"/>
        </w:rPr>
        <w:t>，同时随着新能源发电量占比快速提升和储能成本大幅下降，储能需求快速爆发，逆变器还拥有储能这一快速爆发的第二成长曲线，成长性更高，且无技术路线风险，因此是难得具确定性的长期成长赛道，尽管未来竞争或加剧</w:t>
      </w:r>
    </w:p>
    <w:p>
      <w:pPr>
        <w:pStyle w:val="BodyText"/>
        <w:spacing w:line="260" w:lineRule="exact"/>
        <w:ind w:left="1151"/>
      </w:pPr>
      <w:r>
        <w:t>，但龙头企业仍可以量补价实现业绩持续增长。</w:t>
      </w:r>
    </w:p>
    <w:p>
      <w:pPr>
        <w:pStyle w:val="Heading4"/>
        <w:tabs>
          <w:tab w:val="left" w:pos="1507"/>
        </w:tabs>
      </w:pPr>
      <w:r>
        <w:rPr>
          <w:rFonts w:ascii="Symbol" w:eastAsia="Symbol" w:hAnsi="Symbol"/>
          <w:b w:val="0"/>
          <w:color w:val="59A1AE"/>
          <w:sz w:val="20"/>
        </w:rPr>
        <w:sym w:font="Symbol" w:char="F051"/>
      </w:r>
      <w:r>
        <w:rPr>
          <w:rFonts w:ascii="Times New Roman" w:eastAsia="Times New Roman" w:hAnsi="Times New Roman"/>
          <w:b w:val="0"/>
          <w:color w:val="59A1AE"/>
          <w:sz w:val="20"/>
        </w:rPr>
        <w:tab/>
      </w:r>
      <w:r>
        <w:rPr>
          <w:rFonts w:ascii="Calibri" w:eastAsia="Calibri" w:hAnsi="Calibri"/>
        </w:rPr>
        <w:t>2024</w:t>
      </w:r>
      <w:r>
        <w:t>年光伏增长放缓后逆变器需求增速还能有多少？</w:t>
      </w:r>
    </w:p>
    <w:p>
      <w:pPr>
        <w:pStyle w:val="BodyText"/>
        <w:spacing w:before="129" w:line="232" w:lineRule="auto"/>
        <w:ind w:left="1151" w:right="3954"/>
        <w:jc w:val="both"/>
      </w:pPr>
      <w:r>
        <w:rPr>
          <w:spacing w:val="3"/>
        </w:rPr>
        <w:t>在光伏新增装机、存量项目替换、储能三重需求驱动下，我们预计</w:t>
      </w:r>
      <w:r>
        <w:rPr>
          <w:rFonts w:ascii="Calibri" w:eastAsia="Calibri"/>
        </w:rPr>
        <w:t>2023/24</w:t>
      </w:r>
      <w:r>
        <w:t>年</w:t>
      </w:r>
      <w:r>
        <w:rPr>
          <w:spacing w:val="3"/>
        </w:rPr>
        <w:t>全球逆变器需求将达</w:t>
      </w:r>
      <w:r>
        <w:rPr>
          <w:rFonts w:ascii="Calibri" w:eastAsia="Calibri"/>
        </w:rPr>
        <w:t>463/568GW</w:t>
      </w:r>
      <w:r>
        <w:rPr>
          <w:spacing w:val="1"/>
        </w:rPr>
        <w:t>，增速</w:t>
      </w:r>
      <w:r>
        <w:rPr>
          <w:rFonts w:ascii="Calibri" w:eastAsia="Calibri"/>
        </w:rPr>
        <w:t>64%/23%</w:t>
      </w:r>
      <w:r>
        <w:rPr>
          <w:spacing w:val="1"/>
        </w:rPr>
        <w:t>，此后仍将多年保持在</w:t>
      </w:r>
      <w:r>
        <w:rPr>
          <w:rFonts w:ascii="Calibri" w:eastAsia="Calibri"/>
        </w:rPr>
        <w:t>20%</w:t>
      </w:r>
      <w:r>
        <w:t>左</w:t>
      </w:r>
      <w:r>
        <w:rPr>
          <w:spacing w:val="4"/>
        </w:rPr>
        <w:t>右，其中储能逆变器增速高达</w:t>
      </w:r>
      <w:r>
        <w:rPr>
          <w:rFonts w:ascii="Calibri" w:eastAsia="Calibri"/>
        </w:rPr>
        <w:t>121%/56%</w:t>
      </w:r>
      <w:r>
        <w:rPr>
          <w:spacing w:val="1"/>
        </w:rPr>
        <w:t xml:space="preserve">，部分弥补了光伏增速放缓的影响， </w:t>
      </w:r>
      <w:r>
        <w:rPr>
          <w:spacing w:val="-2"/>
        </w:rPr>
        <w:t>需求占比由</w:t>
      </w:r>
      <w:r>
        <w:rPr>
          <w:rFonts w:ascii="Calibri" w:eastAsia="Calibri"/>
        </w:rPr>
        <w:t>2022</w:t>
      </w:r>
      <w:r>
        <w:rPr>
          <w:spacing w:val="-5"/>
        </w:rPr>
        <w:t>年的</w:t>
      </w:r>
      <w:r>
        <w:rPr>
          <w:rFonts w:ascii="Calibri" w:eastAsia="Calibri"/>
        </w:rPr>
        <w:t>7%</w:t>
      </w:r>
      <w:r>
        <w:rPr>
          <w:spacing w:val="-4"/>
        </w:rPr>
        <w:t>提升至</w:t>
      </w:r>
      <w:r>
        <w:rPr>
          <w:rFonts w:ascii="Calibri" w:eastAsia="Calibri"/>
        </w:rPr>
        <w:t>10%/12%</w:t>
      </w:r>
      <w:r>
        <w:rPr>
          <w:spacing w:val="-1"/>
        </w:rPr>
        <w:t>。储能逆变器单价和毛利率远高于并网</w:t>
      </w:r>
      <w:r>
        <w:t>逆变器，其占比提高将明显推升单位毛利。</w:t>
      </w:r>
    </w:p>
    <w:p>
      <w:pPr>
        <w:pStyle w:val="Heading4"/>
        <w:tabs>
          <w:tab w:val="left" w:pos="1507"/>
        </w:tabs>
        <w:spacing w:before="99"/>
      </w:pPr>
      <w:r>
        <w:rPr>
          <w:rFonts w:ascii="Symbol" w:eastAsia="Symbol" w:hAnsi="Symbol"/>
          <w:b w:val="0"/>
          <w:color w:val="59A1AE"/>
          <w:sz w:val="20"/>
        </w:rPr>
        <w:sym w:font="Symbol" w:char="F051"/>
      </w:r>
      <w:r>
        <w:rPr>
          <w:rFonts w:ascii="Times New Roman" w:eastAsia="Times New Roman" w:hAnsi="Times New Roman"/>
          <w:b w:val="0"/>
          <w:color w:val="59A1AE"/>
          <w:sz w:val="20"/>
        </w:rPr>
        <w:tab/>
      </w:r>
      <w:r>
        <w:t>内地逆变器企业全球市占率是否还有提升空间？</w:t>
      </w:r>
    </w:p>
    <w:p>
      <w:pPr>
        <w:pStyle w:val="BodyText"/>
        <w:spacing w:before="105" w:line="242" w:lineRule="auto"/>
        <w:ind w:left="1151" w:right="3941"/>
      </w:pPr>
      <w:r>
        <w:t>由于明显的性价比优势，內地企业不断在海外抢占海外企业份额，</w:t>
      </w:r>
      <w:r>
        <w:rPr>
          <w:rFonts w:ascii="Calibri" w:eastAsia="Calibri"/>
        </w:rPr>
        <w:t>2022</w:t>
      </w:r>
      <w:r>
        <w:t>年全球市占率达</w:t>
      </w:r>
      <w:r>
        <w:rPr>
          <w:rFonts w:ascii="Calibri" w:eastAsia="Calibri"/>
        </w:rPr>
        <w:t>7-8</w:t>
      </w:r>
      <w:r>
        <w:t>成，我们预计还将继续提升至</w:t>
      </w:r>
      <w:r>
        <w:rPr>
          <w:rFonts w:ascii="Calibri" w:eastAsia="Calibri"/>
        </w:rPr>
        <w:t>9</w:t>
      </w:r>
      <w:r>
        <w:t>成，仍有一定提升空间。</w:t>
      </w:r>
    </w:p>
    <w:p>
      <w:pPr>
        <w:pStyle w:val="Heading4"/>
        <w:tabs>
          <w:tab w:val="left" w:pos="1507"/>
        </w:tabs>
        <w:spacing w:before="72"/>
      </w:pPr>
      <w:r>
        <w:rPr>
          <w:rFonts w:ascii="Symbol" w:eastAsia="Symbol" w:hAnsi="Symbol"/>
          <w:b w:val="0"/>
          <w:color w:val="59A1AE"/>
          <w:sz w:val="20"/>
        </w:rPr>
        <w:sym w:font="Symbol" w:char="F051"/>
      </w:r>
      <w:r>
        <w:rPr>
          <w:rFonts w:ascii="Times New Roman" w:eastAsia="Times New Roman" w:hAnsi="Times New Roman"/>
          <w:b w:val="0"/>
          <w:color w:val="59A1AE"/>
          <w:sz w:val="20"/>
        </w:rPr>
        <w:tab/>
      </w:r>
      <w:r>
        <w:t>出口短期下滑何时能扭转？</w:t>
      </w:r>
    </w:p>
    <w:p>
      <w:pPr>
        <w:pStyle w:val="BodyText"/>
        <w:spacing w:before="104" w:line="242" w:lineRule="auto"/>
        <w:ind w:left="1151" w:right="3910"/>
        <w:jc w:val="both"/>
      </w:pPr>
      <w:r>
        <w:t>地缘政治因素下欧洲恐慌式进口远超实际装机需求导致库存高企（户用尤为严重），</w:t>
      </w:r>
      <w:r>
        <w:rPr>
          <w:rFonts w:ascii="Calibri" w:eastAsia="Calibri"/>
        </w:rPr>
        <w:t>2023</w:t>
      </w:r>
      <w:r>
        <w:t>年</w:t>
      </w:r>
      <w:r>
        <w:rPr>
          <w:rFonts w:ascii="Calibri" w:eastAsia="Calibri"/>
        </w:rPr>
        <w:t>4</w:t>
      </w:r>
      <w:r>
        <w:t>月起逆变器月出口金额连续环比下降，</w:t>
      </w:r>
      <w:r>
        <w:rPr>
          <w:rFonts w:ascii="Calibri" w:eastAsia="Calibri"/>
        </w:rPr>
        <w:t>10</w:t>
      </w:r>
      <w:r>
        <w:t>月相比</w:t>
      </w:r>
      <w:r>
        <w:rPr>
          <w:rFonts w:ascii="Calibri" w:eastAsia="Calibri"/>
        </w:rPr>
        <w:t>3</w:t>
      </w:r>
      <w:r>
        <w:t>月顶峰下降</w:t>
      </w:r>
      <w:r>
        <w:rPr>
          <w:rFonts w:ascii="Calibri" w:eastAsia="Calibri"/>
        </w:rPr>
        <w:t>53%</w:t>
      </w:r>
      <w:r>
        <w:t>，下半年同比下降</w:t>
      </w:r>
      <w:r>
        <w:rPr>
          <w:rFonts w:ascii="Calibri" w:eastAsia="Calibri"/>
        </w:rPr>
        <w:t>35%</w:t>
      </w:r>
      <w:r>
        <w:t>，但</w:t>
      </w:r>
      <w:r>
        <w:rPr>
          <w:rFonts w:ascii="Calibri" w:eastAsia="Calibri"/>
        </w:rPr>
        <w:t>11/12</w:t>
      </w:r>
      <w:r>
        <w:t>月环比回升</w:t>
      </w:r>
      <w:r>
        <w:rPr>
          <w:rFonts w:ascii="Calibri" w:eastAsia="Calibri"/>
        </w:rPr>
        <w:t>1%/7%</w:t>
      </w:r>
      <w:r>
        <w:t>，拐点已现。欧洲实际装机需求仍然旺盛，我们预计</w:t>
      </w:r>
      <w:r>
        <w:rPr>
          <w:rFonts w:ascii="Calibri" w:eastAsia="Calibri"/>
        </w:rPr>
        <w:t>2024</w:t>
      </w:r>
      <w:r>
        <w:t>年</w:t>
      </w:r>
      <w:r>
        <w:rPr>
          <w:rFonts w:ascii="Calibri" w:eastAsia="Calibri"/>
        </w:rPr>
        <w:t>1</w:t>
      </w:r>
      <w:r>
        <w:t>季度将完成去库存，出口</w:t>
      </w:r>
      <w:r>
        <w:rPr>
          <w:rFonts w:ascii="Calibri" w:eastAsia="Calibri"/>
        </w:rPr>
        <w:t>1</w:t>
      </w:r>
      <w:r>
        <w:t>季度将环比转正，</w:t>
      </w:r>
      <w:r>
        <w:rPr>
          <w:rFonts w:ascii="Calibri" w:eastAsia="Calibri"/>
        </w:rPr>
        <w:t>2</w:t>
      </w:r>
      <w:r>
        <w:t>季度有望恢复正常，下半年将重回同比快速增长。</w:t>
      </w:r>
    </w:p>
    <w:p>
      <w:pPr>
        <w:pStyle w:val="Heading4"/>
        <w:tabs>
          <w:tab w:val="left" w:pos="1507"/>
        </w:tabs>
        <w:spacing w:before="76"/>
      </w:pPr>
      <w:r>
        <w:rPr>
          <w:rFonts w:ascii="Symbol" w:eastAsia="Symbol" w:hAnsi="Symbol"/>
          <w:b w:val="0"/>
          <w:color w:val="59A1AE"/>
          <w:sz w:val="20"/>
        </w:rPr>
        <w:sym w:font="Symbol" w:char="F051"/>
      </w:r>
      <w:r>
        <w:rPr>
          <w:rFonts w:ascii="Times New Roman" w:eastAsia="Times New Roman" w:hAnsi="Times New Roman"/>
          <w:b w:val="0"/>
          <w:color w:val="59A1AE"/>
          <w:sz w:val="20"/>
        </w:rPr>
        <w:tab/>
      </w:r>
      <w:r>
        <w:t>竞争加剧是否会导致利润率大幅下降？</w:t>
      </w:r>
    </w:p>
    <w:p>
      <w:pPr>
        <w:pStyle w:val="BodyText"/>
        <w:spacing w:before="123" w:line="265" w:lineRule="exact"/>
        <w:ind w:left="1151"/>
      </w:pPr>
      <w:r>
        <w:rPr>
          <w:spacing w:val="-2"/>
        </w:rPr>
        <w:t>目前并网逆变器在光伏项目投资成本中仅占</w:t>
      </w:r>
      <w:r>
        <w:rPr>
          <w:rFonts w:ascii="Calibri" w:eastAsia="Calibri"/>
        </w:rPr>
        <w:t>3-4%</w:t>
      </w:r>
      <w:r>
        <w:t>，但其性能对发电量影响较大</w:t>
      </w:r>
    </w:p>
    <w:p>
      <w:pPr>
        <w:pStyle w:val="BodyText"/>
        <w:spacing w:line="260" w:lineRule="exact"/>
        <w:ind w:left="1151"/>
      </w:pPr>
      <w:r>
        <w:rPr>
          <w:spacing w:val="5"/>
        </w:rPr>
        <w:t>，技术含量较高，因此降价压力相对较小。我们预计未来逆变器将竞争加剧</w:t>
      </w:r>
    </w:p>
    <w:p>
      <w:pPr>
        <w:pStyle w:val="BodyText"/>
        <w:spacing w:line="265" w:lineRule="exact"/>
        <w:ind w:left="1151"/>
      </w:pPr>
      <w:r>
        <w:t>，行业利润率或将由目前较高水平正常化，但总体下降空间有限。</w:t>
      </w:r>
    </w:p>
    <w:p>
      <w:pPr>
        <w:spacing w:after="0" w:line="265" w:lineRule="exact"/>
        <w:sectPr>
          <w:headerReference w:type="default" r:id="rId24"/>
          <w:footerReference w:type="default" r:id="rId25"/>
          <w:pgSz w:w="12240" w:h="15840"/>
          <w:pgMar w:top="1720" w:right="0" w:bottom="1380" w:left="0" w:header="708" w:footer="708"/>
          <w:pgNumType w:start="9"/>
          <w:cols w:space="708"/>
        </w:sectPr>
      </w:pPr>
    </w:p>
    <w:p>
      <w:pPr>
        <w:pStyle w:val="BodyText"/>
        <w:rPr>
          <w:sz w:val="20"/>
        </w:rPr>
      </w:pPr>
    </w:p>
    <w:p>
      <w:pPr>
        <w:pStyle w:val="BodyText"/>
        <w:spacing w:before="10"/>
        <w:rPr>
          <w:sz w:val="22"/>
        </w:rPr>
      </w:pPr>
    </w:p>
    <w:p>
      <w:pPr>
        <w:pStyle w:val="Heading1"/>
        <w:spacing w:before="54" w:line="170" w:lineRule="auto"/>
        <w:ind w:right="3915"/>
      </w:pPr>
      <w:bookmarkStart w:id="1" w:name="_TOC_250017"/>
      <w:bookmarkEnd w:id="1"/>
      <w:r>
        <w:rPr>
          <w:color w:val="59A1AE"/>
        </w:rPr>
        <w:t>储能为第二成长曲线，光伏、储能装机爆发推动逆变器需求快速增长</w:t>
      </w:r>
    </w:p>
    <w:p>
      <w:pPr>
        <w:pStyle w:val="BodyText"/>
        <w:spacing w:before="134" w:line="232" w:lineRule="auto"/>
        <w:ind w:left="1151" w:right="3910"/>
        <w:jc w:val="both"/>
      </w:pPr>
      <w:r>
        <w:rPr>
          <w:color w:val="262626"/>
        </w:rPr>
        <w:t>在光伏新增装机、存量项目替换、储能三重需求驱动下，我们预计</w:t>
      </w:r>
      <w:r>
        <w:rPr>
          <w:rFonts w:ascii="Calibri" w:eastAsia="Calibri"/>
          <w:color w:val="262626"/>
        </w:rPr>
        <w:t>2023/24</w:t>
      </w:r>
      <w:r>
        <w:rPr>
          <w:color w:val="262626"/>
        </w:rPr>
        <w:t>年全球逆变器需求将达</w:t>
      </w:r>
      <w:r>
        <w:rPr>
          <w:rFonts w:ascii="Calibri" w:eastAsia="Calibri"/>
          <w:color w:val="262626"/>
        </w:rPr>
        <w:t>463/568GW</w:t>
      </w:r>
      <w:r>
        <w:rPr>
          <w:color w:val="262626"/>
        </w:rPr>
        <w:t>，同比增长</w:t>
      </w:r>
      <w:r>
        <w:rPr>
          <w:rFonts w:ascii="Calibri" w:eastAsia="Calibri"/>
          <w:color w:val="262626"/>
        </w:rPr>
        <w:t>64%/23%</w:t>
      </w:r>
      <w:r>
        <w:rPr>
          <w:color w:val="262626"/>
        </w:rPr>
        <w:t>，其中储能逆变器占比由</w:t>
      </w:r>
      <w:r>
        <w:rPr>
          <w:rFonts w:ascii="Calibri" w:eastAsia="Calibri"/>
          <w:color w:val="262626"/>
        </w:rPr>
        <w:t>2022</w:t>
      </w:r>
      <w:r>
        <w:rPr>
          <w:color w:val="262626"/>
        </w:rPr>
        <w:t>年的</w:t>
      </w:r>
      <w:r>
        <w:rPr>
          <w:rFonts w:ascii="Calibri" w:eastAsia="Calibri"/>
          <w:color w:val="262626"/>
        </w:rPr>
        <w:t>7%</w:t>
      </w:r>
      <w:r>
        <w:rPr>
          <w:color w:val="262626"/>
        </w:rPr>
        <w:t>提升至</w:t>
      </w:r>
      <w:r>
        <w:rPr>
          <w:rFonts w:ascii="Calibri" w:eastAsia="Calibri"/>
          <w:color w:val="262626"/>
        </w:rPr>
        <w:t>10%/12%</w:t>
      </w:r>
      <w:r>
        <w:rPr>
          <w:color w:val="262626"/>
        </w:rPr>
        <w:t>，此后增速仍有望多年保持在</w:t>
      </w:r>
      <w:r>
        <w:rPr>
          <w:rFonts w:ascii="Calibri" w:eastAsia="Calibri"/>
          <w:color w:val="262626"/>
        </w:rPr>
        <w:t>20%</w:t>
      </w:r>
      <w:r>
        <w:rPr>
          <w:color w:val="262626"/>
        </w:rPr>
        <w:t>左右。</w:t>
      </w:r>
    </w:p>
    <w:p>
      <w:pPr>
        <w:pStyle w:val="BodyText"/>
        <w:spacing w:before="6"/>
        <w:rPr>
          <w:sz w:val="15"/>
        </w:rPr>
      </w:pPr>
    </w:p>
    <w:p>
      <w:pPr>
        <w:pStyle w:val="Heading3"/>
        <w:spacing w:before="1"/>
      </w:pPr>
      <w:r>
        <w:rPr>
          <w:color w:val="262626"/>
        </w:rPr>
        <w:t>图表</w:t>
      </w:r>
      <w:r>
        <w:rPr>
          <w:rFonts w:ascii="Calibri" w:eastAsia="Calibri"/>
        </w:rPr>
        <w:t xml:space="preserve">1: </w:t>
      </w:r>
      <w:r>
        <w:t>全球</w:t>
      </w:r>
      <w:r>
        <w:rPr>
          <w:color w:val="262626"/>
        </w:rPr>
        <w:t>逆变器需求测算</w:t>
      </w:r>
    </w:p>
    <w:p>
      <w:pPr>
        <w:pStyle w:val="BodyText"/>
        <w:ind w:left="1143"/>
        <w:rPr>
          <w:rFonts w:ascii="Microsoft JhengHei"/>
          <w:sz w:val="20"/>
        </w:rPr>
      </w:pPr>
      <w:r>
        <w:rPr>
          <w:rFonts w:ascii="Microsoft JhengHei"/>
          <w:sz w:val="20"/>
        </w:rPr>
        <w:pict>
          <v:group id="_x0000_i1035" style="width:357.2pt;height:148.1pt;mso-position-horizontal-relative:char;mso-position-vertical-relative:line" coordorigin="0,0" coordsize="7144,2962">
            <v:line id="_x0000_s1036" style="position:absolute" from="0,8" to="7144,8" stroked="t" strokecolor="black" strokeweight="0.75pt">
              <v:stroke dashstyle="solid"/>
            </v:line>
            <v:shape id="_x0000_s1037" type="#_x0000_t75" style="width:4907;height:2890;left:1118;position:absolute;top:72" stroked="f">
              <v:imagedata r:id="rId26" o:title=""/>
            </v:shape>
            <w10:wrap type="none"/>
          </v:group>
        </w:pict>
      </w:r>
    </w:p>
    <w:p>
      <w:pPr>
        <w:pStyle w:val="BodyText"/>
        <w:spacing w:before="7"/>
        <w:rPr>
          <w:rFonts w:ascii="Microsoft JhengHei"/>
          <w:b/>
          <w:sz w:val="3"/>
        </w:rPr>
      </w:pPr>
    </w:p>
    <w:p>
      <w:pPr>
        <w:pStyle w:val="BodyText"/>
        <w:spacing w:line="20" w:lineRule="exact"/>
        <w:ind w:left="1143"/>
        <w:rPr>
          <w:rFonts w:ascii="Microsoft JhengHei"/>
          <w:sz w:val="2"/>
        </w:rPr>
      </w:pPr>
      <w:r>
        <w:rPr>
          <w:rFonts w:ascii="Microsoft JhengHei"/>
          <w:sz w:val="2"/>
        </w:rPr>
        <w:pict>
          <v:group id="_x0000_i1038" style="width:357.2pt;height:0.75pt;mso-position-horizontal-relative:char;mso-position-vertical-relative:line" coordorigin="0,0" coordsize="7144,15">
            <v:line id="_x0000_s1039" style="position:absolute" from="0,8" to="7144,8" stroked="t" strokecolor="black" strokeweight="0.75pt">
              <v:stroke dashstyle="solid"/>
            </v:line>
            <w10:wrap type="none"/>
          </v:group>
        </w:pict>
      </w:r>
    </w:p>
    <w:p>
      <w:pPr>
        <w:spacing w:before="0"/>
        <w:ind w:left="1150" w:right="0" w:firstLine="0"/>
        <w:jc w:val="left"/>
        <w:rPr>
          <w:sz w:val="15"/>
        </w:rPr>
      </w:pPr>
      <w:r>
        <w:t>资料来源：CPIA， 预测</w:t>
      </w:r>
    </w:p>
    <w:p>
      <w:pPr>
        <w:pStyle w:val="BodyText"/>
        <w:spacing w:before="4"/>
        <w:rPr>
          <w:sz w:val="26"/>
        </w:rPr>
      </w:pPr>
    </w:p>
    <w:p>
      <w:pPr>
        <w:pStyle w:val="Heading2"/>
      </w:pPr>
      <w:bookmarkStart w:id="2" w:name="_TOC_250016"/>
      <w:r>
        <w:rPr>
          <w:color w:val="59A1AE"/>
        </w:rPr>
        <w:t>需求端</w:t>
      </w:r>
      <w:r>
        <w:rPr>
          <w:rFonts w:ascii="Calibri" w:eastAsia="Calibri"/>
          <w:color w:val="59A1AE"/>
        </w:rPr>
        <w:t xml:space="preserve">#1: </w:t>
      </w:r>
      <w:bookmarkEnd w:id="2"/>
      <w:r>
        <w:rPr>
          <w:color w:val="59A1AE"/>
        </w:rPr>
        <w:t>光伏新增装机持续快速增长</w:t>
      </w:r>
    </w:p>
    <w:p>
      <w:pPr>
        <w:pStyle w:val="BodyText"/>
        <w:spacing w:before="98" w:line="232" w:lineRule="auto"/>
        <w:ind w:left="1151" w:right="3910"/>
      </w:pPr>
      <w:r>
        <w:rPr>
          <w:color w:val="262626"/>
        </w:rPr>
        <w:t>受全球碳中和战略及欧洲能源危机推动，</w:t>
      </w:r>
      <w:r>
        <w:rPr>
          <w:rFonts w:ascii="Calibri" w:eastAsia="Calibri"/>
          <w:color w:val="262626"/>
        </w:rPr>
        <w:t>2022</w:t>
      </w:r>
      <w:r>
        <w:rPr>
          <w:color w:val="262626"/>
        </w:rPr>
        <w:t>全球光伏新增装机大增</w:t>
      </w:r>
      <w:r>
        <w:rPr>
          <w:rFonts w:ascii="Calibri" w:eastAsia="Calibri"/>
          <w:color w:val="262626"/>
        </w:rPr>
        <w:t>35%</w:t>
      </w:r>
      <w:r>
        <w:rPr>
          <w:color w:val="262626"/>
        </w:rPr>
        <w:t>，在</w:t>
      </w:r>
      <w:r>
        <w:rPr>
          <w:color w:val="262626"/>
          <w:spacing w:val="-2"/>
        </w:rPr>
        <w:t>组件价格大跌推动下，我们预计</w:t>
      </w:r>
      <w:r>
        <w:rPr>
          <w:rFonts w:ascii="Calibri" w:eastAsia="Calibri"/>
          <w:color w:val="262626"/>
        </w:rPr>
        <w:t>2023</w:t>
      </w:r>
      <w:r>
        <w:rPr>
          <w:color w:val="262626"/>
          <w:spacing w:val="-1"/>
        </w:rPr>
        <w:t>年全球新增装机进一步大增</w:t>
      </w:r>
      <w:r>
        <w:rPr>
          <w:rFonts w:ascii="Calibri" w:eastAsia="Calibri"/>
          <w:color w:val="262626"/>
        </w:rPr>
        <w:t>65%</w:t>
      </w:r>
      <w:r>
        <w:rPr>
          <w:color w:val="262626"/>
          <w:spacing w:val="-7"/>
        </w:rPr>
        <w:t>至</w:t>
      </w:r>
      <w:r>
        <w:rPr>
          <w:rFonts w:ascii="Calibri" w:eastAsia="Calibri"/>
          <w:color w:val="262626"/>
        </w:rPr>
        <w:t>380</w:t>
      </w:r>
      <w:r>
        <w:rPr>
          <w:color w:val="262626"/>
          <w:spacing w:val="-8"/>
        </w:rPr>
        <w:t>吉瓦</w:t>
      </w:r>
    </w:p>
    <w:p>
      <w:pPr>
        <w:pStyle w:val="BodyText"/>
        <w:spacing w:line="256" w:lineRule="exact"/>
        <w:ind w:left="1151"/>
      </w:pPr>
      <w:r>
        <w:rPr>
          <w:color w:val="262626"/>
          <w:spacing w:val="-1"/>
        </w:rPr>
        <w:t>，其中中国</w:t>
      </w:r>
      <w:r>
        <w:rPr>
          <w:rFonts w:ascii="Calibri" w:eastAsia="Calibri"/>
          <w:color w:val="262626"/>
        </w:rPr>
        <w:t>/</w:t>
      </w:r>
      <w:r>
        <w:rPr>
          <w:color w:val="262626"/>
        </w:rPr>
        <w:t>海外为</w:t>
      </w:r>
      <w:r>
        <w:rPr>
          <w:rFonts w:ascii="Calibri" w:eastAsia="Calibri"/>
          <w:color w:val="262626"/>
        </w:rPr>
        <w:t>216/164</w:t>
      </w:r>
      <w:r>
        <w:rPr>
          <w:color w:val="262626"/>
        </w:rPr>
        <w:t>吉瓦，同比增长</w:t>
      </w:r>
      <w:r>
        <w:rPr>
          <w:rFonts w:ascii="Calibri" w:eastAsia="Calibri"/>
          <w:color w:val="262626"/>
        </w:rPr>
        <w:t>147%/15%</w:t>
      </w:r>
      <w:r>
        <w:rPr>
          <w:color w:val="262626"/>
        </w:rPr>
        <w:t>，中国贡献绝大部分增量</w:t>
      </w:r>
    </w:p>
    <w:p>
      <w:pPr>
        <w:pStyle w:val="BodyText"/>
        <w:spacing w:line="265" w:lineRule="exact"/>
        <w:ind w:left="1151"/>
      </w:pPr>
      <w:r>
        <w:rPr>
          <w:color w:val="262626"/>
        </w:rPr>
        <w:t>，欧洲、美国贡献海外主要增量。</w:t>
      </w:r>
    </w:p>
    <w:p>
      <w:pPr>
        <w:pStyle w:val="BodyText"/>
        <w:spacing w:before="6"/>
        <w:rPr>
          <w:sz w:val="15"/>
        </w:rPr>
      </w:pPr>
    </w:p>
    <w:p>
      <w:pPr>
        <w:pStyle w:val="Heading3"/>
      </w:pPr>
      <w:r>
        <w:rPr>
          <w:color w:val="262626"/>
        </w:rPr>
        <w:t>图表</w:t>
      </w:r>
      <w:r>
        <w:rPr>
          <w:rFonts w:ascii="Calibri" w:eastAsia="Calibri"/>
        </w:rPr>
        <w:t xml:space="preserve">2: </w:t>
      </w:r>
      <w:r>
        <w:rPr>
          <w:color w:val="262626"/>
        </w:rPr>
        <w:t>全球光伏新增装机预测</w:t>
      </w:r>
    </w:p>
    <w:p>
      <w:pPr>
        <w:pStyle w:val="BodyText"/>
        <w:spacing w:line="20" w:lineRule="exact"/>
        <w:ind w:left="1143"/>
        <w:rPr>
          <w:rFonts w:ascii="Microsoft JhengHei"/>
          <w:sz w:val="2"/>
        </w:rPr>
      </w:pPr>
      <w:r>
        <w:rPr>
          <w:rFonts w:ascii="Microsoft JhengHei"/>
          <w:sz w:val="2"/>
        </w:rPr>
        <w:pict>
          <v:group id="_x0000_i1040" style="width:357.2pt;height:0.75pt;mso-position-horizontal-relative:char;mso-position-vertical-relative:line" coordorigin="0,0" coordsize="7144,15">
            <v:line id="_x0000_s1041" style="position:absolute" from="0,8" to="7144,8" stroked="t" strokecolor="black" strokeweight="0.75pt">
              <v:stroke dashstyle="solid"/>
            </v:line>
            <w10:wrap type="none"/>
          </v:group>
        </w:pict>
      </w:r>
    </w:p>
    <w:p>
      <w:pPr>
        <w:pStyle w:val="BodyText"/>
        <w:spacing w:before="12"/>
        <w:rPr>
          <w:rFonts w:ascii="Microsoft JhengHei"/>
          <w:b/>
          <w:sz w:val="3"/>
        </w:rPr>
      </w:pPr>
    </w:p>
    <w:p>
      <w:pPr>
        <w:pStyle w:val="BodyText"/>
        <w:ind w:left="2201"/>
        <w:rPr>
          <w:rFonts w:ascii="Microsoft JhengHei"/>
          <w:sz w:val="20"/>
        </w:rPr>
      </w:pPr>
      <w:r>
        <w:rPr>
          <w:rFonts w:ascii="Microsoft JhengHei"/>
          <w:sz w:val="20"/>
        </w:rPr>
        <w:drawing>
          <wp:inline distT="0" distB="0" distL="0" distR="0">
            <wp:extent cx="3194544" cy="1597152"/>
            <wp:effectExtent l="0" t="0" r="0" b="0"/>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27" cstate="print"/>
                    <a:stretch>
                      <a:fillRect/>
                    </a:stretch>
                  </pic:blipFill>
                  <pic:spPr>
                    <a:xfrm>
                      <a:off x="0" y="0"/>
                      <a:ext cx="3194544" cy="1597152"/>
                    </a:xfrm>
                    <a:prstGeom prst="rect">
                      <a:avLst/>
                    </a:prstGeom>
                  </pic:spPr>
                </pic:pic>
              </a:graphicData>
            </a:graphic>
          </wp:inline>
        </w:drawing>
      </w:r>
    </w:p>
    <w:p>
      <w:pPr>
        <w:pStyle w:val="BodyText"/>
        <w:spacing w:before="3"/>
        <w:rPr>
          <w:rFonts w:ascii="Microsoft JhengHei"/>
          <w:b/>
          <w:sz w:val="4"/>
        </w:rPr>
      </w:pPr>
    </w:p>
    <w:p>
      <w:pPr>
        <w:pStyle w:val="BodyText"/>
        <w:spacing w:line="20" w:lineRule="exact"/>
        <w:ind w:left="1143"/>
        <w:rPr>
          <w:rFonts w:ascii="Microsoft JhengHei"/>
          <w:sz w:val="2"/>
        </w:rPr>
      </w:pPr>
      <w:r>
        <w:rPr>
          <w:rFonts w:ascii="Microsoft JhengHei"/>
          <w:sz w:val="2"/>
        </w:rPr>
        <w:pict>
          <v:group id="_x0000_i1042" style="width:357.2pt;height:0.75pt;mso-position-horizontal-relative:char;mso-position-vertical-relative:line" coordorigin="0,0" coordsize="7144,15">
            <v:line id="_x0000_s1043" style="position:absolute" from="0,8" to="7144,8" stroked="t" strokecolor="black" strokeweight="0.75pt">
              <v:stroke dashstyle="solid"/>
            </v:line>
            <w10:wrap type="none"/>
          </v:group>
        </w:pict>
      </w:r>
    </w:p>
    <w:p>
      <w:pPr>
        <w:spacing w:before="0"/>
        <w:ind w:left="1150" w:right="0" w:firstLine="0"/>
        <w:jc w:val="left"/>
        <w:rPr>
          <w:sz w:val="15"/>
        </w:rPr>
      </w:pPr>
      <w:r>
        <w:t>资料来源：中国光伏行业协会， 预测</w:t>
      </w:r>
    </w:p>
    <w:p>
      <w:pPr>
        <w:pStyle w:val="BodyText"/>
        <w:spacing w:before="7"/>
        <w:rPr>
          <w:sz w:val="13"/>
        </w:rPr>
      </w:pPr>
    </w:p>
    <w:p>
      <w:pPr>
        <w:pStyle w:val="BodyText"/>
        <w:spacing w:before="64" w:line="232" w:lineRule="auto"/>
        <w:ind w:left="1151" w:right="3912"/>
      </w:pPr>
      <w:r>
        <w:rPr>
          <w:color w:val="262626"/>
        </w:rPr>
        <w:t>展望未来，在连续三年</w:t>
      </w:r>
      <w:r>
        <w:rPr>
          <w:rFonts w:ascii="Calibri" w:eastAsia="Calibri"/>
          <w:color w:val="262626"/>
        </w:rPr>
        <w:t>30%</w:t>
      </w:r>
      <w:r>
        <w:rPr>
          <w:color w:val="262626"/>
        </w:rPr>
        <w:t>以上的高速增长和</w:t>
      </w:r>
      <w:r>
        <w:rPr>
          <w:rFonts w:ascii="Calibri" w:eastAsia="Calibri"/>
          <w:color w:val="262626"/>
        </w:rPr>
        <w:t>2023</w:t>
      </w:r>
      <w:r>
        <w:rPr>
          <w:color w:val="262626"/>
        </w:rPr>
        <w:t>年的超高速增长后，我们预计未来增速或将放缓，但组件价格的巨大跌幅导致光伏发电经济性明显提升，</w:t>
      </w:r>
    </w:p>
    <w:p>
      <w:pPr>
        <w:spacing w:after="0" w:line="232" w:lineRule="auto"/>
        <w:sectPr>
          <w:headerReference w:type="default" r:id="rId28"/>
          <w:footerReference w:type="default" r:id="rId29"/>
          <w:pgSz w:w="12240" w:h="15840"/>
          <w:pgMar w:top="1720" w:right="0" w:bottom="1380" w:left="0" w:header="708" w:footer="708"/>
          <w:pgNumType w:start="10"/>
          <w:cols w:space="708"/>
        </w:sectPr>
      </w:pPr>
    </w:p>
    <w:p>
      <w:pPr>
        <w:pStyle w:val="BodyText"/>
        <w:rPr>
          <w:sz w:val="20"/>
        </w:rPr>
      </w:pPr>
    </w:p>
    <w:p>
      <w:pPr>
        <w:pStyle w:val="BodyText"/>
        <w:spacing w:before="5"/>
        <w:rPr>
          <w:sz w:val="22"/>
        </w:rPr>
      </w:pPr>
    </w:p>
    <w:p>
      <w:pPr>
        <w:pStyle w:val="BodyText"/>
        <w:spacing w:before="77" w:line="232" w:lineRule="auto"/>
        <w:ind w:left="1151" w:right="3860"/>
      </w:pPr>
      <w:r>
        <w:rPr>
          <w:color w:val="262626"/>
        </w:rPr>
        <w:t>将有助提振需求，我们预计</w:t>
      </w:r>
      <w:r>
        <w:rPr>
          <w:rFonts w:ascii="Calibri" w:eastAsia="Calibri"/>
          <w:color w:val="262626"/>
        </w:rPr>
        <w:t>2024</w:t>
      </w:r>
      <w:r>
        <w:rPr>
          <w:color w:val="262626"/>
        </w:rPr>
        <w:t>年全球新增装机仍将增长</w:t>
      </w:r>
      <w:r>
        <w:rPr>
          <w:rFonts w:ascii="Calibri" w:eastAsia="Calibri"/>
          <w:color w:val="262626"/>
        </w:rPr>
        <w:t>20%</w:t>
      </w:r>
      <w:r>
        <w:rPr>
          <w:color w:val="262626"/>
        </w:rPr>
        <w:t>至</w:t>
      </w:r>
      <w:r>
        <w:rPr>
          <w:rFonts w:ascii="Calibri" w:eastAsia="Calibri"/>
          <w:color w:val="262626"/>
        </w:rPr>
        <w:t>455</w:t>
      </w:r>
      <w:r>
        <w:rPr>
          <w:color w:val="262626"/>
        </w:rPr>
        <w:t>吉瓦，其中中国</w:t>
      </w:r>
      <w:r>
        <w:rPr>
          <w:rFonts w:ascii="Calibri" w:eastAsia="Calibri"/>
          <w:color w:val="262626"/>
        </w:rPr>
        <w:t>/</w:t>
      </w:r>
      <w:r>
        <w:rPr>
          <w:color w:val="262626"/>
        </w:rPr>
        <w:t>海外为</w:t>
      </w:r>
      <w:r>
        <w:rPr>
          <w:rFonts w:ascii="Calibri" w:eastAsia="Calibri"/>
          <w:color w:val="262626"/>
        </w:rPr>
        <w:t>235/220</w:t>
      </w:r>
      <w:r>
        <w:rPr>
          <w:color w:val="262626"/>
        </w:rPr>
        <w:t>吉瓦，同比增长</w:t>
      </w:r>
      <w:r>
        <w:rPr>
          <w:rFonts w:ascii="Calibri" w:eastAsia="Calibri"/>
          <w:color w:val="262626"/>
        </w:rPr>
        <w:t>9%/34%</w:t>
      </w:r>
      <w:r>
        <w:rPr>
          <w:color w:val="262626"/>
        </w:rPr>
        <w:t>。</w:t>
      </w:r>
    </w:p>
    <w:p>
      <w:pPr>
        <w:pStyle w:val="Heading4"/>
        <w:numPr>
          <w:ilvl w:val="0"/>
          <w:numId w:val="4"/>
        </w:numPr>
        <w:tabs>
          <w:tab w:val="left" w:pos="1511"/>
        </w:tabs>
        <w:spacing w:before="102" w:after="0" w:line="240" w:lineRule="auto"/>
        <w:ind w:left="1510" w:right="0" w:hanging="360"/>
        <w:jc w:val="left"/>
      </w:pPr>
      <w:r>
        <w:t>内地需求：</w:t>
      </w:r>
      <w:r>
        <w:rPr>
          <w:rFonts w:ascii="Calibri" w:eastAsia="Calibri"/>
        </w:rPr>
        <w:t>2023</w:t>
      </w:r>
      <w:r>
        <w:t>年远超预期，高基数下未来增速将放缓</w:t>
      </w:r>
    </w:p>
    <w:p>
      <w:pPr>
        <w:pStyle w:val="BodyText"/>
        <w:spacing w:before="130" w:line="232" w:lineRule="auto"/>
        <w:ind w:left="1151" w:right="3910"/>
        <w:jc w:val="both"/>
      </w:pPr>
      <w:r>
        <w:rPr>
          <w:color w:val="262626"/>
          <w:spacing w:val="-1"/>
        </w:rPr>
        <w:t>由于除组件外的单瓦投资成本远低于欧美，内地光伏装机需求尤其是集中式需求对组件价格较为敏感，组件价格大跌极大地刺激了内地装机需求，同时大基地项目、工商业电价上涨、可再生能源消费不纳入能耗双控、分布式整县推进</w:t>
      </w:r>
      <w:r>
        <w:rPr>
          <w:color w:val="262626"/>
        </w:rPr>
        <w:t>等利好政策也推升需求。</w:t>
      </w:r>
      <w:r>
        <w:rPr>
          <w:rFonts w:ascii="Calibri" w:eastAsia="Calibri"/>
          <w:color w:val="262626"/>
        </w:rPr>
        <w:t>2023</w:t>
      </w:r>
      <w:r>
        <w:rPr>
          <w:color w:val="262626"/>
        </w:rPr>
        <w:t>年内地光伏新增装机同比大增</w:t>
      </w:r>
      <w:r>
        <w:rPr>
          <w:rFonts w:ascii="Calibri" w:eastAsia="Calibri"/>
          <w:color w:val="262626"/>
        </w:rPr>
        <w:t>147%</w:t>
      </w:r>
      <w:r>
        <w:rPr>
          <w:color w:val="262626"/>
        </w:rPr>
        <w:t>至</w:t>
      </w:r>
      <w:r>
        <w:rPr>
          <w:rFonts w:ascii="Calibri" w:eastAsia="Calibri"/>
          <w:color w:val="262626"/>
        </w:rPr>
        <w:t>216</w:t>
      </w:r>
      <w:r>
        <w:rPr>
          <w:color w:val="262626"/>
        </w:rPr>
        <w:t xml:space="preserve">吉瓦， </w:t>
      </w:r>
      <w:r>
        <w:rPr>
          <w:color w:val="262626"/>
          <w:spacing w:val="4"/>
        </w:rPr>
        <w:t>远超市场预期，其中集中式、工商业分布式、户用分布式增长</w:t>
      </w:r>
      <w:r>
        <w:rPr>
          <w:rFonts w:ascii="Calibri" w:eastAsia="Calibri"/>
          <w:color w:val="262626"/>
        </w:rPr>
        <w:t>147%</w:t>
      </w:r>
      <w:r>
        <w:rPr>
          <w:color w:val="262626"/>
          <w:spacing w:val="5"/>
        </w:rPr>
        <w:t>、</w:t>
      </w:r>
      <w:r>
        <w:rPr>
          <w:rFonts w:ascii="Calibri" w:eastAsia="Calibri"/>
          <w:color w:val="262626"/>
        </w:rPr>
        <w:t>104%</w:t>
      </w:r>
      <w:r>
        <w:rPr>
          <w:color w:val="262626"/>
        </w:rPr>
        <w:t>、</w:t>
      </w:r>
      <w:r>
        <w:rPr>
          <w:rFonts w:ascii="Calibri" w:eastAsia="Calibri"/>
          <w:color w:val="262626"/>
        </w:rPr>
        <w:t>72%</w:t>
      </w:r>
      <w:r>
        <w:rPr>
          <w:color w:val="262626"/>
          <w:spacing w:val="-14"/>
        </w:rPr>
        <w:t>至</w:t>
      </w:r>
      <w:r>
        <w:rPr>
          <w:rFonts w:ascii="Calibri" w:eastAsia="Calibri"/>
          <w:color w:val="262626"/>
        </w:rPr>
        <w:t>120</w:t>
      </w:r>
      <w:r>
        <w:rPr>
          <w:color w:val="262626"/>
        </w:rPr>
        <w:t>、</w:t>
      </w:r>
      <w:r>
        <w:rPr>
          <w:rFonts w:ascii="Calibri" w:eastAsia="Calibri"/>
          <w:color w:val="262626"/>
        </w:rPr>
        <w:t>53</w:t>
      </w:r>
      <w:r>
        <w:rPr>
          <w:color w:val="262626"/>
        </w:rPr>
        <w:t>、</w:t>
      </w:r>
      <w:r>
        <w:rPr>
          <w:rFonts w:ascii="Calibri" w:eastAsia="Calibri"/>
          <w:color w:val="262626"/>
        </w:rPr>
        <w:t>43</w:t>
      </w:r>
      <w:r>
        <w:rPr>
          <w:color w:val="262626"/>
          <w:spacing w:val="-1"/>
        </w:rPr>
        <w:t>吉瓦，集中式贡献主要增量。由于</w:t>
      </w:r>
      <w:r>
        <w:rPr>
          <w:rFonts w:ascii="Calibri" w:eastAsia="Calibri"/>
          <w:color w:val="262626"/>
        </w:rPr>
        <w:t>2023</w:t>
      </w:r>
      <w:r>
        <w:rPr>
          <w:color w:val="262626"/>
          <w:spacing w:val="-2"/>
        </w:rPr>
        <w:t>年的高基数和装机超</w:t>
      </w:r>
      <w:r>
        <w:rPr>
          <w:color w:val="262626"/>
        </w:rPr>
        <w:t>预期导致的消纳压力，我们预计未来装机增速或将放缓。</w:t>
      </w:r>
    </w:p>
    <w:p>
      <w:pPr>
        <w:pStyle w:val="BodyText"/>
        <w:spacing w:before="173" w:line="232" w:lineRule="auto"/>
        <w:ind w:left="1151" w:right="3910"/>
        <w:jc w:val="both"/>
      </w:pPr>
      <w:r>
        <w:rPr>
          <w:color w:val="262626"/>
          <w:spacing w:val="-1"/>
        </w:rPr>
        <w:t>我们预计随着组件价格继续下跌，集中式装机</w:t>
      </w:r>
      <w:r>
        <w:rPr>
          <w:rFonts w:ascii="Calibri" w:eastAsia="Calibri"/>
          <w:color w:val="262626"/>
        </w:rPr>
        <w:t>2024</w:t>
      </w:r>
      <w:r>
        <w:rPr>
          <w:color w:val="262626"/>
          <w:spacing w:val="-2"/>
        </w:rPr>
        <w:t>年将进一步增长</w:t>
      </w:r>
      <w:r>
        <w:rPr>
          <w:rFonts w:ascii="Calibri" w:eastAsia="Calibri"/>
          <w:color w:val="262626"/>
        </w:rPr>
        <w:t>14%</w:t>
      </w:r>
      <w:r>
        <w:rPr>
          <w:color w:val="262626"/>
          <w:spacing w:val="-7"/>
        </w:rPr>
        <w:t>至</w:t>
      </w:r>
      <w:r>
        <w:rPr>
          <w:rFonts w:ascii="Calibri" w:eastAsia="Calibri"/>
          <w:color w:val="262626"/>
        </w:rPr>
        <w:t>137</w:t>
      </w:r>
      <w:r>
        <w:rPr>
          <w:color w:val="262626"/>
          <w:spacing w:val="-16"/>
        </w:rPr>
        <w:t>吉</w:t>
      </w:r>
      <w:r>
        <w:rPr>
          <w:color w:val="262626"/>
        </w:rPr>
        <w:t>瓦；受可再生能源消费不纳入能耗双控、海外碳关税等政策推动，</w:t>
      </w:r>
      <w:r>
        <w:rPr>
          <w:rFonts w:ascii="Calibri" w:eastAsia="Calibri"/>
          <w:color w:val="262626"/>
        </w:rPr>
        <w:t>2024</w:t>
      </w:r>
      <w:r>
        <w:rPr>
          <w:color w:val="262626"/>
        </w:rPr>
        <w:t>年工商</w:t>
      </w:r>
      <w:r>
        <w:rPr>
          <w:color w:val="262626"/>
          <w:spacing w:val="-1"/>
        </w:rPr>
        <w:t>业分布式装机仍将增长</w:t>
      </w:r>
      <w:r>
        <w:rPr>
          <w:rFonts w:ascii="Calibri" w:eastAsia="Calibri"/>
          <w:color w:val="262626"/>
        </w:rPr>
        <w:t>6%</w:t>
      </w:r>
      <w:r>
        <w:rPr>
          <w:color w:val="262626"/>
          <w:spacing w:val="-7"/>
        </w:rPr>
        <w:t>至</w:t>
      </w:r>
      <w:r>
        <w:rPr>
          <w:rFonts w:ascii="Calibri" w:eastAsia="Calibri"/>
          <w:color w:val="262626"/>
        </w:rPr>
        <w:t>56</w:t>
      </w:r>
      <w:r>
        <w:rPr>
          <w:color w:val="262626"/>
          <w:spacing w:val="-1"/>
        </w:rPr>
        <w:t>吉瓦；受资源条件限制，户用装机</w:t>
      </w:r>
      <w:r>
        <w:rPr>
          <w:rFonts w:ascii="Calibri" w:eastAsia="Calibri"/>
          <w:color w:val="262626"/>
        </w:rPr>
        <w:t>2024</w:t>
      </w:r>
      <w:r>
        <w:rPr>
          <w:color w:val="262626"/>
          <w:spacing w:val="-4"/>
        </w:rPr>
        <w:t>年则将下</w:t>
      </w:r>
      <w:r>
        <w:rPr>
          <w:color w:val="262626"/>
        </w:rPr>
        <w:t>降</w:t>
      </w:r>
      <w:r>
        <w:rPr>
          <w:rFonts w:ascii="Calibri" w:eastAsia="Calibri"/>
          <w:color w:val="262626"/>
        </w:rPr>
        <w:t>3%</w:t>
      </w:r>
      <w:r>
        <w:rPr>
          <w:color w:val="262626"/>
        </w:rPr>
        <w:t>至</w:t>
      </w:r>
      <w:r>
        <w:rPr>
          <w:rFonts w:ascii="Calibri" w:eastAsia="Calibri"/>
          <w:color w:val="262626"/>
        </w:rPr>
        <w:t>42</w:t>
      </w:r>
      <w:r>
        <w:rPr>
          <w:color w:val="262626"/>
        </w:rPr>
        <w:t>吉瓦。</w:t>
      </w:r>
    </w:p>
    <w:p>
      <w:pPr>
        <w:pStyle w:val="BodyText"/>
        <w:spacing w:before="170" w:line="265" w:lineRule="exact"/>
        <w:ind w:left="1151"/>
        <w:rPr>
          <w:rFonts w:ascii="Calibri" w:eastAsia="Calibri"/>
        </w:rPr>
      </w:pPr>
      <w:r>
        <w:rPr>
          <w:color w:val="262626"/>
        </w:rPr>
        <w:t>综上，我们预计</w:t>
      </w:r>
      <w:r>
        <w:rPr>
          <w:rFonts w:ascii="Calibri" w:eastAsia="Calibri"/>
          <w:color w:val="262626"/>
        </w:rPr>
        <w:t>2024</w:t>
      </w:r>
      <w:r>
        <w:rPr>
          <w:color w:val="262626"/>
        </w:rPr>
        <w:t>年内地光伏新增装机合计将达</w:t>
      </w:r>
      <w:r>
        <w:rPr>
          <w:rFonts w:ascii="Calibri" w:eastAsia="Calibri"/>
          <w:color w:val="262626"/>
        </w:rPr>
        <w:t>235</w:t>
      </w:r>
      <w:r>
        <w:rPr>
          <w:color w:val="262626"/>
        </w:rPr>
        <w:t>吉瓦，同比仍将增长</w:t>
      </w:r>
      <w:r>
        <w:rPr>
          <w:rFonts w:ascii="Calibri" w:eastAsia="Calibri"/>
          <w:color w:val="262626"/>
        </w:rPr>
        <w:t>9%</w:t>
      </w:r>
    </w:p>
    <w:p>
      <w:pPr>
        <w:pStyle w:val="BodyText"/>
        <w:spacing w:before="1" w:line="232" w:lineRule="auto"/>
        <w:ind w:left="1151" w:right="3910"/>
      </w:pPr>
      <w:r>
        <w:rPr>
          <w:color w:val="262626"/>
        </w:rPr>
        <w:t>，随着高比例配置储能、电网灵活性调节能力增强打开消纳空间，</w:t>
      </w:r>
      <w:r>
        <w:rPr>
          <w:rFonts w:ascii="Calibri" w:eastAsia="Calibri"/>
          <w:color w:val="262626"/>
        </w:rPr>
        <w:t>2025</w:t>
      </w:r>
      <w:r>
        <w:rPr>
          <w:color w:val="262626"/>
        </w:rPr>
        <w:t>年增速则有望回升。</w:t>
      </w:r>
    </w:p>
    <w:p>
      <w:pPr>
        <w:pStyle w:val="BodyText"/>
        <w:spacing w:before="8"/>
        <w:rPr>
          <w:sz w:val="15"/>
        </w:rPr>
      </w:pPr>
    </w:p>
    <w:p>
      <w:pPr>
        <w:pStyle w:val="Heading3"/>
        <w:tabs>
          <w:tab w:val="left" w:pos="6324"/>
        </w:tabs>
      </w:pPr>
      <w:r>
        <w:pict>
          <v:group id="_x0000_s1044" style="width:236.9pt;height:128.95pt;margin-top:20.01pt;margin-left:57.55pt;mso-position-horizontal-relative:page;position:absolute;z-index:251665408" coordorigin="1151,400" coordsize="4738,2579">
            <v:line id="_x0000_s1045" style="position:absolute" from="1151,408" to="5889,408" stroked="t" strokecolor="black" strokeweight="0.75pt">
              <v:stroke dashstyle="solid"/>
            </v:line>
            <v:shape id="_x0000_s1046" type="#_x0000_t75" style="width:4455;height:2506;left:1297;position:absolute;top:472" stroked="f">
              <v:imagedata r:id="rId30" o:title=""/>
            </v:shape>
          </v:group>
        </w:pict>
      </w:r>
      <w:r>
        <w:pict>
          <v:line id="_x0000_s1047" style="mso-position-horizontal-relative:page;position:absolute;z-index:251666432" from="316.25pt,20.4pt" to="554.8pt,20.4pt" stroked="t" strokecolor="black" strokeweight="0.75pt">
            <v:stroke dashstyle="solid"/>
          </v:line>
        </w:pict>
      </w:r>
      <w:r>
        <w:drawing>
          <wp:anchor distT="0" distB="0" distL="0" distR="0" simplePos="0" relativeHeight="251667456" behindDoc="0" locked="0" layoutInCell="1" allowOverlap="1">
            <wp:simplePos x="0" y="0"/>
            <wp:positionH relativeFrom="page">
              <wp:posOffset>4109342</wp:posOffset>
            </wp:positionH>
            <wp:positionV relativeFrom="paragraph">
              <wp:posOffset>324656</wp:posOffset>
            </wp:positionV>
            <wp:extent cx="2859616" cy="1566672"/>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31" cstate="print"/>
                    <a:stretch>
                      <a:fillRect/>
                    </a:stretch>
                  </pic:blipFill>
                  <pic:spPr>
                    <a:xfrm>
                      <a:off x="0" y="0"/>
                      <a:ext cx="2859616" cy="1566672"/>
                    </a:xfrm>
                    <a:prstGeom prst="rect">
                      <a:avLst/>
                    </a:prstGeom>
                  </pic:spPr>
                </pic:pic>
              </a:graphicData>
            </a:graphic>
          </wp:anchor>
        </w:drawing>
      </w:r>
      <w:r>
        <w:t>图表</w:t>
      </w:r>
      <w:r>
        <w:rPr>
          <w:rFonts w:ascii="Calibri" w:eastAsia="Calibri"/>
        </w:rPr>
        <w:t>3:</w:t>
      </w:r>
      <w:r>
        <w:rPr>
          <w:rFonts w:ascii="Calibri" w:eastAsia="Calibri"/>
          <w:spacing w:val="-1"/>
        </w:rPr>
        <w:t xml:space="preserve"> </w:t>
      </w:r>
      <w:r>
        <w:t>内地光伏新增装机</w:t>
        <w:tab/>
        <w:t>图表</w:t>
      </w:r>
      <w:r>
        <w:rPr>
          <w:rFonts w:ascii="Calibri" w:eastAsia="Calibri"/>
        </w:rPr>
        <w:t>4:</w:t>
      </w:r>
      <w:r>
        <w:rPr>
          <w:rFonts w:ascii="Calibri" w:eastAsia="Calibri"/>
          <w:spacing w:val="-1"/>
        </w:rPr>
        <w:t xml:space="preserve"> </w:t>
      </w:r>
      <w:r>
        <w:t>内地光伏新增装机构成（吉瓦）</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3"/>
        <w:rPr>
          <w:rFonts w:ascii="Microsoft JhengHei"/>
          <w:b/>
          <w:sz w:val="25"/>
        </w:rPr>
      </w:pPr>
      <w:r>
        <w:pict>
          <v:shape id="_x0000_s1048" style="width:236.9pt;height:0.1pt;margin-top:25.53pt;margin-left:57.55pt;mso-position-horizontal-relative:page;mso-wrap-distance-left:0;mso-wrap-distance-right:0;position:absolute;z-index:-251653120" coordorigin="1151,511" coordsize="4738,0" path="m1151,511l5889,511e" filled="f" stroked="t" strokecolor="black" strokeweight="0.75pt">
            <v:stroke dashstyle="solid"/>
            <v:path arrowok="t"/>
            <w10:wrap type="topAndBottom"/>
          </v:shape>
        </w:pict>
      </w:r>
      <w:r>
        <w:pict>
          <v:shape id="_x0000_s1049" style="width:238.55pt;height:0.1pt;margin-top:25.53pt;margin-left:316.25pt;mso-position-horizontal-relative:page;mso-wrap-distance-left:0;mso-wrap-distance-right:0;position:absolute;z-index:-251652096" coordorigin="6325,511" coordsize="4771,0" path="m6325,511l11096,511e" filled="f" stroked="t" strokecolor="black" strokeweight="0.75pt">
            <v:stroke dashstyle="solid"/>
            <v:path arrowok="t"/>
            <w10:wrap type="topAndBottom"/>
          </v:shape>
        </w:pict>
      </w:r>
    </w:p>
    <w:p>
      <w:pPr>
        <w:tabs>
          <w:tab w:val="left" w:pos="6324"/>
        </w:tabs>
        <w:spacing w:before="0"/>
        <w:ind w:left="1150" w:right="0" w:firstLine="0"/>
        <w:jc w:val="left"/>
        <w:rPr>
          <w:sz w:val="15"/>
        </w:rPr>
      </w:pPr>
      <w:r>
        <w:t>资料来源: 国家能源局， 预测</w:t>
        <w:tab/>
        <w:t>资料来源: 国家能源局， 预测</w:t>
      </w:r>
    </w:p>
    <w:p>
      <w:pPr>
        <w:spacing w:after="0"/>
        <w:jc w:val="left"/>
        <w:rPr>
          <w:sz w:val="15"/>
        </w:rPr>
        <w:sectPr>
          <w:headerReference w:type="default" r:id="rId32"/>
          <w:footerReference w:type="default" r:id="rId33"/>
          <w:pgSz w:w="12240" w:h="15840"/>
          <w:pgMar w:top="1720" w:right="0" w:bottom="1380" w:left="0" w:header="708" w:footer="708"/>
          <w:pgNumType w:start="11"/>
          <w:cols w:space="708"/>
        </w:sectPr>
      </w:pPr>
    </w:p>
    <w:p>
      <w:pPr>
        <w:pStyle w:val="BodyText"/>
        <w:rPr>
          <w:sz w:val="20"/>
        </w:rPr>
      </w:pPr>
    </w:p>
    <w:p>
      <w:pPr>
        <w:pStyle w:val="BodyText"/>
        <w:spacing w:before="6"/>
      </w:pPr>
    </w:p>
    <w:p>
      <w:pPr>
        <w:pStyle w:val="Heading4"/>
        <w:numPr>
          <w:ilvl w:val="0"/>
          <w:numId w:val="4"/>
        </w:numPr>
        <w:tabs>
          <w:tab w:val="left" w:pos="1436"/>
        </w:tabs>
        <w:spacing w:before="101" w:after="0" w:line="144" w:lineRule="auto"/>
        <w:ind w:left="1151" w:right="4076" w:firstLine="0"/>
        <w:jc w:val="left"/>
      </w:pPr>
      <w:r>
        <w:t>海外需求：欧洲库存需时间消化，美国降息和组件价格大跌将刺激</w:t>
      </w:r>
      <w:r>
        <w:rPr>
          <w:rFonts w:ascii="Calibri" w:eastAsia="Calibri"/>
        </w:rPr>
        <w:t>2024</w:t>
      </w:r>
      <w:r>
        <w:rPr>
          <w:spacing w:val="-16"/>
        </w:rPr>
        <w:t>年</w:t>
      </w:r>
      <w:r>
        <w:t>需求</w:t>
      </w:r>
    </w:p>
    <w:p>
      <w:pPr>
        <w:pStyle w:val="BodyText"/>
        <w:spacing w:before="105" w:line="213" w:lineRule="auto"/>
        <w:ind w:left="1151" w:right="3910"/>
        <w:jc w:val="both"/>
      </w:pPr>
      <w:r>
        <w:rPr>
          <w:color w:val="262626"/>
        </w:rPr>
        <w:t>据盖锡咨询统计，</w:t>
      </w:r>
      <w:r>
        <w:rPr>
          <w:rFonts w:ascii="Calibri" w:eastAsia="Calibri"/>
          <w:color w:val="262626"/>
        </w:rPr>
        <w:t>2023</w:t>
      </w:r>
      <w:r>
        <w:rPr>
          <w:color w:val="262626"/>
          <w:spacing w:val="-2"/>
        </w:rPr>
        <w:t>年中国组件出口</w:t>
      </w:r>
      <w:r>
        <w:rPr>
          <w:rFonts w:ascii="Calibri" w:eastAsia="Calibri"/>
          <w:color w:val="262626"/>
        </w:rPr>
        <w:t>189</w:t>
      </w:r>
      <w:r>
        <w:rPr>
          <w:color w:val="262626"/>
          <w:spacing w:val="-2"/>
        </w:rPr>
        <w:t>吉瓦，同比增长</w:t>
      </w:r>
      <w:r>
        <w:rPr>
          <w:rFonts w:ascii="Calibri" w:eastAsia="Calibri"/>
          <w:color w:val="262626"/>
        </w:rPr>
        <w:t>19%</w:t>
      </w:r>
      <w:r>
        <w:rPr>
          <w:color w:val="262626"/>
          <w:spacing w:val="-3"/>
        </w:rPr>
        <w:t>，仍保持较快增</w:t>
      </w:r>
      <w:r>
        <w:rPr>
          <w:color w:val="262626"/>
          <w:spacing w:val="-1"/>
        </w:rPr>
        <w:t>速。单月来看，出口量在</w:t>
      </w:r>
      <w:r>
        <w:rPr>
          <w:rFonts w:ascii="Calibri" w:eastAsia="Calibri"/>
          <w:color w:val="262626"/>
        </w:rPr>
        <w:t>3</w:t>
      </w:r>
      <w:r>
        <w:rPr>
          <w:color w:val="262626"/>
          <w:spacing w:val="-3"/>
        </w:rPr>
        <w:t>月创出</w:t>
      </w:r>
      <w:r>
        <w:rPr>
          <w:rFonts w:ascii="Calibri" w:eastAsia="Calibri"/>
          <w:color w:val="262626"/>
        </w:rPr>
        <w:t>20.3</w:t>
      </w:r>
      <w:r>
        <w:rPr>
          <w:color w:val="262626"/>
          <w:spacing w:val="-1"/>
        </w:rPr>
        <w:t>吉瓦的新高后有所回落，但</w:t>
      </w:r>
      <w:r>
        <w:rPr>
          <w:rFonts w:ascii="Calibri" w:eastAsia="Calibri"/>
          <w:color w:val="262626"/>
        </w:rPr>
        <w:t>11</w:t>
      </w:r>
      <w:r>
        <w:rPr>
          <w:color w:val="262626"/>
          <w:spacing w:val="-3"/>
        </w:rPr>
        <w:t>月以来明显</w:t>
      </w:r>
      <w:r>
        <w:rPr>
          <w:color w:val="262626"/>
          <w:spacing w:val="-15"/>
        </w:rPr>
        <w:t xml:space="preserve">回升， </w:t>
      </w:r>
      <w:r>
        <w:rPr>
          <w:rFonts w:ascii="Calibri" w:eastAsia="Calibri"/>
          <w:color w:val="262626"/>
        </w:rPr>
        <w:t>12</w:t>
      </w:r>
      <w:r>
        <w:rPr>
          <w:color w:val="262626"/>
        </w:rPr>
        <w:t>月同比增速更创下</w:t>
      </w:r>
      <w:r>
        <w:rPr>
          <w:rFonts w:ascii="Calibri" w:eastAsia="Calibri"/>
          <w:color w:val="262626"/>
        </w:rPr>
        <w:t>56%</w:t>
      </w:r>
      <w:r>
        <w:rPr>
          <w:color w:val="262626"/>
        </w:rPr>
        <w:t>的</w:t>
      </w:r>
      <w:r>
        <w:rPr>
          <w:rFonts w:ascii="Calibri" w:eastAsia="Calibri"/>
          <w:color w:val="262626"/>
        </w:rPr>
        <w:t>2022</w:t>
      </w:r>
      <w:r>
        <w:rPr>
          <w:color w:val="262626"/>
        </w:rPr>
        <w:t>年</w:t>
      </w:r>
      <w:r>
        <w:rPr>
          <w:rFonts w:ascii="Calibri" w:eastAsia="Calibri"/>
          <w:color w:val="262626"/>
        </w:rPr>
        <w:t>8</w:t>
      </w:r>
      <w:r>
        <w:rPr>
          <w:color w:val="262626"/>
        </w:rPr>
        <w:t>月以来新高。</w:t>
      </w:r>
    </w:p>
    <w:p>
      <w:pPr>
        <w:pStyle w:val="BodyText"/>
        <w:spacing w:before="10"/>
        <w:rPr>
          <w:sz w:val="15"/>
        </w:rPr>
      </w:pPr>
    </w:p>
    <w:p>
      <w:pPr>
        <w:pStyle w:val="Heading3"/>
      </w:pPr>
      <w:r>
        <w:rPr>
          <w:color w:val="262626"/>
        </w:rPr>
        <w:t>图表</w:t>
      </w:r>
      <w:r>
        <w:rPr>
          <w:rFonts w:ascii="Calibri" w:eastAsia="Calibri"/>
        </w:rPr>
        <w:t xml:space="preserve">5: </w:t>
      </w:r>
      <w:r>
        <w:rPr>
          <w:color w:val="262626"/>
        </w:rPr>
        <w:t>內地光伏组件月出口量（吉瓦）</w:t>
      </w:r>
    </w:p>
    <w:p>
      <w:pPr>
        <w:pStyle w:val="BodyText"/>
        <w:spacing w:line="20" w:lineRule="exact"/>
        <w:ind w:left="1143"/>
        <w:rPr>
          <w:rFonts w:ascii="Microsoft JhengHei"/>
          <w:sz w:val="2"/>
        </w:rPr>
      </w:pPr>
      <w:r>
        <w:rPr>
          <w:rFonts w:ascii="Microsoft JhengHei"/>
          <w:sz w:val="2"/>
        </w:rPr>
        <w:pict>
          <v:group id="_x0000_i1050" style="width:357.2pt;height:0.75pt;mso-position-horizontal-relative:char;mso-position-vertical-relative:line" coordorigin="0,0" coordsize="7144,15">
            <v:line id="_x0000_s1051" style="position:absolute" from="0,8" to="7144,8" stroked="t" strokecolor="black" strokeweight="0.75pt">
              <v:stroke dashstyle="solid"/>
            </v:line>
            <w10:wrap type="none"/>
          </v:group>
        </w:pict>
      </w:r>
    </w:p>
    <w:p>
      <w:pPr>
        <w:tabs>
          <w:tab w:val="left" w:pos="4650"/>
          <w:tab w:val="left" w:pos="5963"/>
        </w:tabs>
        <w:spacing w:before="76"/>
        <w:ind w:left="3337" w:right="0" w:firstLine="0"/>
        <w:jc w:val="left"/>
        <w:rPr>
          <w:rFonts w:ascii="Calibri"/>
          <w:sz w:val="16"/>
        </w:rPr>
      </w:pPr>
      <w:r>
        <w:pict>
          <v:rect id="_x0000_s1052" style="width:4.44pt;height:4.44pt;margin-top:6.98pt;margin-left:160.66pt;mso-position-horizontal-relative:page;position:absolute;z-index:251672576" filled="t" fillcolor="#9cc6cd" stroked="f">
            <v:fill type="solid"/>
          </v:rect>
        </w:pict>
      </w:r>
      <w:r>
        <w:pict>
          <v:rect id="_x0000_s1053" style="width:4.32pt;height:4.44pt;margin-top:6.98pt;margin-left:226.36pt;mso-position-horizontal-relative:page;position:absolute;z-index:-251648000" filled="t" fillcolor="#59a1ae" stroked="f">
            <v:fill type="solid"/>
          </v:rect>
        </w:pict>
      </w:r>
      <w:r>
        <w:pict>
          <v:rect id="_x0000_s1054" style="width:4.44pt;height:4.44pt;margin-top:6.98pt;margin-left:291.94pt;mso-position-horizontal-relative:page;position:absolute;z-index:-251646976" filled="t" fillcolor="#acc8cf" stroked="f">
            <v:fill type="solid"/>
          </v:rect>
        </w:pict>
      </w:r>
      <w:r>
        <w:rPr>
          <w:rFonts w:ascii="Calibri"/>
          <w:sz w:val="16"/>
        </w:rPr>
        <w:t>2021</w:t>
        <w:tab/>
        <w:t>2022</w:t>
        <w:tab/>
        <w:t>2023</w:t>
      </w:r>
    </w:p>
    <w:p>
      <w:pPr>
        <w:spacing w:before="0"/>
        <w:ind w:left="2371" w:right="0" w:firstLine="0"/>
        <w:jc w:val="left"/>
        <w:rPr>
          <w:rFonts w:ascii="Calibri"/>
          <w:sz w:val="16"/>
        </w:rPr>
      </w:pPr>
      <w:r>
        <w:pict>
          <v:group id="_x0000_s1055" style="width:209.25pt;height:109.8pt;margin-top:5.05pt;margin-left:141.72pt;mso-position-horizontal-relative:page;position:absolute;z-index:251671552" coordorigin="2834,101" coordsize="4185,2196">
            <v:shape id="_x0000_s1056" style="width:370;height:428;left:6642;position:absolute;top:1389" coordorigin="6642,1390" coordsize="370,428" path="m6985,1817l7011,1817m6642,1817l6690,1817m6642,1390l6887,1390e" filled="f" stroked="t" strokecolor="#d8d8d8" strokeweight="0.72pt">
              <v:stroke dashstyle="solid"/>
              <v:path arrowok="t"/>
            </v:shape>
            <v:rect id="_x0000_s1057" style="width:99;height:850;left:6690;position:absolute;top:1394" filled="t" fillcolor="#9cc6cd" stroked="f">
              <v:fill type="solid"/>
            </v:rect>
            <v:rect id="_x0000_s1058" style="width:99;height:850;left:6788;position:absolute;top:1394" filled="t" fillcolor="#59a1ae" stroked="f">
              <v:fill type="solid"/>
            </v:rect>
            <v:line id="_x0000_s1059" style="position:absolute" from="6299,1817" to="6347,1817" stroked="t" strokecolor="#d8d8d8" strokeweight="0.72pt">
              <v:stroke dashstyle="solid"/>
            </v:line>
            <v:line id="_x0000_s1060" style="position:absolute" from="6396,1538" to="6396,2244" stroked="t" strokecolor="#9cc6cd" strokeweight="4.92pt">
              <v:stroke dashstyle="solid"/>
            </v:line>
            <v:line id="_x0000_s1061" style="position:absolute" from="6299,1390" to="6446,1390" stroked="t" strokecolor="#d8d8d8" strokeweight="0.72pt">
              <v:stroke dashstyle="solid"/>
            </v:line>
            <v:line id="_x0000_s1062" style="position:absolute" from="6495,1325" to="6495,2244" stroked="t" strokecolor="#59a1ae" strokeweight="4.92pt">
              <v:stroke dashstyle="solid"/>
            </v:line>
            <v:shape id="_x0000_s1063" style="width:51;height:428;left:5954;position:absolute;top:1389" coordorigin="5954,1390" coordsize="51,428" path="m5954,1817l6004,1817m5954,1390l6004,1390e" filled="f" stroked="t" strokecolor="#d8d8d8" strokeweight="0.72pt">
              <v:stroke dashstyle="solid"/>
              <v:path arrowok="t"/>
            </v:shape>
            <v:line id="_x0000_s1064" style="position:absolute" from="6054,1370" to="6054,2244" stroked="t" strokecolor="#9cc6cd" strokeweight="4.92pt">
              <v:stroke dashstyle="solid"/>
            </v:line>
            <v:line id="_x0000_s1065" style="position:absolute" from="6152,1246" to="6152,2244" stroked="t" strokecolor="#59a1ae" strokeweight="4.92pt">
              <v:stroke dashstyle="solid"/>
            </v:line>
            <v:shape id="_x0000_s1066" style="width:147;height:428;left:5611;position:absolute;top:1389" coordorigin="5611,1390" coordsize="147,428" path="m5611,1817l5659,1817m5611,1390l5757,1390e" filled="f" stroked="t" strokecolor="#d8d8d8" strokeweight="0.72pt">
              <v:stroke dashstyle="solid"/>
              <v:path arrowok="t"/>
            </v:shape>
            <v:line id="_x0000_s1067" style="position:absolute" from="5708,1404" to="5708,2244" stroked="t" strokecolor="#9cc6cd" strokeweight="4.92pt">
              <v:stroke dashstyle="solid"/>
            </v:line>
            <v:line id="_x0000_s1068" style="position:absolute" from="5807,1164" to="5807,2244" stroked="t" strokecolor="#59a1ae" strokeweight="4.92pt">
              <v:stroke dashstyle="solid"/>
            </v:line>
            <v:shape id="_x0000_s1069" style="width:51;height:428;left:5265;position:absolute;top:1389" coordorigin="5266,1390" coordsize="51,428" path="m5266,1817l5316,1817m5266,1390l5316,1390e" filled="f" stroked="t" strokecolor="#d8d8d8" strokeweight="0.72pt">
              <v:stroke dashstyle="solid"/>
              <v:path arrowok="t"/>
            </v:shape>
            <v:line id="_x0000_s1070" style="position:absolute" from="5365,1334" to="5365,2244" stroked="t" strokecolor="#9cc6cd" strokeweight="4.92pt">
              <v:stroke dashstyle="solid"/>
            </v:line>
            <v:line id="_x0000_s1071" style="position:absolute" from="4923,1817" to="4971,1817" stroked="t" strokecolor="#d8d8d8" strokeweight="0.72pt">
              <v:stroke dashstyle="solid"/>
            </v:line>
            <v:line id="_x0000_s1072" style="position:absolute" from="5020,1562" to="5020,2244" stroked="t" strokecolor="#9cc6cd" strokeweight="4.92pt">
              <v:stroke dashstyle="solid"/>
            </v:line>
            <v:shape id="_x0000_s1073" style="width:590;height:428;left:4922;position:absolute;top:962" coordorigin="4923,962" coordsize="590,428" path="m4923,1390l5069,1390m5168,962l5513,962m4923,962l5069,962e" filled="f" stroked="t" strokecolor="#d8d8d8" strokeweight="0.72pt">
              <v:stroke dashstyle="solid"/>
              <v:path arrowok="t"/>
            </v:shape>
            <v:line id="_x0000_s1074" style="position:absolute" from="5118,919" to="5118,2244" stroked="t" strokecolor="#59a1ae" strokeweight="4.92pt">
              <v:stroke dashstyle="solid"/>
            </v:line>
            <v:line id="_x0000_s1075" style="position:absolute" from="5464,1039" to="5464,2244" stroked="t" strokecolor="#59a1ae" strokeweight="4.92pt">
              <v:stroke dashstyle="solid"/>
            </v:line>
            <v:line id="_x0000_s1076" style="position:absolute" from="4580,1817" to="4628,1817" stroked="t" strokecolor="#d8d8d8" strokeweight="0.72pt">
              <v:stroke dashstyle="solid"/>
            </v:line>
            <v:line id="_x0000_s1077" style="position:absolute" from="4677,1512" to="4677,2244" stroked="t" strokecolor="#9cc6cd" strokeweight="4.92pt">
              <v:stroke dashstyle="solid"/>
            </v:line>
            <v:shape id="_x0000_s1078" style="width:147;height:428;left:4580;position:absolute;top:962" coordorigin="4580,962" coordsize="147,428" path="m4580,1390l4726,1390m4580,962l4726,962e" filled="f" stroked="t" strokecolor="#d8d8d8" strokeweight="0.72pt">
              <v:stroke dashstyle="solid"/>
              <v:path arrowok="t"/>
            </v:shape>
            <v:line id="_x0000_s1079" style="position:absolute" from="4775,941" to="4775,2244" stroked="t" strokecolor="#59a1ae" strokeweight="4.92pt">
              <v:stroke dashstyle="solid"/>
            </v:line>
            <v:line id="_x0000_s1080" style="position:absolute" from="4235,1817" to="4285,1817" stroked="t" strokecolor="#d8d8d8" strokeweight="0.72pt">
              <v:stroke dashstyle="solid"/>
            </v:line>
            <v:line id="_x0000_s1081" style="position:absolute" from="4334,1529" to="4334,2244" stroked="t" strokecolor="#9cc6cd" strokeweight="4.92pt">
              <v:stroke dashstyle="solid"/>
            </v:line>
            <v:shape id="_x0000_s1082" style="width:247;height:428;left:4234;position:absolute;top:962" coordorigin="4235,962" coordsize="247,428" path="m4235,1390l4383,1390m4235,962l4482,962e" filled="f" stroked="t" strokecolor="#d8d8d8" strokeweight="0.72pt">
              <v:stroke dashstyle="solid"/>
              <v:path arrowok="t"/>
            </v:shape>
            <v:line id="_x0000_s1083" style="position:absolute" from="4433,977" to="4433,2244" stroked="t" strokecolor="#59a1ae" strokeweight="4.92pt">
              <v:stroke dashstyle="solid"/>
            </v:line>
            <v:line id="_x0000_s1084" style="position:absolute" from="3892,1817" to="3940,1817" stroked="t" strokecolor="#d8d8d8" strokeweight="0.72pt">
              <v:stroke dashstyle="solid"/>
            </v:line>
            <v:line id="_x0000_s1085" style="position:absolute" from="3989,1610" to="3989,2244" stroked="t" strokecolor="#9cc6cd" strokeweight="4.92pt">
              <v:stroke dashstyle="solid"/>
            </v:line>
            <v:line id="_x0000_s1086" style="position:absolute" from="3892,1390" to="4038,1390" stroked="t" strokecolor="#d8d8d8" strokeweight="0.72pt">
              <v:stroke dashstyle="solid"/>
            </v:line>
            <v:line id="_x0000_s1087" style="position:absolute" from="4087,1183" to="4087,2244" stroked="t" strokecolor="#59a1ae" strokeweight="4.92pt">
              <v:stroke dashstyle="solid"/>
            </v:line>
            <v:line id="_x0000_s1088" style="position:absolute" from="3547,1817" to="3597,1817" stroked="t" strokecolor="#d8d8d8" strokeweight="0.72pt">
              <v:stroke dashstyle="solid"/>
            </v:line>
            <v:line id="_x0000_s1089" style="position:absolute" from="3646,1577" to="3646,2244" stroked="t" strokecolor="#9cc6cd" strokeweight="4.92pt">
              <v:stroke dashstyle="solid"/>
            </v:line>
            <v:line id="_x0000_s1090" style="position:absolute" from="3204,1817" to="3254,1817" stroked="t" strokecolor="#d8d8d8" strokeweight="0.72pt">
              <v:stroke dashstyle="solid"/>
            </v:line>
            <v:line id="_x0000_s1091" style="position:absolute" from="3302,1673" to="3302,2244" stroked="t" strokecolor="#9cc6cd" strokeweight="4.8pt">
              <v:stroke dashstyle="solid"/>
            </v:line>
            <v:shape id="_x0000_s1092" style="width:909;height:428;left:2884;position:absolute;top:962" coordorigin="2885,962" coordsize="909,428" path="m3204,1390l3350,1390m2885,962l3794,962e" filled="f" stroked="t" strokecolor="#d8d8d8" strokeweight="0.72pt">
              <v:stroke dashstyle="solid"/>
              <v:path arrowok="t"/>
            </v:shape>
            <v:line id="_x0000_s1093" style="position:absolute" from="3399,972" to="3399,2244" stroked="t" strokecolor="#59a1ae" strokeweight="4.92pt">
              <v:stroke dashstyle="solid"/>
            </v:line>
            <v:line id="_x0000_s1094" style="position:absolute" from="3547,1390" to="3695,1390" stroked="t" strokecolor="#d8d8d8" strokeweight="0.72pt">
              <v:stroke dashstyle="solid"/>
            </v:line>
            <v:line id="_x0000_s1095" style="position:absolute" from="3744,1008" to="3744,2244" stroked="t" strokecolor="#59a1ae" strokeweight="4.92pt">
              <v:stroke dashstyle="solid"/>
            </v:line>
            <v:line id="_x0000_s1096" style="position:absolute" from="2885,1817" to="2909,1817" stroked="t" strokecolor="#d8d8d8" strokeweight="0.72pt">
              <v:stroke dashstyle="solid"/>
            </v:line>
            <v:line id="_x0000_s1097" style="position:absolute" from="2958,1790" to="2958,2244" stroked="t" strokecolor="#9cc6cd" strokeweight="4.92pt">
              <v:stroke dashstyle="solid"/>
            </v:line>
            <v:line id="_x0000_s1098" style="position:absolute" from="2885,1390" to="3007,1390" stroked="t" strokecolor="#d8d8d8" strokeweight="0.72pt">
              <v:stroke dashstyle="solid"/>
            </v:line>
            <v:line id="_x0000_s1099" style="position:absolute" from="3056,1222" to="3056,2244" stroked="t" strokecolor="#59a1ae" strokeweight="4.92pt">
              <v:stroke dashstyle="solid"/>
            </v:line>
            <v:line id="_x0000_s1100" style="position:absolute" from="3154,1025" to="3154,2244" stroked="t" strokecolor="#acc8cf" strokeweight="4.92pt">
              <v:stroke dashstyle="solid"/>
            </v:line>
            <v:line id="_x0000_s1101" style="position:absolute" from="3497,1104" to="3497,2244" stroked="t" strokecolor="#acc8cf" strokeweight="4.92pt">
              <v:stroke dashstyle="solid"/>
            </v:line>
            <v:shape id="_x0000_s1102" style="width:4127;height:428;left:2884;position:absolute;top:535" coordorigin="2885,535" coordsize="4127,428" path="m3892,962l4136,962m3892,535l7011,535m2885,535l3794,535e" filled="f" stroked="t" strokecolor="#d8d8d8" strokeweight="0.72pt">
              <v:stroke dashstyle="solid"/>
              <v:path arrowok="t"/>
            </v:shape>
            <v:line id="_x0000_s1103" style="position:absolute" from="3843,514" to="3843,2244" stroked="t" strokecolor="#acc8cf" strokeweight="4.92pt">
              <v:stroke dashstyle="solid"/>
            </v:line>
            <v:line id="_x0000_s1104" style="position:absolute" from="4186,775" to="4186,2244" stroked="t" strokecolor="#acc8cf" strokeweight="4.92pt">
              <v:stroke dashstyle="solid"/>
            </v:line>
            <v:line id="_x0000_s1105" style="position:absolute" from="4531,689" to="4531,2244" stroked="t" strokecolor="#acc8cf" strokeweight="4.92pt">
              <v:stroke dashstyle="solid"/>
            </v:line>
            <v:line id="_x0000_s1106" style="position:absolute" from="4874,826" to="4874,2244" stroked="t" strokecolor="#acc8cf" strokeweight="4.92pt">
              <v:stroke dashstyle="solid"/>
            </v:line>
            <v:line id="_x0000_s1107" style="position:absolute" from="5217,1082" to="5217,2244" stroked="t" strokecolor="#acc8cf" strokeweight="4.92pt">
              <v:stroke dashstyle="solid"/>
            </v:line>
            <v:line id="_x0000_s1108" style="position:absolute" from="5611,962" to="5856,962" stroked="t" strokecolor="#d8d8d8" strokeweight="0.72pt">
              <v:stroke dashstyle="solid"/>
            </v:line>
            <v:line id="_x0000_s1109" style="position:absolute" from="5562,893" to="5562,2244" stroked="t" strokecolor="#acc8cf" strokeweight="4.92pt">
              <v:stroke dashstyle="solid"/>
            </v:line>
            <v:line id="_x0000_s1110" style="position:absolute" from="5954,962" to="6887,962" stroked="t" strokecolor="#d8d8d8" strokeweight="0.72pt">
              <v:stroke dashstyle="solid"/>
            </v:line>
            <v:line id="_x0000_s1111" style="position:absolute" from="5905,809" to="5905,2244" stroked="t" strokecolor="#acc8cf" strokeweight="4.92pt">
              <v:stroke dashstyle="solid"/>
            </v:line>
            <v:line id="_x0000_s1112" style="position:absolute" from="6250,1133" to="6250,2244" stroked="t" strokecolor="#acc8cf" strokeweight="4.92pt">
              <v:stroke dashstyle="solid"/>
            </v:line>
            <v:line id="_x0000_s1113" style="position:absolute" from="6593,960" to="6593,2244" stroked="t" strokecolor="#acc8cf" strokeweight="4.92pt">
              <v:stroke dashstyle="solid"/>
            </v:line>
            <v:shape id="_x0000_s1114" style="width:27;height:428;left:6985;position:absolute;top:962" coordorigin="6985,962" coordsize="27,428" path="m6985,1390l7011,1390m6985,962l7011,962e" filled="f" stroked="t" strokecolor="#d8d8d8" strokeweight="0.72pt">
              <v:stroke dashstyle="solid"/>
              <v:path arrowok="t"/>
            </v:shape>
            <v:line id="_x0000_s1115" style="position:absolute" from="6936,912" to="6936,2244" stroked="t" strokecolor="#acc8cf" strokeweight="4.92pt">
              <v:stroke dashstyle="solid"/>
            </v:line>
            <v:line id="_x0000_s1116" style="position:absolute" from="2885,108" to="7011,108" stroked="t" strokecolor="#d8d8d8" strokeweight="0.72pt">
              <v:stroke dashstyle="solid"/>
            </v:line>
            <v:line id="_x0000_s1117" style="position:absolute" from="2885,2244" to="2885,108" stroked="t" strokecolor="#858585" strokeweight="0.72pt">
              <v:stroke dashstyle="solid"/>
            </v:line>
            <v:shape id="_x0000_s1118" style="width:212014;height:8985360;position:absolute;top:-8974063" coordorigin="0,-8974063" coordsize="212014,8985360" path="m2834,2244l2885,2244m2834,1816l2885,1816m2834,1389l2885,1389m2834,962l2885,962m2834,535l2885,535m2834,108l2885,108e" filled="f" stroked="t" strokecolor="#858585" strokeweight="0.72pt">
              <v:stroke dashstyle="solid"/>
              <v:path arrowok="t"/>
            </v:shape>
            <v:shape id="_x0000_s1119" style="width:17375040;height:222110;position:absolute;top:-210813" coordorigin="0,-210812" coordsize="17375040,222110" path="m2885,2244l7011,2244m2885,2244l2885,2297m3228,2244l3228,2297m3573,2244l3573,2297m3916,2244l3916,2297m4259,2244l4259,2297m4604,2244l4604,2297m4947,2244l4947,2297m5292,2244l5292,2297m5635,2244l5635,2297m5978,2244l5978,2297m6323,2244l6323,2297m6666,2244l6666,2297m7011,2244l7011,2297e" filled="f" stroked="t" strokecolor="#858585" strokeweight="0.72pt">
              <v:stroke dashstyle="solid"/>
              <v:path arrowok="t"/>
            </v:shape>
          </v:group>
        </w:pict>
      </w:r>
      <w:r>
        <w:rPr>
          <w:rFonts w:ascii="Calibri"/>
          <w:sz w:val="16"/>
        </w:rPr>
        <w:t>25.00</w:t>
      </w:r>
    </w:p>
    <w:p>
      <w:pPr>
        <w:pStyle w:val="BodyText"/>
        <w:spacing w:before="5"/>
        <w:rPr>
          <w:rFonts w:ascii="Calibri"/>
          <w:sz w:val="13"/>
        </w:rPr>
      </w:pPr>
    </w:p>
    <w:p>
      <w:pPr>
        <w:spacing w:before="69"/>
        <w:ind w:left="2371" w:right="0" w:firstLine="0"/>
        <w:jc w:val="left"/>
        <w:rPr>
          <w:rFonts w:ascii="Calibri"/>
          <w:sz w:val="16"/>
        </w:rPr>
      </w:pPr>
      <w:r>
        <w:rPr>
          <w:rFonts w:ascii="Calibri"/>
          <w:sz w:val="16"/>
        </w:rPr>
        <w:t>20.00</w:t>
      </w:r>
    </w:p>
    <w:p>
      <w:pPr>
        <w:pStyle w:val="BodyText"/>
        <w:spacing w:before="5"/>
        <w:rPr>
          <w:rFonts w:ascii="Calibri"/>
          <w:sz w:val="13"/>
        </w:rPr>
      </w:pPr>
    </w:p>
    <w:p>
      <w:pPr>
        <w:spacing w:before="68"/>
        <w:ind w:left="2371" w:right="0" w:firstLine="0"/>
        <w:jc w:val="left"/>
        <w:rPr>
          <w:rFonts w:ascii="Calibri"/>
          <w:sz w:val="16"/>
        </w:rPr>
      </w:pPr>
      <w:r>
        <w:rPr>
          <w:rFonts w:ascii="Calibri"/>
          <w:sz w:val="16"/>
        </w:rPr>
        <w:t>15.00</w:t>
      </w:r>
    </w:p>
    <w:p>
      <w:pPr>
        <w:pStyle w:val="BodyText"/>
        <w:spacing w:before="5"/>
        <w:rPr>
          <w:rFonts w:ascii="Calibri"/>
          <w:sz w:val="13"/>
        </w:rPr>
      </w:pPr>
    </w:p>
    <w:p>
      <w:pPr>
        <w:spacing w:before="68"/>
        <w:ind w:left="2371" w:right="0" w:firstLine="0"/>
        <w:jc w:val="left"/>
        <w:rPr>
          <w:rFonts w:ascii="Calibri"/>
          <w:sz w:val="16"/>
        </w:rPr>
      </w:pPr>
      <w:r>
        <w:rPr>
          <w:rFonts w:ascii="Calibri"/>
          <w:sz w:val="16"/>
        </w:rPr>
        <w:t>10.00</w:t>
      </w:r>
    </w:p>
    <w:p>
      <w:pPr>
        <w:pStyle w:val="BodyText"/>
        <w:spacing w:before="5"/>
        <w:rPr>
          <w:rFonts w:ascii="Calibri"/>
          <w:sz w:val="13"/>
        </w:rPr>
      </w:pPr>
    </w:p>
    <w:p>
      <w:pPr>
        <w:spacing w:before="69"/>
        <w:ind w:left="2452" w:right="0" w:firstLine="0"/>
        <w:jc w:val="left"/>
        <w:rPr>
          <w:rFonts w:ascii="Calibri"/>
          <w:sz w:val="16"/>
        </w:rPr>
      </w:pPr>
      <w:r>
        <w:rPr>
          <w:rFonts w:ascii="Calibri"/>
          <w:sz w:val="16"/>
        </w:rPr>
        <w:t>5.00</w:t>
      </w:r>
    </w:p>
    <w:p>
      <w:pPr>
        <w:pStyle w:val="BodyText"/>
        <w:spacing w:before="5"/>
        <w:rPr>
          <w:rFonts w:ascii="Calibri"/>
          <w:sz w:val="13"/>
        </w:rPr>
      </w:pPr>
    </w:p>
    <w:p>
      <w:pPr>
        <w:spacing w:before="68"/>
        <w:ind w:left="2452" w:right="0" w:firstLine="0"/>
        <w:jc w:val="left"/>
        <w:rPr>
          <w:rFonts w:ascii="Calibri"/>
          <w:sz w:val="16"/>
        </w:rPr>
      </w:pPr>
      <w:r>
        <w:rPr>
          <w:rFonts w:ascii="Calibri"/>
          <w:sz w:val="16"/>
        </w:rPr>
        <w:t>0.00</w:t>
      </w:r>
    </w:p>
    <w:p>
      <w:pPr>
        <w:spacing w:before="5"/>
        <w:ind w:left="2933" w:right="0" w:firstLine="0"/>
        <w:jc w:val="left"/>
        <w:rPr>
          <w:sz w:val="16"/>
        </w:rPr>
      </w:pPr>
      <w:r>
        <w:pict>
          <v:shape id="_x0000_s1120" style="width:357.2pt;height:0.1pt;margin-top:13.73pt;margin-left:57.55pt;mso-position-horizontal-relative:page;mso-wrap-distance-left:0;mso-wrap-distance-right:0;position:absolute;z-index:-251645952" coordorigin="1151,275" coordsize="7144,0" path="m1151,275l8295,275e" filled="f" stroked="t" strokecolor="black" strokeweight="0.75pt">
            <v:stroke dashstyle="solid"/>
            <v:path arrowok="t"/>
            <w10:wrap type="topAndBottom"/>
          </v:shape>
        </w:pict>
      </w:r>
      <w:r>
        <w:rPr>
          <w:rFonts w:ascii="Calibri" w:eastAsia="Calibri"/>
          <w:sz w:val="16"/>
        </w:rPr>
        <w:t>1</w:t>
      </w:r>
      <w:r>
        <w:rPr>
          <w:sz w:val="16"/>
        </w:rPr>
        <w:t xml:space="preserve">月 </w:t>
      </w:r>
      <w:r>
        <w:rPr>
          <w:rFonts w:ascii="Calibri" w:eastAsia="Calibri"/>
          <w:sz w:val="16"/>
        </w:rPr>
        <w:t>2</w:t>
      </w:r>
      <w:r>
        <w:rPr>
          <w:sz w:val="16"/>
        </w:rPr>
        <w:t xml:space="preserve">月 </w:t>
      </w:r>
      <w:r>
        <w:rPr>
          <w:rFonts w:ascii="Calibri" w:eastAsia="Calibri"/>
          <w:sz w:val="16"/>
        </w:rPr>
        <w:t>3</w:t>
      </w:r>
      <w:r>
        <w:rPr>
          <w:sz w:val="16"/>
        </w:rPr>
        <w:t xml:space="preserve">月 </w:t>
      </w:r>
      <w:r>
        <w:rPr>
          <w:rFonts w:ascii="Calibri" w:eastAsia="Calibri"/>
          <w:sz w:val="16"/>
        </w:rPr>
        <w:t>4</w:t>
      </w:r>
      <w:r>
        <w:rPr>
          <w:sz w:val="16"/>
        </w:rPr>
        <w:t xml:space="preserve">月 </w:t>
      </w:r>
      <w:r>
        <w:rPr>
          <w:rFonts w:ascii="Calibri" w:eastAsia="Calibri"/>
          <w:sz w:val="16"/>
        </w:rPr>
        <w:t>5</w:t>
      </w:r>
      <w:r>
        <w:rPr>
          <w:sz w:val="16"/>
        </w:rPr>
        <w:t xml:space="preserve">月 </w:t>
      </w:r>
      <w:r>
        <w:rPr>
          <w:rFonts w:ascii="Calibri" w:eastAsia="Calibri"/>
          <w:sz w:val="16"/>
        </w:rPr>
        <w:t>6</w:t>
      </w:r>
      <w:r>
        <w:rPr>
          <w:sz w:val="16"/>
        </w:rPr>
        <w:t xml:space="preserve">月 </w:t>
      </w:r>
      <w:r>
        <w:rPr>
          <w:rFonts w:ascii="Calibri" w:eastAsia="Calibri"/>
          <w:sz w:val="16"/>
        </w:rPr>
        <w:t>7</w:t>
      </w:r>
      <w:r>
        <w:rPr>
          <w:sz w:val="16"/>
        </w:rPr>
        <w:t xml:space="preserve">月 </w:t>
      </w:r>
      <w:r>
        <w:rPr>
          <w:rFonts w:ascii="Calibri" w:eastAsia="Calibri"/>
          <w:sz w:val="16"/>
        </w:rPr>
        <w:t>8</w:t>
      </w:r>
      <w:r>
        <w:rPr>
          <w:sz w:val="16"/>
        </w:rPr>
        <w:t xml:space="preserve">月 </w:t>
      </w:r>
      <w:r>
        <w:rPr>
          <w:rFonts w:ascii="Calibri" w:eastAsia="Calibri"/>
          <w:sz w:val="16"/>
        </w:rPr>
        <w:t>9</w:t>
      </w:r>
      <w:r>
        <w:rPr>
          <w:sz w:val="16"/>
        </w:rPr>
        <w:t xml:space="preserve">月 </w:t>
      </w:r>
      <w:r>
        <w:rPr>
          <w:rFonts w:ascii="Calibri" w:eastAsia="Calibri"/>
          <w:sz w:val="16"/>
        </w:rPr>
        <w:t>10</w:t>
      </w:r>
      <w:r>
        <w:rPr>
          <w:sz w:val="16"/>
        </w:rPr>
        <w:t>月</w:t>
      </w:r>
      <w:r>
        <w:rPr>
          <w:rFonts w:ascii="Calibri" w:eastAsia="Calibri"/>
          <w:sz w:val="16"/>
        </w:rPr>
        <w:t>11</w:t>
      </w:r>
      <w:r>
        <w:rPr>
          <w:sz w:val="16"/>
        </w:rPr>
        <w:t>月</w:t>
      </w:r>
      <w:r>
        <w:rPr>
          <w:rFonts w:ascii="Calibri" w:eastAsia="Calibri"/>
          <w:sz w:val="16"/>
        </w:rPr>
        <w:t>12</w:t>
      </w:r>
      <w:r>
        <w:rPr>
          <w:sz w:val="16"/>
        </w:rPr>
        <w:t>月</w:t>
      </w:r>
    </w:p>
    <w:p>
      <w:pPr>
        <w:spacing w:before="0"/>
        <w:ind w:left="1150" w:right="0" w:firstLine="0"/>
        <w:jc w:val="left"/>
        <w:rPr>
          <w:sz w:val="15"/>
        </w:rPr>
      </w:pPr>
      <w:r>
        <w:t xml:space="preserve">资料来源：盖锡咨询， </w:t>
      </w:r>
    </w:p>
    <w:p>
      <w:pPr>
        <w:pStyle w:val="BodyText"/>
        <w:spacing w:before="3"/>
        <w:rPr>
          <w:sz w:val="12"/>
        </w:rPr>
      </w:pPr>
    </w:p>
    <w:p>
      <w:pPr>
        <w:pStyle w:val="BodyText"/>
        <w:spacing w:before="82" w:line="213" w:lineRule="auto"/>
        <w:ind w:left="1151" w:right="3909"/>
        <w:jc w:val="both"/>
      </w:pPr>
      <w:r>
        <w:rPr>
          <w:color w:val="262626"/>
          <w:spacing w:val="-1"/>
        </w:rPr>
        <w:t>贸易政策扰动导致</w:t>
      </w:r>
      <w:r>
        <w:rPr>
          <w:rFonts w:ascii="Calibri" w:eastAsia="Calibri"/>
          <w:color w:val="262626"/>
        </w:rPr>
        <w:t>2022</w:t>
      </w:r>
      <w:r>
        <w:rPr>
          <w:color w:val="262626"/>
          <w:spacing w:val="-1"/>
        </w:rPr>
        <w:t>年美国光伏新增装机下降</w:t>
      </w:r>
      <w:r>
        <w:rPr>
          <w:rFonts w:ascii="Calibri" w:eastAsia="Calibri"/>
          <w:color w:val="262626"/>
        </w:rPr>
        <w:t>16%</w:t>
      </w:r>
      <w:r>
        <w:rPr>
          <w:color w:val="262626"/>
          <w:spacing w:val="-6"/>
        </w:rPr>
        <w:t>至</w:t>
      </w:r>
      <w:r>
        <w:rPr>
          <w:rFonts w:ascii="Calibri" w:eastAsia="Calibri"/>
          <w:color w:val="262626"/>
        </w:rPr>
        <w:t>20</w:t>
      </w:r>
      <w:r>
        <w:rPr>
          <w:color w:val="262626"/>
          <w:spacing w:val="-2"/>
        </w:rPr>
        <w:t>吉瓦，但</w:t>
      </w:r>
      <w:r>
        <w:rPr>
          <w:rFonts w:ascii="Calibri" w:eastAsia="Calibri"/>
          <w:color w:val="262626"/>
        </w:rPr>
        <w:t>2022</w:t>
      </w:r>
      <w:r>
        <w:rPr>
          <w:color w:val="262626"/>
          <w:spacing w:val="-6"/>
        </w:rPr>
        <w:t>年</w:t>
      </w:r>
      <w:r>
        <w:rPr>
          <w:rFonts w:ascii="Calibri" w:eastAsia="Calibri"/>
          <w:color w:val="262626"/>
        </w:rPr>
        <w:t>6</w:t>
      </w:r>
      <w:r>
        <w:rPr>
          <w:color w:val="262626"/>
          <w:spacing w:val="-6"/>
        </w:rPr>
        <w:t>月发</w:t>
      </w:r>
      <w:r>
        <w:rPr>
          <w:color w:val="262626"/>
          <w:spacing w:val="3"/>
        </w:rPr>
        <w:t>布的美国总统令规定在</w:t>
      </w:r>
      <w:r>
        <w:rPr>
          <w:rFonts w:ascii="Calibri" w:eastAsia="Calibri"/>
          <w:color w:val="262626"/>
        </w:rPr>
        <w:t>2024</w:t>
      </w:r>
      <w:r>
        <w:rPr>
          <w:color w:val="262626"/>
          <w:spacing w:val="4"/>
        </w:rPr>
        <w:t>年</w:t>
      </w:r>
      <w:r>
        <w:rPr>
          <w:rFonts w:ascii="Calibri" w:eastAsia="Calibri"/>
          <w:color w:val="262626"/>
          <w:spacing w:val="4"/>
        </w:rPr>
        <w:t>6</w:t>
      </w:r>
      <w:r>
        <w:rPr>
          <w:color w:val="262626"/>
          <w:spacing w:val="2"/>
        </w:rPr>
        <w:t>月之前不会对从东南亚进口的任何光伏电池、</w:t>
      </w:r>
      <w:r>
        <w:rPr>
          <w:color w:val="262626"/>
          <w:spacing w:val="5"/>
        </w:rPr>
        <w:t>组件征收关税，消除了东南亚组件出口美国的障碍，同时</w:t>
      </w:r>
      <w:r>
        <w:rPr>
          <w:rFonts w:ascii="Calibri" w:eastAsia="Calibri"/>
          <w:color w:val="262626"/>
        </w:rPr>
        <w:t>IRA</w:t>
      </w:r>
      <w:r>
        <w:rPr>
          <w:color w:val="262626"/>
          <w:spacing w:val="2"/>
        </w:rPr>
        <w:t>补贴政策和组件</w:t>
      </w:r>
      <w:r>
        <w:rPr>
          <w:color w:val="262626"/>
          <w:spacing w:val="4"/>
        </w:rPr>
        <w:t>价格大跌也刺激了装机需求。</w:t>
      </w:r>
      <w:r>
        <w:rPr>
          <w:rFonts w:ascii="Calibri" w:eastAsia="Calibri"/>
          <w:color w:val="262626"/>
        </w:rPr>
        <w:t>2023</w:t>
      </w:r>
      <w:r>
        <w:rPr>
          <w:color w:val="262626"/>
          <w:spacing w:val="4"/>
        </w:rPr>
        <w:t>年上半年美国光伏新增装机大增</w:t>
      </w:r>
      <w:r>
        <w:rPr>
          <w:rFonts w:ascii="Calibri" w:eastAsia="Calibri"/>
          <w:color w:val="262626"/>
        </w:rPr>
        <w:t>37%</w:t>
      </w:r>
      <w:r>
        <w:rPr>
          <w:color w:val="262626"/>
          <w:spacing w:val="4"/>
        </w:rPr>
        <w:t>至</w:t>
      </w:r>
      <w:r>
        <w:rPr>
          <w:rFonts w:ascii="Calibri" w:eastAsia="Calibri"/>
          <w:color w:val="262626"/>
        </w:rPr>
        <w:t xml:space="preserve">11.7 </w:t>
      </w:r>
      <w:r>
        <w:rPr>
          <w:color w:val="262626"/>
        </w:rPr>
        <w:t>吉瓦，我们预计全年将达</w:t>
      </w:r>
      <w:r>
        <w:rPr>
          <w:rFonts w:ascii="Calibri" w:eastAsia="Calibri"/>
          <w:color w:val="262626"/>
        </w:rPr>
        <w:t>30</w:t>
      </w:r>
      <w:r>
        <w:rPr>
          <w:color w:val="262626"/>
        </w:rPr>
        <w:t>吉瓦，同比大增约</w:t>
      </w:r>
      <w:r>
        <w:rPr>
          <w:rFonts w:ascii="Calibri" w:eastAsia="Calibri"/>
          <w:color w:val="262626"/>
        </w:rPr>
        <w:t>50%</w:t>
      </w:r>
      <w:r>
        <w:rPr>
          <w:color w:val="262626"/>
        </w:rPr>
        <w:t>。</w:t>
      </w:r>
    </w:p>
    <w:p>
      <w:pPr>
        <w:pStyle w:val="BodyText"/>
        <w:spacing w:before="183" w:line="213" w:lineRule="auto"/>
        <w:ind w:left="1151" w:right="3910"/>
        <w:jc w:val="both"/>
      </w:pPr>
      <w:r>
        <w:rPr>
          <w:color w:val="262626"/>
        </w:rPr>
        <w:t>欧洲新增装机</w:t>
      </w:r>
      <w:r>
        <w:rPr>
          <w:rFonts w:ascii="Calibri" w:eastAsia="Calibri"/>
          <w:color w:val="262626"/>
        </w:rPr>
        <w:t>2023</w:t>
      </w:r>
      <w:r>
        <w:rPr>
          <w:color w:val="262626"/>
        </w:rPr>
        <w:t>年仍保持较快增长，我们预计增速将达</w:t>
      </w:r>
      <w:r>
        <w:rPr>
          <w:rFonts w:ascii="Calibri" w:eastAsia="Calibri"/>
          <w:color w:val="262626"/>
        </w:rPr>
        <w:t>30%</w:t>
      </w:r>
      <w:r>
        <w:rPr>
          <w:color w:val="262626"/>
        </w:rPr>
        <w:t>，但</w:t>
      </w:r>
      <w:r>
        <w:rPr>
          <w:rFonts w:ascii="Calibri" w:eastAsia="Calibri"/>
          <w:color w:val="262626"/>
        </w:rPr>
        <w:t>2022</w:t>
      </w:r>
      <w:r>
        <w:rPr>
          <w:color w:val="262626"/>
        </w:rPr>
        <w:t>年欧洲于地缘政治因素下进口远超实际需求，导致欧洲库存高企，需要时间消化，待库存降至正常水平后，其进口量将恢复快速增长。</w:t>
      </w:r>
    </w:p>
    <w:p>
      <w:pPr>
        <w:pStyle w:val="BodyText"/>
        <w:spacing w:before="2"/>
        <w:rPr>
          <w:sz w:val="14"/>
        </w:rPr>
      </w:pPr>
    </w:p>
    <w:p>
      <w:pPr>
        <w:pStyle w:val="BodyText"/>
        <w:spacing w:line="213" w:lineRule="auto"/>
        <w:ind w:left="1151" w:right="3910"/>
        <w:jc w:val="both"/>
      </w:pPr>
      <w:r>
        <w:rPr>
          <w:color w:val="262626"/>
        </w:rPr>
        <w:t>尽管美欧需求增长较快，但美国</w:t>
      </w:r>
      <w:r>
        <w:rPr>
          <w:rFonts w:ascii="Calibri" w:eastAsia="Calibri"/>
          <w:color w:val="262626"/>
        </w:rPr>
        <w:t>2023</w:t>
      </w:r>
      <w:r>
        <w:rPr>
          <w:color w:val="262626"/>
        </w:rPr>
        <w:t>年持续加息，融资成本大幅上升压制了海</w:t>
      </w:r>
      <w:r>
        <w:rPr>
          <w:color w:val="262626"/>
          <w:spacing w:val="-1"/>
        </w:rPr>
        <w:t>外光伏需求，我们预计海外光伏新增装机</w:t>
      </w:r>
      <w:r>
        <w:rPr>
          <w:rFonts w:ascii="Calibri" w:eastAsia="Calibri"/>
          <w:color w:val="262626"/>
        </w:rPr>
        <w:t>2023</w:t>
      </w:r>
      <w:r>
        <w:rPr>
          <w:color w:val="262626"/>
          <w:spacing w:val="-3"/>
        </w:rPr>
        <w:t>年仅增长</w:t>
      </w:r>
      <w:r>
        <w:rPr>
          <w:rFonts w:ascii="Calibri" w:eastAsia="Calibri"/>
          <w:color w:val="262626"/>
        </w:rPr>
        <w:t>15%</w:t>
      </w:r>
      <w:r>
        <w:rPr>
          <w:color w:val="262626"/>
          <w:spacing w:val="-10"/>
        </w:rPr>
        <w:t>至</w:t>
      </w:r>
      <w:r>
        <w:rPr>
          <w:rFonts w:ascii="Calibri" w:eastAsia="Calibri"/>
          <w:color w:val="262626"/>
        </w:rPr>
        <w:t>164</w:t>
      </w:r>
      <w:r>
        <w:rPr>
          <w:color w:val="262626"/>
        </w:rPr>
        <w:t>吉瓦。</w:t>
      </w:r>
      <w:r>
        <w:rPr>
          <w:rFonts w:ascii="Calibri" w:eastAsia="Calibri"/>
          <w:color w:val="262626"/>
        </w:rPr>
        <w:t>2024</w:t>
      </w:r>
      <w:r>
        <w:rPr>
          <w:color w:val="262626"/>
          <w:spacing w:val="-14"/>
        </w:rPr>
        <w:t>年</w:t>
      </w:r>
      <w:r>
        <w:rPr>
          <w:color w:val="262626"/>
          <w:spacing w:val="-1"/>
        </w:rPr>
        <w:t>美国有望进入降息周期，同时组件价格大跌将充分传导至海外，海外项目收益率将大幅提升，我们预计将刺激海外新增装机大增</w:t>
      </w:r>
      <w:r>
        <w:rPr>
          <w:rFonts w:ascii="Calibri" w:eastAsia="Calibri"/>
          <w:color w:val="262626"/>
        </w:rPr>
        <w:t>34%</w:t>
      </w:r>
      <w:r>
        <w:rPr>
          <w:color w:val="262626"/>
          <w:spacing w:val="-8"/>
        </w:rPr>
        <w:t>至</w:t>
      </w:r>
      <w:r>
        <w:rPr>
          <w:rFonts w:ascii="Calibri" w:eastAsia="Calibri"/>
          <w:color w:val="262626"/>
        </w:rPr>
        <w:t>220</w:t>
      </w:r>
      <w:r>
        <w:rPr>
          <w:color w:val="262626"/>
          <w:spacing w:val="-2"/>
        </w:rPr>
        <w:t>吉瓦，其中美国、</w:t>
      </w:r>
      <w:r>
        <w:rPr>
          <w:color w:val="262626"/>
        </w:rPr>
        <w:t>欧洲增长</w:t>
      </w:r>
      <w:r>
        <w:rPr>
          <w:rFonts w:ascii="Calibri" w:eastAsia="Calibri"/>
          <w:color w:val="262626"/>
        </w:rPr>
        <w:t>50%/23%</w:t>
      </w:r>
      <w:r>
        <w:rPr>
          <w:color w:val="262626"/>
        </w:rPr>
        <w:t>至</w:t>
      </w:r>
      <w:r>
        <w:rPr>
          <w:rFonts w:ascii="Calibri" w:eastAsia="Calibri"/>
          <w:color w:val="262626"/>
        </w:rPr>
        <w:t>45/80</w:t>
      </w:r>
      <w:r>
        <w:rPr>
          <w:color w:val="262626"/>
        </w:rPr>
        <w:t>吉瓦。</w:t>
      </w:r>
    </w:p>
    <w:p>
      <w:pPr>
        <w:spacing w:after="0" w:line="213" w:lineRule="auto"/>
        <w:jc w:val="both"/>
        <w:sectPr>
          <w:headerReference w:type="default" r:id="rId34"/>
          <w:footerReference w:type="default" r:id="rId35"/>
          <w:pgSz w:w="12240" w:h="15840"/>
          <w:pgMar w:top="1720" w:right="0" w:bottom="1380" w:left="0" w:header="708" w:footer="708"/>
          <w:pgNumType w:start="12"/>
          <w:cols w:space="708"/>
        </w:sectPr>
      </w:pPr>
    </w:p>
    <w:p>
      <w:pPr>
        <w:pStyle w:val="BodyText"/>
        <w:rPr>
          <w:sz w:val="20"/>
        </w:rPr>
      </w:pPr>
    </w:p>
    <w:p>
      <w:pPr>
        <w:pStyle w:val="BodyText"/>
        <w:rPr>
          <w:sz w:val="20"/>
        </w:rPr>
      </w:pPr>
    </w:p>
    <w:p>
      <w:pPr>
        <w:pStyle w:val="Heading3"/>
        <w:tabs>
          <w:tab w:val="left" w:pos="6324"/>
        </w:tabs>
        <w:spacing w:before="129"/>
      </w:pPr>
      <w:r>
        <w:t>图表</w:t>
      </w:r>
      <w:r>
        <w:rPr>
          <w:rFonts w:ascii="Calibri" w:eastAsia="Calibri"/>
        </w:rPr>
        <w:t>6:</w:t>
      </w:r>
      <w:r>
        <w:rPr>
          <w:rFonts w:ascii="Calibri" w:eastAsia="Calibri"/>
          <w:spacing w:val="-1"/>
        </w:rPr>
        <w:t xml:space="preserve"> </w:t>
      </w:r>
      <w:r>
        <w:t>欧洲光伏新增装机预测</w:t>
        <w:tab/>
        <w:t>图表</w:t>
      </w:r>
      <w:r>
        <w:rPr>
          <w:rFonts w:ascii="Calibri" w:eastAsia="Calibri"/>
        </w:rPr>
        <w:t>7:</w:t>
      </w:r>
      <w:r>
        <w:rPr>
          <w:rFonts w:ascii="Calibri" w:eastAsia="Calibri"/>
          <w:spacing w:val="-1"/>
        </w:rPr>
        <w:t xml:space="preserve"> </w:t>
      </w:r>
      <w:r>
        <w:t>美国光伏新增装机预测</w:t>
      </w:r>
    </w:p>
    <w:p>
      <w:pPr>
        <w:tabs>
          <w:tab w:val="left" w:pos="6317"/>
        </w:tabs>
        <w:spacing w:line="20" w:lineRule="exact"/>
        <w:ind w:left="1143" w:right="0" w:firstLine="0"/>
        <w:rPr>
          <w:rFonts w:ascii="Microsoft JhengHei"/>
          <w:sz w:val="2"/>
        </w:rPr>
      </w:pPr>
      <w:r>
        <w:rPr>
          <w:rFonts w:ascii="Microsoft JhengHei"/>
          <w:sz w:val="2"/>
        </w:rPr>
        <w:pict>
          <v:group id="_x0000_i1121" style="width:236.9pt;height:0.75pt;mso-position-horizontal-relative:char;mso-position-vertical-relative:line" coordorigin="0,0" coordsize="4738,15">
            <v:line id="_x0000_s1122" style="position:absolute" from="0,8" to="4738,8" stroked="t" strokecolor="black" strokeweight="0.75pt">
              <v:stroke dashstyle="solid"/>
            </v:line>
            <w10:wrap type="none"/>
          </v:group>
        </w:pict>
      </w:r>
      <w:r>
        <w:rPr>
          <w:rFonts w:ascii="Microsoft JhengHei"/>
          <w:sz w:val="2"/>
        </w:rPr>
        <w:tab/>
      </w:r>
      <w:r>
        <w:rPr>
          <w:rFonts w:ascii="Microsoft JhengHei"/>
          <w:sz w:val="2"/>
        </w:rPr>
        <w:pict>
          <v:group id="_x0000_i1123" style="width:238.55pt;height:0.75pt;mso-position-horizontal-relative:char;mso-position-vertical-relative:line" coordorigin="0,0" coordsize="4771,15">
            <v:line id="_x0000_s1124" style="position:absolute" from="0,8" to="4771,8" stroked="t" strokecolor="black" strokeweight="0.75pt">
              <v:stroke dashstyle="solid"/>
            </v:line>
            <w10:wrap type="none"/>
          </v:group>
        </w:pict>
      </w:r>
    </w:p>
    <w:p>
      <w:pPr>
        <w:spacing w:after="0" w:line="20" w:lineRule="exact"/>
        <w:rPr>
          <w:rFonts w:ascii="Microsoft JhengHei"/>
          <w:sz w:val="2"/>
        </w:rPr>
        <w:sectPr>
          <w:headerReference w:type="default" r:id="rId36"/>
          <w:footerReference w:type="default" r:id="rId37"/>
          <w:pgSz w:w="12240" w:h="15840"/>
          <w:pgMar w:top="1720" w:right="0" w:bottom="1380" w:left="0" w:header="708" w:footer="708"/>
          <w:pgNumType w:start="13"/>
          <w:cols w:space="708"/>
        </w:sectPr>
      </w:pPr>
    </w:p>
    <w:p>
      <w:pPr>
        <w:pStyle w:val="BodyText"/>
        <w:spacing w:before="5"/>
        <w:rPr>
          <w:rFonts w:ascii="Microsoft JhengHei"/>
          <w:b/>
          <w:sz w:val="15"/>
        </w:rPr>
      </w:pPr>
    </w:p>
    <w:p>
      <w:pPr>
        <w:spacing w:before="0"/>
        <w:ind w:left="0" w:right="0" w:firstLine="0"/>
        <w:jc w:val="right"/>
        <w:rPr>
          <w:rFonts w:ascii="Calibri"/>
          <w:sz w:val="16"/>
        </w:rPr>
      </w:pPr>
      <w:r>
        <w:rPr>
          <w:rFonts w:ascii="Calibri"/>
          <w:sz w:val="16"/>
        </w:rPr>
        <w:t>120</w:t>
      </w:r>
    </w:p>
    <w:p>
      <w:pPr>
        <w:pStyle w:val="BodyText"/>
        <w:spacing w:before="9"/>
        <w:rPr>
          <w:rFonts w:ascii="Calibri"/>
          <w:sz w:val="12"/>
        </w:rPr>
      </w:pPr>
    </w:p>
    <w:p>
      <w:pPr>
        <w:spacing w:before="0"/>
        <w:ind w:left="0" w:right="0" w:firstLine="0"/>
        <w:jc w:val="right"/>
        <w:rPr>
          <w:rFonts w:ascii="Calibri"/>
          <w:sz w:val="16"/>
        </w:rPr>
      </w:pPr>
      <w:r>
        <w:rPr>
          <w:rFonts w:ascii="Calibri"/>
          <w:sz w:val="16"/>
        </w:rPr>
        <w:t>100</w:t>
      </w:r>
    </w:p>
    <w:p>
      <w:pPr>
        <w:pStyle w:val="BodyText"/>
        <w:spacing w:before="8"/>
        <w:rPr>
          <w:rFonts w:ascii="Calibri"/>
          <w:sz w:val="12"/>
        </w:rPr>
      </w:pPr>
    </w:p>
    <w:p>
      <w:pPr>
        <w:spacing w:before="1"/>
        <w:ind w:left="0" w:right="0" w:firstLine="0"/>
        <w:jc w:val="right"/>
        <w:rPr>
          <w:rFonts w:ascii="Calibri"/>
          <w:sz w:val="16"/>
        </w:rPr>
      </w:pPr>
      <w:r>
        <w:rPr>
          <w:rFonts w:ascii="Calibri"/>
          <w:spacing w:val="-1"/>
          <w:sz w:val="16"/>
        </w:rPr>
        <w:t>80</w:t>
      </w:r>
    </w:p>
    <w:p>
      <w:pPr>
        <w:pStyle w:val="BodyText"/>
        <w:spacing w:before="8"/>
        <w:rPr>
          <w:rFonts w:ascii="Calibri"/>
          <w:sz w:val="12"/>
        </w:rPr>
      </w:pPr>
    </w:p>
    <w:p>
      <w:pPr>
        <w:spacing w:before="0"/>
        <w:ind w:left="0" w:right="0" w:firstLine="0"/>
        <w:jc w:val="right"/>
        <w:rPr>
          <w:rFonts w:ascii="Calibri"/>
          <w:sz w:val="16"/>
        </w:rPr>
      </w:pPr>
      <w:r>
        <w:rPr>
          <w:rFonts w:ascii="Calibri"/>
          <w:spacing w:val="-1"/>
          <w:sz w:val="16"/>
        </w:rPr>
        <w:t>60</w:t>
      </w:r>
    </w:p>
    <w:p>
      <w:pPr>
        <w:pStyle w:val="BodyText"/>
        <w:spacing w:before="9"/>
        <w:rPr>
          <w:rFonts w:ascii="Calibri"/>
          <w:sz w:val="12"/>
        </w:rPr>
      </w:pPr>
    </w:p>
    <w:p>
      <w:pPr>
        <w:spacing w:before="0"/>
        <w:ind w:left="0" w:right="0" w:firstLine="0"/>
        <w:jc w:val="right"/>
        <w:rPr>
          <w:rFonts w:ascii="Calibri"/>
          <w:sz w:val="16"/>
        </w:rPr>
      </w:pPr>
      <w:r>
        <w:rPr>
          <w:rFonts w:ascii="Calibri"/>
          <w:spacing w:val="-1"/>
          <w:sz w:val="16"/>
        </w:rPr>
        <w:t>40</w:t>
      </w:r>
    </w:p>
    <w:p>
      <w:pPr>
        <w:pStyle w:val="BodyText"/>
        <w:spacing w:before="8"/>
        <w:rPr>
          <w:rFonts w:ascii="Calibri"/>
          <w:sz w:val="12"/>
        </w:rPr>
      </w:pPr>
    </w:p>
    <w:p>
      <w:pPr>
        <w:spacing w:before="1"/>
        <w:ind w:left="0" w:right="0" w:firstLine="0"/>
        <w:jc w:val="right"/>
        <w:rPr>
          <w:rFonts w:ascii="Calibri"/>
          <w:sz w:val="16"/>
        </w:rPr>
      </w:pPr>
      <w:r>
        <w:rPr>
          <w:rFonts w:ascii="Calibri"/>
          <w:spacing w:val="-1"/>
          <w:sz w:val="16"/>
        </w:rPr>
        <w:t>20</w:t>
      </w:r>
    </w:p>
    <w:p>
      <w:pPr>
        <w:pStyle w:val="BodyText"/>
        <w:spacing w:before="8"/>
        <w:rPr>
          <w:rFonts w:ascii="Calibri"/>
          <w:sz w:val="12"/>
        </w:rPr>
      </w:pPr>
    </w:p>
    <w:p>
      <w:pPr>
        <w:spacing w:before="0"/>
        <w:ind w:left="0" w:right="0" w:firstLine="0"/>
        <w:jc w:val="right"/>
        <w:rPr>
          <w:rFonts w:ascii="Calibri"/>
          <w:sz w:val="16"/>
        </w:rPr>
      </w:pPr>
      <w:r>
        <w:rPr>
          <w:rFonts w:ascii="Calibri"/>
          <w:w w:val="100"/>
          <w:sz w:val="16"/>
        </w:rPr>
        <w:t>0</w:t>
      </w:r>
    </w:p>
    <w:p>
      <w:pPr>
        <w:tabs>
          <w:tab w:val="left" w:pos="3363"/>
        </w:tabs>
        <w:spacing w:before="34"/>
        <w:ind w:left="888" w:right="0" w:firstLine="0"/>
        <w:jc w:val="left"/>
        <w:rPr>
          <w:sz w:val="16"/>
        </w:rPr>
      </w:pPr>
      <w:r>
        <w:br w:type="column"/>
      </w:r>
      <w:r>
        <w:rPr>
          <w:sz w:val="16"/>
        </w:rPr>
        <w:t>新增装</w:t>
      </w:r>
      <w:r>
        <w:rPr>
          <w:spacing w:val="-3"/>
          <w:sz w:val="16"/>
        </w:rPr>
        <w:t>机</w:t>
      </w:r>
      <w:r>
        <w:rPr>
          <w:sz w:val="16"/>
        </w:rPr>
        <w:t>（吉</w:t>
      </w:r>
      <w:r>
        <w:rPr>
          <w:spacing w:val="-3"/>
          <w:sz w:val="16"/>
        </w:rPr>
        <w:t>瓦</w:t>
      </w:r>
      <w:r>
        <w:rPr>
          <w:sz w:val="16"/>
        </w:rPr>
        <w:t>）</w:t>
        <w:tab/>
        <w:t>同</w:t>
      </w:r>
      <w:r>
        <w:rPr>
          <w:spacing w:val="-19"/>
          <w:sz w:val="16"/>
        </w:rPr>
        <w:t>比</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8"/>
        <w:rPr>
          <w:sz w:val="23"/>
        </w:rPr>
      </w:pPr>
    </w:p>
    <w:p>
      <w:pPr>
        <w:tabs>
          <w:tab w:val="left" w:pos="1380"/>
          <w:tab w:val="left" w:pos="2299"/>
          <w:tab w:val="left" w:pos="3256"/>
        </w:tabs>
        <w:spacing w:before="0"/>
        <w:ind w:left="423" w:right="0" w:firstLine="0"/>
        <w:jc w:val="left"/>
        <w:rPr>
          <w:rFonts w:ascii="Calibri"/>
          <w:sz w:val="16"/>
        </w:rPr>
      </w:pPr>
      <w:r>
        <w:pict>
          <v:group id="_x0000_s1125" style="width:196.65pt;height:108.1pt;margin-top:-110.5pt;margin-left:76.27pt;mso-position-horizontal-relative:page;position:absolute;z-index:251675648" coordorigin="1525,-2210" coordsize="3933,2162">
            <v:shape id="_x0000_s1126" style="width:3832;height:2;left:1575;position:absolute;top:-452" coordorigin="1576,-452" coordsize="3832,0" path="m5119,-452l5407,-452m4161,-452l4735,-452m3204,-452l3780,-452m2248,-452l2822,-452m1576,-452l1864,-452e" filled="f" stroked="t" strokecolor="#d8d8d8" strokeweight="0.72pt">
              <v:stroke dashstyle="solid"/>
              <v:path arrowok="t"/>
            </v:shape>
            <v:rect id="_x0000_s1127" style="width:385;height:559;left:1863;position:absolute;top:-659" filled="t" fillcolor="#bcdadf" stroked="f">
              <v:fill type="solid"/>
            </v:rect>
            <v:shape id="_x0000_s1128" style="width:2204;height:2;left:1575;position:absolute;top:-802" coordorigin="1576,-802" coordsize="2204,0" path="m3204,-802l3780,-802m1576,-802l2822,-802e" filled="f" stroked="t" strokecolor="#d8d8d8" strokeweight="0.72pt">
              <v:stroke dashstyle="solid"/>
              <v:path arrowok="t"/>
            </v:shape>
            <v:rect id="_x0000_s1129" style="width:382;height:878;left:2821;position:absolute;top:-978" filled="t" fillcolor="#bcdadf" stroked="f">
              <v:fill type="solid"/>
            </v:rect>
            <v:shape id="_x0000_s1130" style="width:3160;height:351;left:1575;position:absolute;top:-1153" coordorigin="1576,-1152" coordsize="3160,351" path="m4161,-802l4735,-802m4161,-1152l4735,-1152m1576,-1152l3780,-1152e" filled="f" stroked="t" strokecolor="#d8d8d8" strokeweight="0.72pt">
              <v:stroke dashstyle="solid"/>
              <v:path arrowok="t"/>
            </v:shape>
            <v:rect id="_x0000_s1131" style="width:382;height:1140;left:3779;position:absolute;top:-1239" filled="t" fillcolor="#bcdadf" stroked="f">
              <v:fill type="solid"/>
            </v:rect>
            <v:shape id="_x0000_s1132" style="width:289;height:351;left:5119;position:absolute;top:-1153" coordorigin="5119,-1152" coordsize="289,351" path="m5119,-802l5407,-802m5119,-1152l5407,-1152e" filled="f" stroked="t" strokecolor="#d8d8d8" strokeweight="0.72pt">
              <v:stroke dashstyle="solid"/>
              <v:path arrowok="t"/>
            </v:shape>
            <v:line id="_x0000_s1133" style="position:absolute" from="1576,-1502" to="5407,-1502" stroked="t" strokecolor="#d8d8d8" strokeweight="0.72pt">
              <v:stroke dashstyle="solid"/>
            </v:line>
            <v:rect id="_x0000_s1134" style="width:385;height:1404;left:4735;position:absolute;top:-1503" filled="t" fillcolor="#bcdadf" stroked="f">
              <v:fill type="solid"/>
            </v:rect>
            <v:shape id="_x0000_s1135" style="width:16285700;height:1489794;position:absolute;top:-1479337" coordorigin="0,-1479337" coordsize="16285700,1489794" path="m1576,-1853l5407,-1853m1576,-2203l5407,-2203e" filled="f" stroked="t" strokecolor="#d8d8d8" strokeweight="0.72pt">
              <v:stroke dashstyle="solid"/>
              <v:path arrowok="t"/>
            </v:shape>
            <v:line id="_x0000_s1136" style="position:absolute" from="5407,-99" to="5407,-2203" stroked="t" strokecolor="#858585" strokeweight="0.72pt">
              <v:stroke dashstyle="solid"/>
            </v:line>
            <v:shape id="_x0000_s1137" style="width:214286;height:8948960;position:absolute;top:-8938504" coordorigin="0,-8938503" coordsize="214286,8948960" path="m5407,-99l5458,-99m5407,-452l5458,-452m5407,-802l5458,-802m5407,-1152l5458,-1152m5407,-1503l5458,-1503m5407,-1853l5458,-1853m5407,-2203l5458,-2203e" filled="f" stroked="t" strokecolor="#858585" strokeweight="0.72pt">
              <v:stroke dashstyle="solid"/>
              <v:path arrowok="t"/>
            </v:shape>
            <v:line id="_x0000_s1138" style="position:absolute" from="1576,-99" to="1576,-2203" stroked="t" strokecolor="#858585" strokeweight="0.72pt">
              <v:stroke dashstyle="solid"/>
            </v:line>
            <v:shape id="_x0000_s1139" style="width:214286;height:8948960;position:absolute;top:-8938504" coordorigin="0,-8938503" coordsize="214286,8948960" path="m1525,-99l1576,-99m1525,-452l1576,-452m1525,-802l1576,-802m1525,-1152l1576,-1152m1525,-1503l1576,-1503m1525,-1853l1576,-1853m1525,-2203l1576,-2203e" filled="f" stroked="t" strokecolor="#858585" strokeweight="0.72pt">
              <v:stroke dashstyle="solid"/>
              <v:path arrowok="t"/>
            </v:shape>
            <v:shape id="_x0000_s1140" style="width:16285700;height:214286;position:absolute;top:-203829" coordorigin="0,-203829" coordsize="16285700,214286" path="m1576,-99l5407,-99m1576,-99l1576,-49m2534,-99l2534,-49m3492,-99l3492,-49m4449,-99l4449,-49m5407,-99l5407,-49e" filled="f" stroked="t" strokecolor="#858585" strokeweight="0.72pt">
              <v:stroke dashstyle="solid"/>
              <v:path arrowok="t"/>
            </v:shape>
            <v:shape id="_x0000_s1141" style="width:1916;height:1181;left:3012;position:absolute;top:-2089" coordorigin="3013,-2089" coordsize="1916,1181" path="m3013,-2089l3971,-1151,4928,-909e" filled="f" stroked="t" strokecolor="#1f5ea0" strokeweight="1.8pt">
              <v:stroke dashstyle="solid"/>
              <v:path arrowok="t"/>
            </v:shape>
          </v:group>
        </w:pict>
      </w:r>
      <w:r>
        <w:pict>
          <v:line id="_x0000_s1142" style="mso-position-horizontal-relative:page;position:absolute;z-index:251676672" from="96.7pt,-121.85pt" to="115.9pt,-121.85pt" stroked="t" strokecolor="#bcdadf" strokeweight="4.44pt">
            <v:stroke dashstyle="solid"/>
          </v:line>
        </w:pict>
      </w:r>
      <w:r>
        <w:pict>
          <v:line id="_x0000_s1143" style="mso-position-horizontal-relative:page;position:absolute;z-index:-251642880" from="220.5pt,-121.85pt" to="239.7pt,-121.85pt" stroked="t" strokecolor="#1f5ea0" strokeweight="1.8pt">
            <v:stroke dashstyle="solid"/>
          </v:line>
        </w:pict>
      </w:r>
      <w:r>
        <w:rPr>
          <w:rFonts w:ascii="Calibri"/>
          <w:sz w:val="16"/>
        </w:rPr>
        <w:t>2021</w:t>
        <w:tab/>
        <w:t>2022</w:t>
        <w:tab/>
        <w:t>2023E</w:t>
        <w:tab/>
        <w:t>2024E</w:t>
      </w:r>
    </w:p>
    <w:p>
      <w:pPr>
        <w:pStyle w:val="BodyText"/>
        <w:rPr>
          <w:rFonts w:ascii="Calibri"/>
          <w:sz w:val="23"/>
        </w:rPr>
      </w:pPr>
      <w:r>
        <w:br w:type="column"/>
      </w:r>
    </w:p>
    <w:p>
      <w:pPr>
        <w:spacing w:before="0"/>
        <w:ind w:left="359" w:right="0" w:firstLine="0"/>
        <w:jc w:val="left"/>
        <w:rPr>
          <w:rFonts w:ascii="Calibri"/>
          <w:sz w:val="16"/>
        </w:rPr>
      </w:pPr>
      <w:r>
        <w:rPr>
          <w:rFonts w:ascii="Calibri"/>
          <w:sz w:val="16"/>
        </w:rPr>
        <w:t>60%</w:t>
      </w:r>
    </w:p>
    <w:p>
      <w:pPr>
        <w:pStyle w:val="BodyText"/>
        <w:spacing w:before="9"/>
        <w:rPr>
          <w:rFonts w:ascii="Calibri"/>
          <w:sz w:val="12"/>
        </w:rPr>
      </w:pPr>
    </w:p>
    <w:p>
      <w:pPr>
        <w:spacing w:before="0"/>
        <w:ind w:left="359" w:right="0" w:firstLine="0"/>
        <w:jc w:val="left"/>
        <w:rPr>
          <w:rFonts w:ascii="Calibri"/>
          <w:sz w:val="16"/>
        </w:rPr>
      </w:pPr>
      <w:r>
        <w:rPr>
          <w:rFonts w:ascii="Calibri"/>
          <w:sz w:val="16"/>
        </w:rPr>
        <w:t>50%</w:t>
      </w:r>
    </w:p>
    <w:p>
      <w:pPr>
        <w:pStyle w:val="BodyText"/>
        <w:spacing w:before="9"/>
        <w:rPr>
          <w:rFonts w:ascii="Calibri"/>
          <w:sz w:val="12"/>
        </w:rPr>
      </w:pPr>
    </w:p>
    <w:p>
      <w:pPr>
        <w:spacing w:before="0"/>
        <w:ind w:left="359" w:right="0" w:firstLine="0"/>
        <w:jc w:val="left"/>
        <w:rPr>
          <w:rFonts w:ascii="Calibri"/>
          <w:sz w:val="16"/>
        </w:rPr>
      </w:pPr>
      <w:r>
        <w:rPr>
          <w:rFonts w:ascii="Calibri"/>
          <w:sz w:val="16"/>
        </w:rPr>
        <w:t>40%</w:t>
      </w:r>
    </w:p>
    <w:p>
      <w:pPr>
        <w:pStyle w:val="BodyText"/>
        <w:spacing w:before="8"/>
        <w:rPr>
          <w:rFonts w:ascii="Calibri"/>
          <w:sz w:val="12"/>
        </w:rPr>
      </w:pPr>
    </w:p>
    <w:p>
      <w:pPr>
        <w:spacing w:before="0"/>
        <w:ind w:left="359" w:right="0" w:firstLine="0"/>
        <w:jc w:val="left"/>
        <w:rPr>
          <w:rFonts w:ascii="Calibri"/>
          <w:sz w:val="16"/>
        </w:rPr>
      </w:pPr>
      <w:r>
        <w:rPr>
          <w:rFonts w:ascii="Calibri"/>
          <w:sz w:val="16"/>
        </w:rPr>
        <w:t>30%</w:t>
      </w:r>
    </w:p>
    <w:p>
      <w:pPr>
        <w:pStyle w:val="BodyText"/>
        <w:spacing w:before="9"/>
        <w:rPr>
          <w:rFonts w:ascii="Calibri"/>
          <w:sz w:val="12"/>
        </w:rPr>
      </w:pPr>
    </w:p>
    <w:p>
      <w:pPr>
        <w:spacing w:before="0"/>
        <w:ind w:left="359" w:right="0" w:firstLine="0"/>
        <w:jc w:val="left"/>
        <w:rPr>
          <w:rFonts w:ascii="Calibri"/>
          <w:sz w:val="16"/>
        </w:rPr>
      </w:pPr>
      <w:r>
        <w:rPr>
          <w:rFonts w:ascii="Calibri"/>
          <w:sz w:val="16"/>
        </w:rPr>
        <w:t>20%</w:t>
      </w:r>
    </w:p>
    <w:p>
      <w:pPr>
        <w:pStyle w:val="BodyText"/>
        <w:spacing w:before="8"/>
        <w:rPr>
          <w:rFonts w:ascii="Calibri"/>
          <w:sz w:val="12"/>
        </w:rPr>
      </w:pPr>
    </w:p>
    <w:p>
      <w:pPr>
        <w:spacing w:before="1"/>
        <w:ind w:left="359" w:right="0" w:firstLine="0"/>
        <w:jc w:val="left"/>
        <w:rPr>
          <w:rFonts w:ascii="Calibri"/>
          <w:sz w:val="16"/>
        </w:rPr>
      </w:pPr>
      <w:r>
        <w:rPr>
          <w:rFonts w:ascii="Calibri"/>
          <w:sz w:val="16"/>
        </w:rPr>
        <w:t>10%</w:t>
      </w:r>
    </w:p>
    <w:p>
      <w:pPr>
        <w:pStyle w:val="BodyText"/>
        <w:spacing w:before="8"/>
        <w:rPr>
          <w:rFonts w:ascii="Calibri"/>
          <w:sz w:val="12"/>
        </w:rPr>
      </w:pPr>
    </w:p>
    <w:p>
      <w:pPr>
        <w:spacing w:before="0"/>
        <w:ind w:left="359" w:right="0" w:firstLine="0"/>
        <w:jc w:val="left"/>
        <w:rPr>
          <w:rFonts w:ascii="Calibri"/>
          <w:sz w:val="16"/>
        </w:rPr>
      </w:pPr>
      <w:r>
        <w:rPr>
          <w:rFonts w:ascii="Calibri"/>
          <w:sz w:val="16"/>
        </w:rPr>
        <w:t>0%</w:t>
      </w:r>
    </w:p>
    <w:p>
      <w:pPr>
        <w:tabs>
          <w:tab w:val="left" w:pos="4133"/>
        </w:tabs>
        <w:spacing w:before="11" w:line="201" w:lineRule="exact"/>
        <w:ind w:left="1658" w:right="0" w:firstLine="0"/>
        <w:jc w:val="left"/>
        <w:rPr>
          <w:sz w:val="16"/>
        </w:rPr>
      </w:pPr>
      <w:r>
        <w:br w:type="column"/>
      </w:r>
      <w:r>
        <w:rPr>
          <w:sz w:val="16"/>
        </w:rPr>
        <w:t>新增装</w:t>
      </w:r>
      <w:r>
        <w:rPr>
          <w:spacing w:val="-3"/>
          <w:sz w:val="16"/>
        </w:rPr>
        <w:t>机</w:t>
      </w:r>
      <w:r>
        <w:rPr>
          <w:sz w:val="16"/>
        </w:rPr>
        <w:t>（吉</w:t>
      </w:r>
      <w:r>
        <w:rPr>
          <w:spacing w:val="-3"/>
          <w:sz w:val="16"/>
        </w:rPr>
        <w:t>瓦</w:t>
      </w:r>
      <w:r>
        <w:rPr>
          <w:sz w:val="16"/>
        </w:rPr>
        <w:t>）</w:t>
        <w:tab/>
        <w:t>同比</w:t>
      </w:r>
    </w:p>
    <w:p>
      <w:pPr>
        <w:spacing w:before="0" w:line="192" w:lineRule="exact"/>
        <w:ind w:left="486" w:right="0" w:firstLine="0"/>
        <w:jc w:val="left"/>
        <w:rPr>
          <w:rFonts w:ascii="Calibri"/>
          <w:sz w:val="16"/>
        </w:rPr>
      </w:pPr>
      <w:r>
        <w:pict>
          <v:group id="_x0000_s1144" style="width:198.1pt;height:111.85pt;margin-top:4.84pt;margin-left:331.01pt;mso-position-horizontal-relative:page;position:absolute;z-index:251677696" coordorigin="6620,97" coordsize="3962,2237">
            <v:shape id="_x0000_s1145" style="width:3861;height:274;left:6670;position:absolute;top:1737" coordorigin="6671,1738" coordsize="3861,274" path="m10336,2011l10531,2011m9693,2011l10080,2011m9050,2011l9436,2011m8406,2011l8793,2011m7763,2011l8149,2011m7120,2011l7506,2011m6671,2011l6863,2011m7120,1738l7506,1738m6671,1738l6863,1738e" filled="f" stroked="t" strokecolor="#d8d8d8" strokeweight="0.72pt">
              <v:stroke dashstyle="solid"/>
              <v:path arrowok="t"/>
            </v:shape>
            <v:rect id="_x0000_s1146" style="width:257;height:726;left:6862;position:absolute;top:1557" filled="t" fillcolor="#bcdadf" stroked="f">
              <v:fill type="solid"/>
            </v:rect>
            <v:shape id="_x0000_s1147" style="width:1479;height:544;left:6670;position:absolute;top:1193" coordorigin="6671,1194" coordsize="1479,544" path="m7763,1738l8149,1738m7763,1464l8149,1464m6671,1464l7506,1464m6671,1194l8149,1194e" filled="f" stroked="t" strokecolor="#d8d8d8" strokeweight="0.72pt">
              <v:stroke dashstyle="solid"/>
              <v:path arrowok="t"/>
            </v:shape>
            <v:rect id="_x0000_s1148" style="width:257;height:1047;left:7506;position:absolute;top:1236" filled="t" fillcolor="#bcdadf" stroked="f">
              <v:fill type="solid"/>
            </v:rect>
            <v:shape id="_x0000_s1149" style="width:2766;height:817;left:6670;position:absolute;top:920" coordorigin="6671,921" coordsize="2766,817" path="m8406,1738l8793,1738m8406,1464l8793,1464m8406,1194l8793,1194m6671,921l9436,921e" filled="f" stroked="t" strokecolor="#d8d8d8" strokeweight="0.72pt">
              <v:stroke dashstyle="solid"/>
              <v:path arrowok="t"/>
            </v:shape>
            <v:rect id="_x0000_s1150" style="width:257;height:1287;left:8149;position:absolute;top:997" filled="t" fillcolor="#bcdadf" stroked="f">
              <v:fill type="solid"/>
            </v:rect>
            <v:shape id="_x0000_s1151" style="width:387;height:544;left:9049;position:absolute;top:1193" coordorigin="9050,1194" coordsize="387,544" path="m9050,1738l9436,1738m9050,1464l9436,1464m9050,1194l9436,1194e" filled="f" stroked="t" strokecolor="#d8d8d8" strokeweight="0.72pt">
              <v:stroke dashstyle="solid"/>
              <v:path arrowok="t"/>
            </v:shape>
            <v:rect id="_x0000_s1152" style="width:257;height:1102;left:8792;position:absolute;top:1181" filled="t" fillcolor="#bcdadf" stroked="f">
              <v:fill type="solid"/>
            </v:rect>
            <v:shape id="_x0000_s1153" style="width:3409;height:1090;left:6670;position:absolute;top:647" coordorigin="6671,648" coordsize="3409,1090" path="m9693,1738l10080,1738m9693,1464l10080,1464m9693,1194l10080,1194m9693,921l10080,921m6671,648l10080,648e" filled="f" stroked="t" strokecolor="#d8d8d8" strokeweight="0.72pt">
              <v:stroke dashstyle="solid"/>
              <v:path arrowok="t"/>
            </v:shape>
            <v:rect id="_x0000_s1154" style="width:257;height:1636;left:9436;position:absolute;top:647" filled="t" fillcolor="#bcdadf" stroked="f">
              <v:fill type="solid"/>
            </v:rect>
            <v:shape id="_x0000_s1155" style="width:3861;height:1361;left:6670;position:absolute;top:377" coordorigin="6671,377" coordsize="3861,1361" path="m10336,1738l10531,1738m10336,1464l10531,1464m10336,1194l10531,1194m10336,921l10531,921m10336,648l10531,648m10336,377l10531,377m6671,377l10080,377e" filled="f" stroked="t" strokecolor="#d8d8d8" strokeweight="0.72pt">
              <v:stroke dashstyle="solid"/>
              <v:path arrowok="t"/>
            </v:shape>
            <v:line id="_x0000_s1156" style="position:absolute" from="6671,104" to="10531,104" stroked="t" strokecolor="#d8d8d8" strokeweight="0.72pt">
              <v:stroke dashstyle="solid"/>
            </v:line>
            <v:rect id="_x0000_s1157" style="width:257;height:2182;left:10079;position:absolute;top:101" filled="t" fillcolor="#bcdadf" stroked="f">
              <v:fill type="solid"/>
            </v:rect>
            <v:line id="_x0000_s1158" style="position:absolute" from="10531,2284" to="10531,104" stroked="t" strokecolor="#858585" strokeweight="0.72pt">
              <v:stroke dashstyle="solid"/>
            </v:line>
            <v:shape id="_x0000_s1159" style="width:214286;height:9285700;position:absolute;top:-9272864" coordorigin="0,-9272864" coordsize="214286,9285700" path="m10531,2283l10581,2283m10531,2010l10581,2010m10531,1737l10581,1737m10531,1464l10581,1464m10531,1194l10581,1194m10531,921l10581,921m10531,648l10581,648m10531,377l10581,377m10531,104l10581,104e" filled="f" stroked="t" strokecolor="#858585" strokeweight="0.72pt">
              <v:stroke dashstyle="solid"/>
              <v:path arrowok="t"/>
            </v:shape>
            <v:line id="_x0000_s1160" style="position:absolute" from="6671,2284" to="6671,104" stroked="t" strokecolor="#858585" strokeweight="0.72pt">
              <v:stroke dashstyle="solid"/>
            </v:line>
            <v:shape id="_x0000_s1161" style="width:214286;height:9285700;position:absolute;top:-9272864" coordorigin="0,-9272864" coordsize="214286,9285700" path="m6620,2283l6671,2283m6620,2010l6671,2010m6620,1737l6671,1737m6620,1464l6671,1464m6620,1194l6671,1194m6620,921l6671,921m6620,648l6671,648m6620,377l6671,377m6620,104l6671,104e" filled="f" stroked="t" strokecolor="#858585" strokeweight="0.72pt">
              <v:stroke dashstyle="solid"/>
              <v:path arrowok="t"/>
            </v:shape>
            <v:shape id="_x0000_s1162" style="width:16408140;height:214286;position:absolute;top:-201450" coordorigin="0,-201450" coordsize="16408140,214286" path="m6671,2284l10531,2284m6671,2284l6671,2334m7314,2284l7314,2334m7957,2284l7957,2334m8601,2284l8601,2334m9244,2284l9244,2334m9888,2284l9888,2334m10531,2284l10531,2334e" filled="f" stroked="t" strokecolor="#858585" strokeweight="0.72pt">
              <v:stroke dashstyle="solid"/>
              <v:path arrowok="t"/>
            </v:shape>
            <v:shape id="_x0000_s1163" style="width:3217;height:1799;left:6991;position:absolute;top:375" coordorigin="6991,376" coordsize="3217,1799" path="m6991,1044l6991,1044,7635,529,8278,1221,8921,2175,9565,417,10208,376e" filled="f" stroked="t" strokecolor="#1f5ea0" strokeweight="1.8pt">
              <v:stroke dashstyle="solid"/>
              <v:path arrowok="t"/>
            </v:shape>
          </v:group>
        </w:pict>
      </w:r>
      <w:r>
        <w:pict>
          <v:line id="_x0000_s1164" style="mso-position-horizontal-relative:page;position:absolute;z-index:251678720" from="355.4pt,-3.95pt" to="374.6pt,-3.95pt" stroked="t" strokecolor="#bcdadf" strokeweight="4.43pt">
            <v:stroke dashstyle="solid"/>
          </v:line>
        </w:pict>
      </w:r>
      <w:r>
        <w:pict>
          <v:line id="_x0000_s1165" style="mso-position-horizontal-relative:page;position:absolute;z-index:-251641856" from="479.05pt,-3.95pt" to="498.3pt,-3.95pt" stroked="t" strokecolor="#1f5ea0" strokeweight="1.8pt">
            <v:stroke dashstyle="solid"/>
          </v:line>
        </w:pict>
      </w:r>
      <w:r>
        <w:rPr>
          <w:rFonts w:ascii="Calibri"/>
          <w:sz w:val="16"/>
        </w:rPr>
        <w:t>40</w:t>
      </w:r>
    </w:p>
    <w:p>
      <w:pPr>
        <w:spacing w:before="77"/>
        <w:ind w:left="486" w:right="0" w:firstLine="0"/>
        <w:jc w:val="left"/>
        <w:rPr>
          <w:rFonts w:ascii="Calibri"/>
          <w:sz w:val="16"/>
        </w:rPr>
      </w:pPr>
      <w:r>
        <w:rPr>
          <w:rFonts w:ascii="Calibri"/>
          <w:sz w:val="16"/>
        </w:rPr>
        <w:t>35</w:t>
      </w:r>
    </w:p>
    <w:p>
      <w:pPr>
        <w:spacing w:before="77"/>
        <w:ind w:left="486" w:right="0" w:firstLine="0"/>
        <w:jc w:val="left"/>
        <w:rPr>
          <w:rFonts w:ascii="Calibri"/>
          <w:sz w:val="16"/>
        </w:rPr>
      </w:pPr>
      <w:r>
        <w:rPr>
          <w:rFonts w:ascii="Calibri"/>
          <w:sz w:val="16"/>
        </w:rPr>
        <w:t>30</w:t>
      </w:r>
    </w:p>
    <w:p>
      <w:pPr>
        <w:spacing w:before="77"/>
        <w:ind w:left="486" w:right="0" w:firstLine="0"/>
        <w:jc w:val="left"/>
        <w:rPr>
          <w:rFonts w:ascii="Calibri"/>
          <w:sz w:val="16"/>
        </w:rPr>
      </w:pPr>
      <w:r>
        <w:rPr>
          <w:rFonts w:ascii="Calibri"/>
          <w:sz w:val="16"/>
        </w:rPr>
        <w:t>25</w:t>
      </w:r>
    </w:p>
    <w:p>
      <w:pPr>
        <w:spacing w:before="77"/>
        <w:ind w:left="486" w:right="0" w:firstLine="0"/>
        <w:jc w:val="left"/>
        <w:rPr>
          <w:rFonts w:ascii="Calibri"/>
          <w:sz w:val="16"/>
        </w:rPr>
      </w:pPr>
      <w:r>
        <w:rPr>
          <w:rFonts w:ascii="Calibri"/>
          <w:sz w:val="16"/>
        </w:rPr>
        <w:t>20</w:t>
      </w:r>
    </w:p>
    <w:p>
      <w:pPr>
        <w:spacing w:before="77"/>
        <w:ind w:left="486" w:right="0" w:firstLine="0"/>
        <w:jc w:val="left"/>
        <w:rPr>
          <w:rFonts w:ascii="Calibri"/>
          <w:sz w:val="16"/>
        </w:rPr>
      </w:pPr>
      <w:r>
        <w:rPr>
          <w:rFonts w:ascii="Calibri"/>
          <w:sz w:val="16"/>
        </w:rPr>
        <w:t>15</w:t>
      </w:r>
    </w:p>
    <w:p>
      <w:pPr>
        <w:spacing w:before="77"/>
        <w:ind w:left="486" w:right="0" w:firstLine="0"/>
        <w:jc w:val="left"/>
        <w:rPr>
          <w:rFonts w:ascii="Calibri"/>
          <w:sz w:val="16"/>
        </w:rPr>
      </w:pPr>
      <w:r>
        <w:rPr>
          <w:rFonts w:ascii="Calibri"/>
          <w:sz w:val="16"/>
        </w:rPr>
        <w:t>10</w:t>
      </w:r>
    </w:p>
    <w:p>
      <w:pPr>
        <w:spacing w:before="77"/>
        <w:ind w:left="567" w:right="0" w:firstLine="0"/>
        <w:jc w:val="left"/>
        <w:rPr>
          <w:rFonts w:ascii="Calibri"/>
          <w:sz w:val="16"/>
        </w:rPr>
      </w:pPr>
      <w:r>
        <w:rPr>
          <w:rFonts w:ascii="Calibri"/>
          <w:w w:val="100"/>
          <w:sz w:val="16"/>
        </w:rPr>
        <w:t>5</w:t>
      </w:r>
    </w:p>
    <w:p>
      <w:pPr>
        <w:spacing w:before="77"/>
        <w:ind w:left="567" w:right="0" w:firstLine="0"/>
        <w:jc w:val="left"/>
        <w:rPr>
          <w:rFonts w:ascii="Calibri"/>
          <w:sz w:val="16"/>
        </w:rPr>
      </w:pPr>
      <w:r>
        <w:rPr>
          <w:rFonts w:ascii="Calibri"/>
          <w:w w:val="100"/>
          <w:sz w:val="16"/>
        </w:rPr>
        <w:t>0</w:t>
      </w:r>
    </w:p>
    <w:p>
      <w:pPr>
        <w:tabs>
          <w:tab w:val="left" w:pos="1581"/>
          <w:tab w:val="left" w:pos="2224"/>
          <w:tab w:val="left" w:pos="2868"/>
          <w:tab w:val="left" w:pos="3490"/>
          <w:tab w:val="left" w:pos="4133"/>
        </w:tabs>
        <w:spacing w:before="13"/>
        <w:ind w:left="938" w:right="0" w:firstLine="0"/>
        <w:jc w:val="left"/>
        <w:rPr>
          <w:rFonts w:ascii="Calibri"/>
          <w:sz w:val="16"/>
        </w:rPr>
      </w:pPr>
      <w:r>
        <w:rPr>
          <w:rFonts w:ascii="Calibri"/>
          <w:sz w:val="16"/>
        </w:rPr>
        <w:t>2019</w:t>
        <w:tab/>
        <w:t>2020</w:t>
        <w:tab/>
        <w:t>2021</w:t>
        <w:tab/>
        <w:t>2022</w:t>
        <w:tab/>
        <w:t>2023E</w:t>
        <w:tab/>
      </w:r>
      <w:r>
        <w:rPr>
          <w:rFonts w:ascii="Calibri"/>
          <w:spacing w:val="-5"/>
          <w:sz w:val="16"/>
        </w:rPr>
        <w:t>2024E</w:t>
      </w:r>
    </w:p>
    <w:p>
      <w:pPr>
        <w:pStyle w:val="BodyText"/>
        <w:spacing w:before="1"/>
        <w:rPr>
          <w:rFonts w:ascii="Calibri"/>
          <w:sz w:val="17"/>
        </w:rPr>
      </w:pPr>
      <w:r>
        <w:br w:type="column"/>
      </w:r>
    </w:p>
    <w:p>
      <w:pPr>
        <w:spacing w:before="0"/>
        <w:ind w:left="228" w:right="0" w:firstLine="0"/>
        <w:jc w:val="left"/>
        <w:rPr>
          <w:rFonts w:ascii="Calibri"/>
          <w:sz w:val="16"/>
        </w:rPr>
      </w:pPr>
      <w:r>
        <w:rPr>
          <w:rFonts w:ascii="Calibri"/>
          <w:sz w:val="16"/>
        </w:rPr>
        <w:t>60%</w:t>
      </w:r>
    </w:p>
    <w:p>
      <w:pPr>
        <w:spacing w:before="77"/>
        <w:ind w:left="228" w:right="0" w:firstLine="0"/>
        <w:jc w:val="left"/>
        <w:rPr>
          <w:rFonts w:ascii="Calibri"/>
          <w:sz w:val="16"/>
        </w:rPr>
      </w:pPr>
      <w:r>
        <w:rPr>
          <w:rFonts w:ascii="Calibri"/>
          <w:sz w:val="16"/>
        </w:rPr>
        <w:t>50%</w:t>
      </w:r>
    </w:p>
    <w:p>
      <w:pPr>
        <w:spacing w:before="77"/>
        <w:ind w:left="228" w:right="0" w:firstLine="0"/>
        <w:jc w:val="left"/>
        <w:rPr>
          <w:rFonts w:ascii="Calibri"/>
          <w:sz w:val="16"/>
        </w:rPr>
      </w:pPr>
      <w:r>
        <w:rPr>
          <w:rFonts w:ascii="Calibri"/>
          <w:sz w:val="16"/>
        </w:rPr>
        <w:t>40%</w:t>
      </w:r>
    </w:p>
    <w:p>
      <w:pPr>
        <w:spacing w:before="77"/>
        <w:ind w:left="228" w:right="0" w:firstLine="0"/>
        <w:jc w:val="left"/>
        <w:rPr>
          <w:rFonts w:ascii="Calibri"/>
          <w:sz w:val="16"/>
        </w:rPr>
      </w:pPr>
      <w:r>
        <w:rPr>
          <w:rFonts w:ascii="Calibri"/>
          <w:sz w:val="16"/>
        </w:rPr>
        <w:t>30%</w:t>
      </w:r>
    </w:p>
    <w:p>
      <w:pPr>
        <w:spacing w:before="77"/>
        <w:ind w:left="228" w:right="0" w:firstLine="0"/>
        <w:jc w:val="left"/>
        <w:rPr>
          <w:rFonts w:ascii="Calibri"/>
          <w:sz w:val="16"/>
        </w:rPr>
      </w:pPr>
      <w:r>
        <w:rPr>
          <w:rFonts w:ascii="Calibri"/>
          <w:sz w:val="16"/>
        </w:rPr>
        <w:t>20%</w:t>
      </w:r>
    </w:p>
    <w:p>
      <w:pPr>
        <w:spacing w:before="77"/>
        <w:ind w:left="228" w:right="0" w:firstLine="0"/>
        <w:jc w:val="left"/>
        <w:rPr>
          <w:rFonts w:ascii="Calibri"/>
          <w:sz w:val="16"/>
        </w:rPr>
      </w:pPr>
      <w:r>
        <w:rPr>
          <w:rFonts w:ascii="Calibri"/>
          <w:sz w:val="16"/>
        </w:rPr>
        <w:t>10%</w:t>
      </w:r>
    </w:p>
    <w:p>
      <w:pPr>
        <w:spacing w:before="77"/>
        <w:ind w:left="228" w:right="0" w:firstLine="0"/>
        <w:jc w:val="left"/>
        <w:rPr>
          <w:rFonts w:ascii="Calibri"/>
          <w:sz w:val="16"/>
        </w:rPr>
      </w:pPr>
      <w:r>
        <w:rPr>
          <w:rFonts w:ascii="Calibri"/>
          <w:sz w:val="16"/>
        </w:rPr>
        <w:t>0%</w:t>
      </w:r>
    </w:p>
    <w:p>
      <w:pPr>
        <w:spacing w:before="77"/>
        <w:ind w:left="228" w:right="0" w:firstLine="0"/>
        <w:jc w:val="left"/>
        <w:rPr>
          <w:rFonts w:ascii="Calibri"/>
          <w:sz w:val="16"/>
        </w:rPr>
      </w:pPr>
      <w:r>
        <w:rPr>
          <w:rFonts w:ascii="Calibri"/>
          <w:sz w:val="16"/>
        </w:rPr>
        <w:t>-10%</w:t>
      </w:r>
    </w:p>
    <w:p>
      <w:pPr>
        <w:spacing w:before="77"/>
        <w:ind w:left="228" w:right="0" w:firstLine="0"/>
        <w:jc w:val="left"/>
        <w:rPr>
          <w:rFonts w:ascii="Calibri"/>
          <w:sz w:val="16"/>
        </w:rPr>
      </w:pPr>
      <w:r>
        <w:rPr>
          <w:rFonts w:ascii="Calibri"/>
          <w:sz w:val="16"/>
        </w:rPr>
        <w:t>-20%</w:t>
      </w:r>
    </w:p>
    <w:p>
      <w:pPr>
        <w:spacing w:after="0"/>
        <w:jc w:val="left"/>
        <w:rPr>
          <w:rFonts w:ascii="Calibri"/>
          <w:sz w:val="16"/>
        </w:rPr>
        <w:sectPr>
          <w:headerReference w:type="default" r:id="rId38"/>
          <w:footerReference w:type="default" r:id="rId39"/>
          <w:type w:val="continuous"/>
          <w:pgSz w:w="12240" w:h="15840"/>
          <w:pgMar w:top="1500" w:right="0" w:bottom="280" w:left="0" w:header="708" w:footer="708"/>
          <w:pgNumType w:start="14"/>
          <w:cols w:num="5" w:space="708" w:equalWidth="0">
            <w:col w:w="1430" w:space="40"/>
            <w:col w:w="3686" w:space="39"/>
            <w:col w:w="638" w:space="40"/>
            <w:col w:w="4537" w:space="40"/>
            <w:col w:w="1790" w:space="0"/>
          </w:cols>
        </w:sectPr>
      </w:pPr>
    </w:p>
    <w:p>
      <w:pPr>
        <w:pStyle w:val="BodyText"/>
        <w:rPr>
          <w:rFonts w:ascii="Calibri"/>
          <w:sz w:val="9"/>
        </w:rPr>
      </w:pPr>
    </w:p>
    <w:p>
      <w:pPr>
        <w:tabs>
          <w:tab w:val="left" w:pos="6317"/>
        </w:tabs>
        <w:spacing w:line="20" w:lineRule="exact"/>
        <w:ind w:left="1143" w:right="0" w:firstLine="0"/>
        <w:rPr>
          <w:rFonts w:ascii="Calibri"/>
          <w:sz w:val="2"/>
        </w:rPr>
      </w:pPr>
      <w:r>
        <w:rPr>
          <w:rFonts w:ascii="Calibri"/>
          <w:sz w:val="2"/>
        </w:rPr>
        <w:pict>
          <v:group id="_x0000_i1166" style="width:236.9pt;height:0.75pt;mso-position-horizontal-relative:char;mso-position-vertical-relative:line" coordorigin="0,0" coordsize="4738,15">
            <v:line id="_x0000_s1167" style="position:absolute" from="0,8" to="4738,8" stroked="t" strokecolor="black" strokeweight="0.75pt">
              <v:stroke dashstyle="solid"/>
            </v:line>
            <w10:wrap type="none"/>
          </v:group>
        </w:pict>
      </w:r>
      <w:r>
        <w:rPr>
          <w:rFonts w:ascii="Calibri"/>
          <w:sz w:val="2"/>
        </w:rPr>
        <w:tab/>
      </w:r>
      <w:r>
        <w:rPr>
          <w:rFonts w:ascii="Calibri"/>
          <w:sz w:val="2"/>
        </w:rPr>
        <w:pict>
          <v:group id="_x0000_i1168" style="width:238.55pt;height:0.75pt;mso-position-horizontal-relative:char;mso-position-vertical-relative:line" coordorigin="0,0" coordsize="4771,15">
            <v:line id="_x0000_s1169" style="position:absolute" from="0,8" to="4771,8" stroked="t" strokecolor="black" strokeweight="0.75pt">
              <v:stroke dashstyle="solid"/>
            </v:line>
            <w10:wrap type="none"/>
          </v:group>
        </w:pict>
      </w:r>
    </w:p>
    <w:p>
      <w:pPr>
        <w:tabs>
          <w:tab w:val="left" w:pos="6324"/>
        </w:tabs>
        <w:spacing w:before="0"/>
        <w:ind w:left="1150" w:right="0" w:firstLine="0"/>
        <w:jc w:val="left"/>
        <w:rPr>
          <w:sz w:val="15"/>
        </w:rPr>
      </w:pPr>
      <w:r>
        <w:t>资料来源: SolarPower Europe， 预测</w:t>
        <w:tab/>
        <w:t>资料来源: SEIA， 预测</w:t>
      </w:r>
    </w:p>
    <w:p>
      <w:pPr>
        <w:pStyle w:val="BodyText"/>
        <w:rPr>
          <w:sz w:val="20"/>
        </w:rPr>
      </w:pPr>
    </w:p>
    <w:p>
      <w:pPr>
        <w:pStyle w:val="BodyText"/>
        <w:spacing w:before="8"/>
        <w:rPr>
          <w:sz w:val="26"/>
        </w:rPr>
      </w:pPr>
    </w:p>
    <w:p>
      <w:pPr>
        <w:pStyle w:val="Heading2"/>
        <w:spacing w:before="66" w:line="170" w:lineRule="auto"/>
        <w:ind w:right="4005"/>
      </w:pPr>
      <w:bookmarkStart w:id="3" w:name="_TOC_250015"/>
      <w:r>
        <w:rPr>
          <w:color w:val="59A1AE"/>
        </w:rPr>
        <w:t>需求端</w:t>
      </w:r>
      <w:r>
        <w:rPr>
          <w:rFonts w:ascii="Calibri" w:eastAsia="Calibri"/>
          <w:color w:val="59A1AE"/>
        </w:rPr>
        <w:t xml:space="preserve">#2: </w:t>
      </w:r>
      <w:bookmarkEnd w:id="3"/>
      <w:r>
        <w:rPr>
          <w:color w:val="59A1AE"/>
        </w:rPr>
        <w:t>储能逆变器单位毛利远超并网，需求爆发下成为逆变器第二增长曲线</w:t>
      </w:r>
    </w:p>
    <w:p>
      <w:pPr>
        <w:pStyle w:val="BodyText"/>
        <w:spacing w:before="125" w:line="265" w:lineRule="exact"/>
        <w:ind w:left="1151"/>
      </w:pPr>
      <w:r>
        <w:rPr>
          <w:color w:val="262626"/>
        </w:rPr>
        <w:t>储能作为关键支撑技术，可提高可再生能源利用率，保障电网安全、稳定运行</w:t>
      </w:r>
    </w:p>
    <w:p>
      <w:pPr>
        <w:pStyle w:val="BodyText"/>
        <w:spacing w:before="2" w:line="232" w:lineRule="auto"/>
        <w:ind w:left="1151" w:right="3913"/>
      </w:pPr>
      <w:r>
        <w:rPr>
          <w:color w:val="262626"/>
          <w:spacing w:val="-1"/>
        </w:rPr>
        <w:t>，是助力能源转型的重要支撑。相比光伏发电为间歇性能源，与四季、昼夜及</w:t>
      </w:r>
      <w:r>
        <w:rPr>
          <w:color w:val="262626"/>
        </w:rPr>
        <w:t>阴晴等气象条件的变化密切相关，具有波动性、随机性以及供需匹配等问题。</w:t>
      </w:r>
    </w:p>
    <w:p>
      <w:pPr>
        <w:pStyle w:val="BodyText"/>
        <w:spacing w:before="178" w:line="232" w:lineRule="auto"/>
        <w:ind w:left="1151" w:right="3913"/>
        <w:jc w:val="both"/>
      </w:pPr>
      <w:r>
        <w:rPr>
          <w:color w:val="262626"/>
        </w:rPr>
        <w:t>储能逆变器在将光伏发电系统产生的电力进行转换的基础上，将储能电池和电网进行连接，通过交直流电双向变换和对储能电池充放电过程的控制，光伏所发的电能可优先供本地负载使用，多余的能量存储到储能电池，在电能仍有富余的情况下选择性并入电网，当光伏所发电能不足时，储能电池放电提供电能供本地负载使用。</w:t>
      </w:r>
    </w:p>
    <w:p>
      <w:pPr>
        <w:spacing w:after="0" w:line="232" w:lineRule="auto"/>
        <w:jc w:val="both"/>
        <w:sectPr>
          <w:headerReference w:type="default" r:id="rId40"/>
          <w:footerReference w:type="default" r:id="rId41"/>
          <w:type w:val="continuous"/>
          <w:pgSz w:w="12240" w:h="15840"/>
          <w:pgMar w:top="1500" w:right="0" w:bottom="280" w:left="0" w:header="708" w:footer="708"/>
          <w:pgNumType w:start="15"/>
          <w:cols w:space="708"/>
        </w:sectPr>
      </w:pPr>
    </w:p>
    <w:p>
      <w:pPr>
        <w:pStyle w:val="BodyText"/>
        <w:rPr>
          <w:sz w:val="20"/>
        </w:rPr>
      </w:pPr>
    </w:p>
    <w:p>
      <w:pPr>
        <w:pStyle w:val="BodyText"/>
        <w:rPr>
          <w:sz w:val="20"/>
        </w:rPr>
      </w:pPr>
    </w:p>
    <w:p>
      <w:pPr>
        <w:pStyle w:val="Heading3"/>
        <w:spacing w:before="129"/>
      </w:pPr>
      <w:r>
        <w:rPr>
          <w:color w:val="262626"/>
        </w:rPr>
        <w:t>图表</w:t>
      </w:r>
      <w:r>
        <w:rPr>
          <w:rFonts w:ascii="Calibri" w:eastAsia="Calibri"/>
        </w:rPr>
        <w:t xml:space="preserve">8: </w:t>
      </w:r>
      <w:r>
        <w:rPr>
          <w:color w:val="262626"/>
        </w:rPr>
        <w:t>储能逆变器应用示意图</w:t>
      </w:r>
    </w:p>
    <w:p>
      <w:pPr>
        <w:pStyle w:val="BodyText"/>
        <w:ind w:left="1143"/>
        <w:rPr>
          <w:rFonts w:ascii="Microsoft JhengHei"/>
          <w:sz w:val="20"/>
        </w:rPr>
      </w:pPr>
      <w:r>
        <w:rPr>
          <w:rFonts w:ascii="Microsoft JhengHei"/>
          <w:sz w:val="20"/>
        </w:rPr>
        <w:pict>
          <v:group id="_x0000_i1170" style="width:357.2pt;height:231.9pt;mso-position-horizontal-relative:char;mso-position-vertical-relative:line" coordorigin="0,0" coordsize="7144,4638">
            <v:line id="_x0000_s1171" style="position:absolute" from="0,8" to="7144,8" stroked="t" strokecolor="black" strokeweight="0.75pt">
              <v:stroke dashstyle="solid"/>
            </v:line>
            <v:shape id="_x0000_s1172" type="#_x0000_t75" style="width:6928;height:4623;left:108;position:absolute;top:15" stroked="f">
              <v:imagedata r:id="rId42" o:title=""/>
            </v:shape>
            <w10:wrap type="none"/>
          </v:group>
        </w:pict>
      </w:r>
    </w:p>
    <w:p>
      <w:pPr>
        <w:pStyle w:val="BodyText"/>
        <w:spacing w:before="16"/>
        <w:rPr>
          <w:rFonts w:ascii="Microsoft JhengHei"/>
          <w:b/>
          <w:sz w:val="2"/>
        </w:rPr>
      </w:pPr>
    </w:p>
    <w:p>
      <w:pPr>
        <w:pStyle w:val="BodyText"/>
        <w:spacing w:line="20" w:lineRule="exact"/>
        <w:ind w:left="1143"/>
        <w:rPr>
          <w:rFonts w:ascii="Microsoft JhengHei"/>
          <w:sz w:val="2"/>
        </w:rPr>
      </w:pPr>
      <w:r>
        <w:rPr>
          <w:rFonts w:ascii="Microsoft JhengHei"/>
          <w:sz w:val="2"/>
        </w:rPr>
        <w:pict>
          <v:group id="_x0000_i1173" style="width:357.2pt;height:0.75pt;mso-position-horizontal-relative:char;mso-position-vertical-relative:line" coordorigin="0,0" coordsize="7144,15">
            <v:line id="_x0000_s1174" style="position:absolute" from="0,8" to="7144,8" stroked="t" strokecolor="black" strokeweight="0.75pt">
              <v:stroke dashstyle="solid"/>
            </v:line>
            <w10:wrap type="none"/>
          </v:group>
        </w:pict>
      </w:r>
    </w:p>
    <w:p>
      <w:pPr>
        <w:spacing w:before="0"/>
        <w:ind w:left="1150" w:right="0" w:firstLine="0"/>
        <w:jc w:val="left"/>
        <w:rPr>
          <w:sz w:val="15"/>
        </w:rPr>
      </w:pPr>
      <w:r>
        <w:t xml:space="preserve">资料来源：爱士惟， </w:t>
      </w:r>
    </w:p>
    <w:p>
      <w:pPr>
        <w:pStyle w:val="BodyText"/>
        <w:spacing w:before="7"/>
        <w:rPr>
          <w:sz w:val="13"/>
        </w:rPr>
      </w:pPr>
    </w:p>
    <w:p>
      <w:pPr>
        <w:pStyle w:val="BodyText"/>
        <w:spacing w:before="64" w:line="232" w:lineRule="auto"/>
        <w:ind w:left="1151" w:right="3912"/>
        <w:jc w:val="both"/>
      </w:pPr>
      <w:r>
        <w:rPr>
          <w:color w:val="262626"/>
        </w:rPr>
        <w:t>随着光伏、风电累计装机快速增长，电网的消纳压力越来越大，储能已成为新增新能源装机的必需配套品，在电源侧和电网侧被广泛应用，且配储比例逐渐提高。在用户侧，随着峰谷价差扩大和储能系统成本下降，工商业储能峰谷价差套利的收入上升、成本下降，收益率大幅提升推动其需求方兴未艾，在欧美等高电价地区，由于上网电价和销售电价价差巨大足以覆盖储能成本，户用光伏配储能成为降低用电成本的重要方式。</w:t>
      </w:r>
    </w:p>
    <w:p>
      <w:pPr>
        <w:spacing w:after="0" w:line="232" w:lineRule="auto"/>
        <w:jc w:val="both"/>
        <w:sectPr>
          <w:headerReference w:type="default" r:id="rId43"/>
          <w:footerReference w:type="default" r:id="rId44"/>
          <w:pgSz w:w="12240" w:h="15840"/>
          <w:pgMar w:top="1720" w:right="0" w:bottom="1380" w:left="0" w:header="708" w:footer="708"/>
          <w:pgNumType w:start="16"/>
          <w:cols w:space="708"/>
        </w:sectPr>
      </w:pPr>
    </w:p>
    <w:p>
      <w:pPr>
        <w:pStyle w:val="BodyText"/>
        <w:rPr>
          <w:sz w:val="20"/>
        </w:rPr>
      </w:pPr>
    </w:p>
    <w:p>
      <w:pPr>
        <w:pStyle w:val="BodyText"/>
        <w:rPr>
          <w:sz w:val="20"/>
        </w:rPr>
      </w:pPr>
    </w:p>
    <w:p>
      <w:pPr>
        <w:pStyle w:val="Heading3"/>
        <w:spacing w:before="129"/>
      </w:pPr>
      <w:r>
        <w:rPr>
          <w:color w:val="262626"/>
        </w:rPr>
        <w:t>图表</w:t>
      </w:r>
      <w:r>
        <w:rPr>
          <w:rFonts w:ascii="Calibri" w:eastAsia="Calibri"/>
        </w:rPr>
        <w:t xml:space="preserve">9: </w:t>
      </w:r>
      <w:r>
        <w:rPr>
          <w:color w:val="262626"/>
        </w:rPr>
        <w:t>储能应用场景</w:t>
      </w:r>
    </w:p>
    <w:p>
      <w:pPr>
        <w:pStyle w:val="BodyText"/>
        <w:spacing w:line="20" w:lineRule="exact"/>
        <w:ind w:left="1143"/>
        <w:rPr>
          <w:rFonts w:ascii="Microsoft JhengHei"/>
          <w:sz w:val="2"/>
        </w:rPr>
      </w:pPr>
      <w:r>
        <w:rPr>
          <w:rFonts w:ascii="Microsoft JhengHei"/>
          <w:sz w:val="2"/>
        </w:rPr>
        <w:pict>
          <v:group id="_x0000_i1175" style="width:357.2pt;height:0.75pt;mso-position-horizontal-relative:char;mso-position-vertical-relative:line" coordorigin="0,0" coordsize="7144,15">
            <v:line id="_x0000_s1176" style="position:absolute" from="0,8" to="7144,8" stroked="t" strokecolor="black" strokeweight="0.75pt">
              <v:stroke dashstyle="solid"/>
            </v:line>
            <w10:wrap type="none"/>
          </v:group>
        </w:pict>
      </w:r>
    </w:p>
    <w:p>
      <w:pPr>
        <w:pStyle w:val="BodyText"/>
        <w:spacing w:before="6"/>
        <w:rPr>
          <w:rFonts w:ascii="Microsoft JhengHei"/>
          <w:b/>
          <w:sz w:val="4"/>
        </w:rPr>
      </w:pPr>
      <w:r>
        <w:drawing>
          <wp:anchor distT="0" distB="0" distL="0" distR="0" simplePos="0" relativeHeight="251679744" behindDoc="0" locked="0" layoutInCell="1" allowOverlap="1">
            <wp:simplePos x="0" y="0"/>
            <wp:positionH relativeFrom="page">
              <wp:posOffset>870852</wp:posOffset>
            </wp:positionH>
            <wp:positionV relativeFrom="paragraph">
              <wp:posOffset>75887</wp:posOffset>
            </wp:positionV>
            <wp:extent cx="4204557" cy="2005964"/>
            <wp:effectExtent l="0" t="0" r="0" b="0"/>
            <wp:wrapTopAndBottom/>
            <wp:docPr id="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jpeg"/>
                    <pic:cNvPicPr/>
                  </pic:nvPicPr>
                  <pic:blipFill>
                    <a:blip xmlns:r="http://schemas.openxmlformats.org/officeDocument/2006/relationships" r:embed="rId45" cstate="print"/>
                    <a:stretch>
                      <a:fillRect/>
                    </a:stretch>
                  </pic:blipFill>
                  <pic:spPr>
                    <a:xfrm>
                      <a:off x="0" y="0"/>
                      <a:ext cx="4204557" cy="2005964"/>
                    </a:xfrm>
                    <a:prstGeom prst="rect">
                      <a:avLst/>
                    </a:prstGeom>
                  </pic:spPr>
                </pic:pic>
              </a:graphicData>
            </a:graphic>
          </wp:anchor>
        </w:drawing>
      </w:r>
      <w:r>
        <w:pict>
          <v:shape id="_x0000_s1177" style="width:357.2pt;height:0.1pt;margin-top:172.43pt;margin-left:57.55pt;mso-position-horizontal-relative:page;mso-wrap-distance-left:0;mso-wrap-distance-right:0;position:absolute;z-index:-251635712" coordorigin="1151,3449" coordsize="7144,0" path="m1151,3449l8295,3449e" filled="f" stroked="t" strokecolor="black" strokeweight="0.75pt">
            <v:stroke dashstyle="solid"/>
            <v:path arrowok="t"/>
            <w10:wrap type="topAndBottom"/>
          </v:shape>
        </w:pict>
      </w:r>
    </w:p>
    <w:p>
      <w:pPr>
        <w:pStyle w:val="BodyText"/>
        <w:spacing w:before="2"/>
        <w:rPr>
          <w:rFonts w:ascii="Microsoft JhengHei"/>
          <w:b/>
          <w:sz w:val="5"/>
        </w:rPr>
      </w:pPr>
    </w:p>
    <w:p>
      <w:pPr>
        <w:spacing w:before="0"/>
        <w:ind w:left="1150" w:right="0" w:firstLine="0"/>
        <w:jc w:val="left"/>
        <w:rPr>
          <w:sz w:val="15"/>
        </w:rPr>
      </w:pPr>
      <w:r>
        <w:t xml:space="preserve">资料来源：江苏省储能行业协会， </w:t>
      </w:r>
    </w:p>
    <w:p>
      <w:pPr>
        <w:pStyle w:val="BodyText"/>
        <w:spacing w:before="7"/>
        <w:rPr>
          <w:sz w:val="13"/>
        </w:rPr>
      </w:pPr>
    </w:p>
    <w:p>
      <w:pPr>
        <w:pStyle w:val="BodyText"/>
        <w:spacing w:before="64" w:line="232" w:lineRule="auto"/>
        <w:ind w:left="1151" w:right="3910"/>
        <w:jc w:val="both"/>
      </w:pPr>
      <w:r>
        <w:rPr>
          <w:color w:val="262626"/>
        </w:rPr>
        <w:t>全球新能源新增装机增长和配储比例提高推动储能需求爆发式增长，</w:t>
      </w:r>
      <w:r>
        <w:rPr>
          <w:rFonts w:ascii="Calibri" w:eastAsia="Calibri"/>
          <w:color w:val="262626"/>
        </w:rPr>
        <w:t>2023</w:t>
      </w:r>
      <w:r>
        <w:rPr>
          <w:color w:val="262626"/>
        </w:rPr>
        <w:t>年以来碳酸锂价格大跌推动储能系统成本大幅下降则进一步加快了这一进程。</w:t>
      </w:r>
      <w:r>
        <w:rPr>
          <w:rFonts w:ascii="Calibri" w:eastAsia="Calibri"/>
          <w:color w:val="262626"/>
        </w:rPr>
        <w:t xml:space="preserve">2022 </w:t>
      </w:r>
      <w:r>
        <w:rPr>
          <w:color w:val="262626"/>
          <w:spacing w:val="4"/>
        </w:rPr>
        <w:t>年全球新型储能新增装机同比大增</w:t>
      </w:r>
      <w:r>
        <w:rPr>
          <w:rFonts w:ascii="Calibri" w:eastAsia="Calibri"/>
          <w:color w:val="262626"/>
        </w:rPr>
        <w:t>99%</w:t>
      </w:r>
      <w:r>
        <w:rPr>
          <w:color w:val="262626"/>
          <w:spacing w:val="4"/>
        </w:rPr>
        <w:t>至</w:t>
      </w:r>
      <w:r>
        <w:rPr>
          <w:rFonts w:ascii="Calibri" w:eastAsia="Calibri"/>
          <w:color w:val="262626"/>
        </w:rPr>
        <w:t>20.4GW</w:t>
      </w:r>
      <w:r>
        <w:rPr>
          <w:color w:val="262626"/>
        </w:rPr>
        <w:t>，</w:t>
      </w:r>
      <w:r>
        <w:rPr>
          <w:rFonts w:ascii="Calibri" w:eastAsia="Calibri"/>
          <w:color w:val="262626"/>
        </w:rPr>
        <w:t xml:space="preserve">2017-22 </w:t>
      </w:r>
      <w:r>
        <w:rPr>
          <w:color w:val="262626"/>
          <w:spacing w:val="3"/>
        </w:rPr>
        <w:t>年复合增长率达到</w:t>
      </w:r>
      <w:r>
        <w:rPr>
          <w:rFonts w:ascii="Calibri" w:eastAsia="Calibri"/>
          <w:color w:val="262626"/>
          <w:spacing w:val="-1"/>
        </w:rPr>
        <w:t>86%</w:t>
      </w:r>
      <w:r>
        <w:rPr>
          <w:color w:val="262626"/>
          <w:spacing w:val="-4"/>
        </w:rPr>
        <w:t>，我们预计</w:t>
      </w:r>
      <w:r>
        <w:rPr>
          <w:rFonts w:ascii="Calibri" w:eastAsia="Calibri"/>
          <w:color w:val="262626"/>
        </w:rPr>
        <w:t>2023-25</w:t>
      </w:r>
      <w:r>
        <w:rPr>
          <w:color w:val="262626"/>
          <w:spacing w:val="-3"/>
        </w:rPr>
        <w:t>年将继续大增</w:t>
      </w:r>
      <w:r>
        <w:rPr>
          <w:rFonts w:ascii="Calibri" w:eastAsia="Calibri"/>
          <w:color w:val="262626"/>
        </w:rPr>
        <w:t>121%/56%/50%</w:t>
      </w:r>
      <w:r>
        <w:rPr>
          <w:color w:val="262626"/>
          <w:spacing w:val="-15"/>
        </w:rPr>
        <w:t>至</w:t>
      </w:r>
      <w:r>
        <w:rPr>
          <w:rFonts w:ascii="Calibri" w:eastAsia="Calibri"/>
          <w:color w:val="262626"/>
        </w:rPr>
        <w:t>45/70/105GW</w:t>
      </w:r>
      <w:r>
        <w:rPr>
          <w:color w:val="262626"/>
        </w:rPr>
        <w:t>，之后几年增速仍将在</w:t>
      </w:r>
      <w:r>
        <w:rPr>
          <w:rFonts w:ascii="Calibri" w:eastAsia="Calibri"/>
          <w:color w:val="262626"/>
        </w:rPr>
        <w:t>30%</w:t>
      </w:r>
      <w:r>
        <w:rPr>
          <w:color w:val="262626"/>
        </w:rPr>
        <w:t>以上。</w:t>
      </w:r>
    </w:p>
    <w:p>
      <w:pPr>
        <w:spacing w:after="0" w:line="232" w:lineRule="auto"/>
        <w:jc w:val="both"/>
        <w:sectPr>
          <w:headerReference w:type="default" r:id="rId46"/>
          <w:footerReference w:type="default" r:id="rId47"/>
          <w:pgSz w:w="12240" w:h="15840"/>
          <w:pgMar w:top="1720" w:right="0" w:bottom="1380" w:left="0" w:header="708" w:footer="708"/>
          <w:pgNumType w:start="17"/>
          <w:cols w:space="708"/>
        </w:sectPr>
      </w:pPr>
    </w:p>
    <w:p>
      <w:pPr>
        <w:pStyle w:val="BodyText"/>
        <w:rPr>
          <w:sz w:val="20"/>
        </w:rPr>
      </w:pPr>
    </w:p>
    <w:p>
      <w:pPr>
        <w:pStyle w:val="BodyText"/>
        <w:rPr>
          <w:sz w:val="20"/>
        </w:rPr>
      </w:pPr>
    </w:p>
    <w:p>
      <w:pPr>
        <w:pStyle w:val="Heading3"/>
        <w:spacing w:before="129"/>
      </w:pPr>
      <w:r>
        <w:rPr>
          <w:color w:val="262626"/>
        </w:rPr>
        <w:t>图表</w:t>
      </w:r>
      <w:r>
        <w:rPr>
          <w:rFonts w:ascii="Calibri" w:eastAsia="Calibri"/>
          <w:w w:val="115"/>
        </w:rPr>
        <w:t>10</w:t>
      </w:r>
      <w:r>
        <w:rPr>
          <w:w w:val="115"/>
        </w:rPr>
        <w:t xml:space="preserve">: </w:t>
      </w:r>
      <w:r>
        <w:t>内地</w:t>
      </w:r>
      <w:r>
        <w:rPr>
          <w:color w:val="262626"/>
        </w:rPr>
        <w:t>电池级碳酸锂价格走势（万元</w:t>
      </w:r>
      <w:r>
        <w:rPr>
          <w:rFonts w:ascii="Calibri" w:eastAsia="Calibri"/>
          <w:color w:val="262626"/>
        </w:rPr>
        <w:t>/</w:t>
      </w:r>
      <w:r>
        <w:rPr>
          <w:color w:val="262626"/>
        </w:rPr>
        <w:t>吨）</w:t>
      </w:r>
    </w:p>
    <w:p>
      <w:pPr>
        <w:pStyle w:val="BodyText"/>
        <w:rPr>
          <w:rFonts w:ascii="Microsoft JhengHei"/>
          <w:b/>
          <w:sz w:val="11"/>
        </w:rPr>
      </w:pPr>
      <w:r>
        <w:drawing>
          <wp:anchor distT="0" distB="0" distL="0" distR="0" simplePos="0" relativeHeight="251681792" behindDoc="0" locked="0" layoutInCell="1" allowOverlap="1">
            <wp:simplePos x="0" y="0"/>
            <wp:positionH relativeFrom="page">
              <wp:posOffset>1392685</wp:posOffset>
            </wp:positionH>
            <wp:positionV relativeFrom="paragraph">
              <wp:posOffset>153378</wp:posOffset>
            </wp:positionV>
            <wp:extent cx="3169552" cy="1749552"/>
            <wp:effectExtent l="0" t="0" r="0" b="0"/>
            <wp:wrapTopAndBottom/>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48" cstate="print"/>
                    <a:stretch>
                      <a:fillRect/>
                    </a:stretch>
                  </pic:blipFill>
                  <pic:spPr>
                    <a:xfrm>
                      <a:off x="0" y="0"/>
                      <a:ext cx="3169552" cy="1749552"/>
                    </a:xfrm>
                    <a:prstGeom prst="rect">
                      <a:avLst/>
                    </a:prstGeom>
                  </pic:spPr>
                </pic:pic>
              </a:graphicData>
            </a:graphic>
          </wp:anchor>
        </w:drawing>
      </w:r>
      <w:r>
        <w:pict>
          <v:shape id="_x0000_s1178" style="width:357.2pt;height:0.1pt;margin-top:156.93pt;margin-left:57.55pt;mso-position-horizontal-relative:page;mso-wrap-distance-left:0;mso-wrap-distance-right:0;position:absolute;z-index:-251632640" coordorigin="1151,3139" coordsize="7144,0" path="m1151,3139l8295,3139e" filled="f" stroked="t" strokecolor="black" strokeweight="0.75pt">
            <v:stroke dashstyle="solid"/>
            <v:path arrowok="t"/>
            <w10:wrap type="topAndBottom"/>
          </v:shape>
        </w:pict>
      </w:r>
    </w:p>
    <w:p>
      <w:pPr>
        <w:pStyle w:val="BodyText"/>
        <w:spacing w:before="10"/>
        <w:rPr>
          <w:rFonts w:ascii="Microsoft JhengHei"/>
          <w:b/>
          <w:sz w:val="3"/>
        </w:rPr>
      </w:pPr>
    </w:p>
    <w:p>
      <w:pPr>
        <w:spacing w:before="0"/>
        <w:ind w:left="1150" w:right="0" w:firstLine="0"/>
        <w:jc w:val="left"/>
        <w:rPr>
          <w:sz w:val="15"/>
        </w:rPr>
      </w:pPr>
      <w:r>
        <w:t xml:space="preserve">资料来源：安泰科， </w:t>
      </w:r>
    </w:p>
    <w:p>
      <w:pPr>
        <w:pStyle w:val="BodyText"/>
        <w:rPr>
          <w:sz w:val="20"/>
        </w:rPr>
      </w:pPr>
    </w:p>
    <w:p>
      <w:pPr>
        <w:pStyle w:val="Heading3"/>
        <w:spacing w:before="139"/>
      </w:pPr>
      <w:r>
        <w:rPr>
          <w:color w:val="262626"/>
        </w:rPr>
        <w:t>图表</w:t>
      </w:r>
      <w:r>
        <w:rPr>
          <w:rFonts w:ascii="Calibri" w:eastAsia="Calibri"/>
        </w:rPr>
        <w:t xml:space="preserve">11: </w:t>
      </w:r>
      <w:r>
        <w:rPr>
          <w:color w:val="262626"/>
        </w:rPr>
        <w:t>全球新型储能新增装机预测</w:t>
      </w:r>
    </w:p>
    <w:p>
      <w:pPr>
        <w:pStyle w:val="BodyText"/>
        <w:spacing w:line="20" w:lineRule="exact"/>
        <w:ind w:left="1143"/>
        <w:rPr>
          <w:rFonts w:ascii="Microsoft JhengHei"/>
          <w:sz w:val="2"/>
        </w:rPr>
      </w:pPr>
      <w:r>
        <w:rPr>
          <w:rFonts w:ascii="Microsoft JhengHei"/>
          <w:sz w:val="2"/>
        </w:rPr>
        <w:pict>
          <v:group id="_x0000_i1179" style="width:357.2pt;height:0.75pt;mso-position-horizontal-relative:char;mso-position-vertical-relative:line" coordorigin="0,0" coordsize="7144,15">
            <v:line id="_x0000_s1180" style="position:absolute" from="0,8" to="7144,8" stroked="t" strokecolor="black" strokeweight="0.75pt">
              <v:stroke dashstyle="solid"/>
            </v:line>
            <w10:wrap type="none"/>
          </v:group>
        </w:pict>
      </w:r>
    </w:p>
    <w:p>
      <w:pPr>
        <w:pStyle w:val="BodyText"/>
        <w:spacing w:before="13"/>
        <w:rPr>
          <w:rFonts w:ascii="Microsoft JhengHei"/>
          <w:b/>
          <w:sz w:val="4"/>
        </w:rPr>
      </w:pPr>
      <w:r>
        <w:drawing>
          <wp:anchor distT="0" distB="0" distL="0" distR="0" simplePos="0" relativeHeight="251682816" behindDoc="0" locked="0" layoutInCell="1" allowOverlap="1">
            <wp:simplePos x="0" y="0"/>
            <wp:positionH relativeFrom="page">
              <wp:posOffset>1337564</wp:posOffset>
            </wp:positionH>
            <wp:positionV relativeFrom="paragraph">
              <wp:posOffset>79826</wp:posOffset>
            </wp:positionV>
            <wp:extent cx="3328541" cy="1773936"/>
            <wp:effectExtent l="0" t="0" r="0" b="0"/>
            <wp:wrapTopAndBottom/>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49" cstate="print"/>
                    <a:stretch>
                      <a:fillRect/>
                    </a:stretch>
                  </pic:blipFill>
                  <pic:spPr>
                    <a:xfrm>
                      <a:off x="0" y="0"/>
                      <a:ext cx="3328541" cy="1773936"/>
                    </a:xfrm>
                    <a:prstGeom prst="rect">
                      <a:avLst/>
                    </a:prstGeom>
                  </pic:spPr>
                </pic:pic>
              </a:graphicData>
            </a:graphic>
          </wp:anchor>
        </w:drawing>
      </w:r>
    </w:p>
    <w:p>
      <w:pPr>
        <w:pStyle w:val="BodyText"/>
        <w:spacing w:before="17"/>
        <w:rPr>
          <w:rFonts w:ascii="Microsoft JhengHei"/>
          <w:b/>
          <w:sz w:val="3"/>
        </w:rPr>
      </w:pPr>
    </w:p>
    <w:p>
      <w:pPr>
        <w:pStyle w:val="BodyText"/>
        <w:spacing w:line="20" w:lineRule="exact"/>
        <w:ind w:left="1143"/>
        <w:rPr>
          <w:rFonts w:ascii="Microsoft JhengHei"/>
          <w:sz w:val="2"/>
        </w:rPr>
      </w:pPr>
      <w:r>
        <w:rPr>
          <w:rFonts w:ascii="Microsoft JhengHei"/>
          <w:sz w:val="2"/>
        </w:rPr>
        <w:pict>
          <v:group id="_x0000_i1181" style="width:357.2pt;height:0.75pt;mso-position-horizontal-relative:char;mso-position-vertical-relative:line" coordorigin="0,0" coordsize="7144,15">
            <v:line id="_x0000_s1182" style="position:absolute" from="0,8" to="7144,8" stroked="t" strokecolor="black" strokeweight="0.75pt">
              <v:stroke dashstyle="solid"/>
            </v:line>
            <w10:wrap type="none"/>
          </v:group>
        </w:pict>
      </w:r>
    </w:p>
    <w:p>
      <w:pPr>
        <w:spacing w:before="0"/>
        <w:ind w:left="1150" w:right="0" w:firstLine="0"/>
        <w:jc w:val="left"/>
        <w:rPr>
          <w:sz w:val="15"/>
        </w:rPr>
      </w:pPr>
      <w:r>
        <w:t>资料来源：CNESA， 预测</w:t>
      </w:r>
    </w:p>
    <w:p>
      <w:pPr>
        <w:pStyle w:val="BodyText"/>
        <w:spacing w:before="7"/>
        <w:rPr>
          <w:sz w:val="13"/>
        </w:rPr>
      </w:pPr>
    </w:p>
    <w:p>
      <w:pPr>
        <w:pStyle w:val="BodyText"/>
        <w:spacing w:before="64" w:line="232" w:lineRule="auto"/>
        <w:ind w:left="1151" w:right="3910"/>
        <w:jc w:val="both"/>
      </w:pPr>
      <w:r>
        <w:rPr>
          <w:color w:val="262626"/>
        </w:rPr>
        <w:t>按功率计，我们预计</w:t>
      </w:r>
      <w:r>
        <w:rPr>
          <w:rFonts w:ascii="Calibri" w:eastAsia="Calibri"/>
          <w:color w:val="262626"/>
        </w:rPr>
        <w:t>2023</w:t>
      </w:r>
      <w:r>
        <w:rPr>
          <w:color w:val="262626"/>
        </w:rPr>
        <w:t>年储能逆变器需求已达并网逆变器需求的</w:t>
      </w:r>
      <w:r>
        <w:rPr>
          <w:rFonts w:ascii="Calibri" w:eastAsia="Calibri"/>
          <w:color w:val="262626"/>
        </w:rPr>
        <w:t>11%</w:t>
      </w:r>
      <w:r>
        <w:rPr>
          <w:color w:val="262626"/>
        </w:rPr>
        <w:t>，</w:t>
      </w:r>
      <w:r>
        <w:rPr>
          <w:rFonts w:ascii="Calibri" w:eastAsia="Calibri"/>
          <w:color w:val="262626"/>
        </w:rPr>
        <w:t xml:space="preserve">2024 </w:t>
      </w:r>
      <w:r>
        <w:rPr>
          <w:color w:val="262626"/>
        </w:rPr>
        <w:t>年将提升至</w:t>
      </w:r>
      <w:r>
        <w:rPr>
          <w:rFonts w:ascii="Calibri" w:eastAsia="Calibri"/>
          <w:color w:val="262626"/>
        </w:rPr>
        <w:t>14%</w:t>
      </w:r>
      <w:r>
        <w:rPr>
          <w:color w:val="262626"/>
        </w:rPr>
        <w:t>，由于储能新增装机增速远超光伏，该占比还将不断提升。由</w:t>
      </w:r>
      <w:r>
        <w:rPr>
          <w:color w:val="262626"/>
          <w:spacing w:val="-1"/>
        </w:rPr>
        <w:t>于功能更为丰富，技术难度更大，且为新型产品，目前储能逆变器单价和毛利</w:t>
      </w:r>
      <w:r>
        <w:rPr>
          <w:color w:val="262626"/>
        </w:rPr>
        <w:t>率均远高于并网逆变器。首航新能</w:t>
      </w:r>
      <w:r>
        <w:rPr>
          <w:rFonts w:ascii="Calibri" w:eastAsia="Calibri"/>
          <w:color w:val="262626"/>
        </w:rPr>
        <w:t>2023</w:t>
      </w:r>
      <w:r>
        <w:rPr>
          <w:color w:val="262626"/>
        </w:rPr>
        <w:t>年上半年储能逆变器单价和毛利率高达</w:t>
      </w:r>
      <w:r>
        <w:rPr>
          <w:rFonts w:ascii="Calibri" w:eastAsia="Calibri"/>
          <w:color w:val="262626"/>
        </w:rPr>
        <w:t>8333</w:t>
      </w:r>
      <w:r>
        <w:rPr>
          <w:color w:val="262626"/>
          <w:spacing w:val="-23"/>
        </w:rPr>
        <w:t>元</w:t>
      </w:r>
      <w:r>
        <w:rPr>
          <w:rFonts w:ascii="Calibri" w:eastAsia="Calibri"/>
          <w:color w:val="262626"/>
        </w:rPr>
        <w:t>/</w:t>
      </w:r>
      <w:r>
        <w:rPr>
          <w:color w:val="262626"/>
          <w:spacing w:val="-12"/>
        </w:rPr>
        <w:t>台和</w:t>
      </w:r>
      <w:r>
        <w:rPr>
          <w:rFonts w:ascii="Calibri" w:eastAsia="Calibri"/>
          <w:color w:val="262626"/>
        </w:rPr>
        <w:t>50.5%</w:t>
      </w:r>
      <w:r>
        <w:rPr>
          <w:color w:val="262626"/>
          <w:spacing w:val="-3"/>
        </w:rPr>
        <w:t>，远高于并网逆变器的</w:t>
      </w:r>
      <w:r>
        <w:rPr>
          <w:rFonts w:ascii="Calibri" w:eastAsia="Calibri"/>
          <w:color w:val="262626"/>
        </w:rPr>
        <w:t>4821</w:t>
      </w:r>
      <w:r>
        <w:rPr>
          <w:color w:val="262626"/>
          <w:spacing w:val="-23"/>
        </w:rPr>
        <w:t>元</w:t>
      </w:r>
      <w:r>
        <w:rPr>
          <w:rFonts w:ascii="Calibri" w:eastAsia="Calibri"/>
          <w:color w:val="262626"/>
        </w:rPr>
        <w:t>/</w:t>
      </w:r>
      <w:r>
        <w:rPr>
          <w:color w:val="262626"/>
          <w:spacing w:val="-12"/>
        </w:rPr>
        <w:t>台和</w:t>
      </w:r>
      <w:r>
        <w:rPr>
          <w:rFonts w:ascii="Calibri" w:eastAsia="Calibri"/>
          <w:color w:val="262626"/>
        </w:rPr>
        <w:t>35.5%</w:t>
      </w:r>
      <w:r>
        <w:rPr>
          <w:color w:val="262626"/>
          <w:spacing w:val="-5"/>
        </w:rPr>
        <w:t>，单台毛利</w:t>
      </w:r>
      <w:r>
        <w:rPr>
          <w:rFonts w:ascii="Calibri" w:eastAsia="Calibri"/>
          <w:color w:val="262626"/>
        </w:rPr>
        <w:t>4208</w:t>
      </w:r>
      <w:r>
        <w:rPr>
          <w:color w:val="262626"/>
          <w:spacing w:val="-6"/>
        </w:rPr>
        <w:t xml:space="preserve">元， </w:t>
      </w:r>
      <w:r>
        <w:rPr>
          <w:color w:val="262626"/>
          <w:spacing w:val="-4"/>
        </w:rPr>
        <w:t>更是后者的</w:t>
      </w:r>
      <w:r>
        <w:rPr>
          <w:rFonts w:ascii="Calibri" w:eastAsia="Calibri"/>
          <w:color w:val="262626"/>
        </w:rPr>
        <w:t>2.5</w:t>
      </w:r>
      <w:r>
        <w:rPr>
          <w:color w:val="262626"/>
          <w:spacing w:val="-1"/>
        </w:rPr>
        <w:t>倍。因此储能逆变器不仅将推动逆变器企业收入增长，其在产品结构中的占比提高还将明显提升毛利率和单位毛利。储能已成为逆变器的第二</w:t>
      </w:r>
      <w:r>
        <w:rPr>
          <w:color w:val="262626"/>
        </w:rPr>
        <w:t>增长曲线。</w:t>
      </w:r>
    </w:p>
    <w:p>
      <w:pPr>
        <w:spacing w:after="0" w:line="232" w:lineRule="auto"/>
        <w:jc w:val="both"/>
        <w:sectPr>
          <w:headerReference w:type="default" r:id="rId50"/>
          <w:footerReference w:type="default" r:id="rId51"/>
          <w:pgSz w:w="12240" w:h="15840"/>
          <w:pgMar w:top="1720" w:right="0" w:bottom="1380" w:left="0" w:header="708" w:footer="708"/>
          <w:pgNumType w:start="18"/>
          <w:cols w:space="708"/>
        </w:sectPr>
      </w:pPr>
    </w:p>
    <w:p>
      <w:pPr>
        <w:pStyle w:val="BodyText"/>
        <w:rPr>
          <w:sz w:val="20"/>
        </w:rPr>
      </w:pPr>
    </w:p>
    <w:p>
      <w:pPr>
        <w:pStyle w:val="BodyText"/>
        <w:rPr>
          <w:sz w:val="20"/>
        </w:rPr>
      </w:pPr>
    </w:p>
    <w:p>
      <w:pPr>
        <w:pStyle w:val="Heading3"/>
        <w:spacing w:before="129"/>
      </w:pPr>
      <w:r>
        <w:rPr>
          <w:color w:val="262626"/>
        </w:rPr>
        <w:t>图表</w:t>
      </w:r>
      <w:r>
        <w:rPr>
          <w:rFonts w:ascii="Calibri" w:eastAsia="Calibri"/>
        </w:rPr>
        <w:t xml:space="preserve">12: </w:t>
      </w:r>
      <w:r>
        <w:t>首航新能</w:t>
      </w:r>
      <w:r>
        <w:rPr>
          <w:rFonts w:ascii="Calibri" w:eastAsia="Calibri"/>
          <w:color w:val="262626"/>
        </w:rPr>
        <w:t>2023</w:t>
      </w:r>
      <w:r>
        <w:rPr>
          <w:color w:val="262626"/>
        </w:rPr>
        <w:t>年上半年储能和并网逆变器单位毛利比较</w:t>
      </w:r>
    </w:p>
    <w:p>
      <w:pPr>
        <w:pStyle w:val="BodyText"/>
        <w:spacing w:line="20" w:lineRule="exact"/>
        <w:ind w:left="1143"/>
        <w:rPr>
          <w:rFonts w:ascii="Microsoft JhengHei"/>
          <w:sz w:val="2"/>
        </w:rPr>
      </w:pPr>
      <w:r>
        <w:rPr>
          <w:rFonts w:ascii="Microsoft JhengHei"/>
          <w:sz w:val="2"/>
        </w:rPr>
        <w:pict>
          <v:group id="_x0000_i1183" style="width:357.2pt;height:0.75pt;mso-position-horizontal-relative:char;mso-position-vertical-relative:line" coordorigin="0,0" coordsize="7144,15">
            <v:line id="_x0000_s1184" style="position:absolute" from="0,8" to="7144,8" stroked="t" strokecolor="black" strokeweight="0.75pt">
              <v:stroke dashstyle="solid"/>
            </v:line>
            <w10:wrap type="none"/>
          </v:group>
        </w:pict>
      </w:r>
    </w:p>
    <w:p>
      <w:pPr>
        <w:tabs>
          <w:tab w:val="left" w:pos="4414"/>
          <w:tab w:val="left" w:pos="6270"/>
        </w:tabs>
        <w:spacing w:before="45"/>
        <w:ind w:left="2878" w:right="0" w:firstLine="0"/>
        <w:jc w:val="left"/>
        <w:rPr>
          <w:sz w:val="16"/>
        </w:rPr>
      </w:pPr>
      <w:r>
        <w:pict>
          <v:rect id="_x0000_s1185" style="width:4.44pt;height:4.43pt;margin-top:6.11pt;margin-left:137.68pt;mso-position-horizontal-relative:page;position:absolute;z-index:251687936" filled="t" fillcolor="#bcdadf" stroked="f">
            <v:fill type="solid"/>
          </v:rect>
        </w:pict>
      </w:r>
      <w:r>
        <w:pict>
          <v:rect id="_x0000_s1186" style="width:4.32pt;height:4.43pt;margin-top:6.11pt;margin-left:214.56pt;mso-position-horizontal-relative:page;position:absolute;z-index:-251630592" filled="t" fillcolor="#59a1ae" stroked="f">
            <v:fill type="solid"/>
          </v:rect>
        </w:pict>
      </w:r>
      <w:r>
        <w:pict>
          <v:group id="_x0000_s1187" style="width:4.7pt;height:4.7pt;margin-top:5.87pt;margin-left:307.03pt;mso-position-horizontal-relative:page;position:absolute;z-index:-251629568" coordorigin="6141,117" coordsize="94,94">
            <v:shape id="_x0000_s1188" type="#_x0000_t75" style="width:80;height:79;left:6147;position:absolute;top:124" stroked="f">
              <v:imagedata r:id="rId52" o:title=""/>
            </v:shape>
            <v:shape id="_x0000_s1189" style="width:80;height:79;left:6147;position:absolute;top:124" coordorigin="6148,125" coordsize="80,79" path="m6227,164l6224,180,6215,192,6203,201,6187,204,6172,201,6159,192,6151,180,6148,164,6151,149,6159,136,6172,128,6187,125,6203,128,6215,136,6224,149,6227,164xe" filled="f" stroked="t" strokecolor="#1f5ea0" strokeweight="0.72pt">
              <v:stroke dashstyle="solid"/>
              <v:path arrowok="t"/>
            </v:shape>
          </v:group>
        </w:pict>
      </w:r>
      <w:r>
        <w:rPr>
          <w:sz w:val="16"/>
        </w:rPr>
        <w:t>单价（元</w:t>
      </w:r>
      <w:r>
        <w:rPr>
          <w:rFonts w:ascii="Calibri" w:eastAsia="Calibri"/>
          <w:spacing w:val="-3"/>
          <w:sz w:val="16"/>
        </w:rPr>
        <w:t>/</w:t>
      </w:r>
      <w:r>
        <w:rPr>
          <w:sz w:val="16"/>
        </w:rPr>
        <w:t>台）</w:t>
        <w:tab/>
        <w:t>单位毛利</w:t>
      </w:r>
      <w:r>
        <w:rPr>
          <w:spacing w:val="-3"/>
          <w:sz w:val="16"/>
        </w:rPr>
        <w:t>（</w:t>
      </w:r>
      <w:r>
        <w:rPr>
          <w:sz w:val="16"/>
        </w:rPr>
        <w:t>元</w:t>
      </w:r>
      <w:r>
        <w:rPr>
          <w:rFonts w:ascii="Calibri" w:eastAsia="Calibri"/>
          <w:spacing w:val="-3"/>
          <w:sz w:val="16"/>
        </w:rPr>
        <w:t>/</w:t>
      </w:r>
      <w:r>
        <w:rPr>
          <w:sz w:val="16"/>
        </w:rPr>
        <w:t>台）</w:t>
        <w:tab/>
        <w:t>毛利率</w:t>
      </w:r>
    </w:p>
    <w:p>
      <w:pPr>
        <w:tabs>
          <w:tab w:val="left" w:pos="6653"/>
        </w:tabs>
        <w:spacing w:before="73"/>
        <w:ind w:left="2386" w:right="0" w:firstLine="0"/>
        <w:jc w:val="left"/>
        <w:rPr>
          <w:rFonts w:ascii="Calibri"/>
          <w:sz w:val="16"/>
        </w:rPr>
      </w:pPr>
      <w:r>
        <w:pict>
          <v:group id="_x0000_s1190" style="width:181.35pt;height:109.15pt;margin-top:8.69pt;margin-left:146.44pt;mso-position-horizontal-relative:page;position:absolute;z-index:-251631616" coordorigin="2929,174" coordsize="3627,2183">
            <v:shape id="_x0000_s1191" style="width:3524;height:1063;left:2981;position:absolute;top:889" coordorigin="2981,889" coordsize="3524,1063" path="m5625,1952l6505,1952m4303,1952l5184,1952m2981,1952l3420,1952m2981,1598l3420,1598m3862,1243l6505,1243m2981,1243l3420,1243m3862,889l6505,889m2981,889l3420,889e" filled="f" stroked="t" strokecolor="#d8d8d8" strokeweight="0.72pt">
              <v:stroke dashstyle="solid"/>
              <v:path arrowok="t"/>
            </v:shape>
            <v:rect id="_x0000_s1192" style="width:442;height:1477;left:3420;position:absolute;top:829" filled="t" fillcolor="#bcdadf" stroked="f">
              <v:fill type="solid"/>
            </v:rect>
            <v:shape id="_x0000_s1193" style="width:2203;height:2;left:4303;position:absolute;top:1597" coordorigin="4303,1598" coordsize="2203,0" path="m5625,1598l6505,1598m4303,1598l5184,1598e" filled="f" stroked="t" strokecolor="#d8d8d8" strokeweight="0.72pt">
              <v:stroke dashstyle="solid"/>
              <v:path arrowok="t"/>
            </v:shape>
            <v:rect id="_x0000_s1194" style="width:442;height:855;left:5183;position:absolute;top:1451" filled="t" fillcolor="#bcdadf" stroked="f">
              <v:fill type="solid"/>
            </v:rect>
            <v:shape id="_x0000_s1195" style="width:2203;height:745;left:3861;position:absolute;top:1561" coordorigin="3862,1562" coordsize="2203,745" path="m4303,1562l3862,1562,3862,2306,4303,2306,4303,1562m6064,2004l5625,2004,5625,2306,6064,2306,6064,2004e" filled="t" fillcolor="#59a1ae" stroked="f">
              <v:fill type="solid"/>
              <v:path arrowok="t"/>
            </v:shape>
            <v:shape id="_x0000_s1196" style="width:14921260;height:1503300;position:absolute;top:-1490502" coordorigin="0,-1490501" coordsize="14921260,1503300" path="m2981,535l6505,535m2981,181l6505,181e" filled="f" stroked="t" strokecolor="#d8d8d8" strokeweight="0.72pt">
              <v:stroke dashstyle="solid"/>
              <v:path arrowok="t"/>
            </v:shape>
            <v:line id="_x0000_s1197" style="position:absolute" from="6505,2306" to="6505,181" stroked="t" strokecolor="#bfbfbf" strokeweight="0.72pt">
              <v:stroke dashstyle="solid"/>
            </v:line>
            <v:shape id="_x0000_s1198" style="width:213306;height:9019800;position:absolute;top:-9007002" coordorigin="0,-9007001" coordsize="213306,9019800" path="m6505,2306l6556,2306m6505,1952l6556,1952m6505,1598l6556,1598m6505,1243l6556,1243m6505,889l6556,889m6505,535l6556,535m6505,181l6556,181e" filled="f" stroked="t" strokecolor="#bfbfbf" strokeweight="0.72pt">
              <v:stroke dashstyle="solid"/>
              <v:path arrowok="t"/>
            </v:shape>
            <v:line id="_x0000_s1199" style="position:absolute" from="2981,2306" to="2981,181" stroked="t" strokecolor="#bfbfbf" strokeweight="0.72pt">
              <v:stroke dashstyle="solid"/>
            </v:line>
            <v:shape id="_x0000_s1200" style="width:223464;height:9019800;position:absolute;top:-9007002" coordorigin="0,-9007001" coordsize="223464,9019800" path="m2929,2306l2981,2306m2929,1952l2981,1952m2929,1598l2981,1598m2929,1243l2981,1243m2929,889l2981,889m2929,535l2981,535m2929,181l2981,181e" filled="f" stroked="t" strokecolor="#bfbfbf" strokeweight="0.72pt">
              <v:stroke dashstyle="solid"/>
              <v:path arrowok="t"/>
            </v:shape>
            <v:shape id="_x0000_s1201" style="width:14921260;height:213306;position:absolute;top:-200508" coordorigin="0,-200507" coordsize="14921260,213306" path="m2981,2306l6505,2306m2981,2306l2981,2356m4742,2306l4742,2356m6505,2306l6505,2356e" filled="f" stroked="t" strokecolor="#bfbfbf" strokeweight="0.72pt">
              <v:stroke dashstyle="solid"/>
              <v:path arrowok="t"/>
            </v:shape>
            <v:shape id="_x0000_s1202" type="#_x0000_t75" style="width:101;height:101;left:3810;position:absolute;top:467" stroked="f">
              <v:imagedata r:id="rId53" o:title=""/>
            </v:shape>
            <v:shape id="_x0000_s1203" type="#_x0000_t75" style="width:116;height:115;left:3803;position:absolute;top:459" stroked="f">
              <v:imagedata r:id="rId54" o:title=""/>
            </v:shape>
            <v:shape id="_x0000_s1204" type="#_x0000_t75" style="width:101;height:101;left:5573;position:absolute;top:998" stroked="f">
              <v:imagedata r:id="rId53" o:title=""/>
            </v:shape>
            <v:shape id="_x0000_s1205" type="#_x0000_t75" style="width:116;height:115;left:5566;position:absolute;top:991" stroked="f">
              <v:imagedata r:id="rId55" o:title=""/>
            </v:shape>
          </v:group>
        </w:pict>
      </w:r>
      <w:r>
        <w:rPr>
          <w:rFonts w:ascii="Calibri"/>
          <w:sz w:val="16"/>
        </w:rPr>
        <w:t>12,000</w:t>
        <w:tab/>
        <w:t>60.0%</w:t>
      </w:r>
    </w:p>
    <w:p>
      <w:pPr>
        <w:pStyle w:val="BodyText"/>
        <w:rPr>
          <w:rFonts w:ascii="Calibri"/>
          <w:sz w:val="13"/>
        </w:rPr>
      </w:pPr>
    </w:p>
    <w:p>
      <w:pPr>
        <w:tabs>
          <w:tab w:val="left" w:pos="6653"/>
        </w:tabs>
        <w:spacing w:before="0"/>
        <w:ind w:left="2386" w:right="0" w:firstLine="0"/>
        <w:jc w:val="left"/>
        <w:rPr>
          <w:rFonts w:ascii="Calibri"/>
          <w:sz w:val="16"/>
        </w:rPr>
      </w:pPr>
      <w:r>
        <w:rPr>
          <w:rFonts w:ascii="Calibri"/>
          <w:sz w:val="16"/>
        </w:rPr>
        <w:t>10,000</w:t>
        <w:tab/>
        <w:t>50.0%</w:t>
      </w:r>
    </w:p>
    <w:p>
      <w:pPr>
        <w:pStyle w:val="BodyText"/>
        <w:spacing w:before="1"/>
        <w:rPr>
          <w:rFonts w:ascii="Calibri"/>
          <w:sz w:val="13"/>
        </w:rPr>
      </w:pPr>
    </w:p>
    <w:p>
      <w:pPr>
        <w:tabs>
          <w:tab w:val="left" w:pos="6653"/>
        </w:tabs>
        <w:spacing w:before="0"/>
        <w:ind w:left="2468" w:right="0" w:firstLine="0"/>
        <w:jc w:val="left"/>
        <w:rPr>
          <w:rFonts w:ascii="Calibri"/>
          <w:sz w:val="16"/>
        </w:rPr>
      </w:pPr>
      <w:r>
        <w:rPr>
          <w:rFonts w:ascii="Calibri"/>
          <w:sz w:val="16"/>
        </w:rPr>
        <w:t>8,000</w:t>
        <w:tab/>
        <w:t>40.0%</w:t>
      </w:r>
    </w:p>
    <w:p>
      <w:pPr>
        <w:pStyle w:val="BodyText"/>
        <w:rPr>
          <w:rFonts w:ascii="Calibri"/>
          <w:sz w:val="13"/>
        </w:rPr>
      </w:pPr>
    </w:p>
    <w:p>
      <w:pPr>
        <w:tabs>
          <w:tab w:val="left" w:pos="6653"/>
        </w:tabs>
        <w:spacing w:before="0"/>
        <w:ind w:left="2468" w:right="0" w:firstLine="0"/>
        <w:jc w:val="left"/>
        <w:rPr>
          <w:rFonts w:ascii="Calibri"/>
          <w:sz w:val="16"/>
        </w:rPr>
      </w:pPr>
      <w:r>
        <w:rPr>
          <w:rFonts w:ascii="Calibri"/>
          <w:sz w:val="16"/>
        </w:rPr>
        <w:t>6,000</w:t>
        <w:tab/>
        <w:t>30.0%</w:t>
      </w:r>
    </w:p>
    <w:p>
      <w:pPr>
        <w:pStyle w:val="BodyText"/>
        <w:rPr>
          <w:rFonts w:ascii="Calibri"/>
          <w:sz w:val="13"/>
        </w:rPr>
      </w:pPr>
    </w:p>
    <w:p>
      <w:pPr>
        <w:tabs>
          <w:tab w:val="left" w:pos="6653"/>
        </w:tabs>
        <w:spacing w:before="0"/>
        <w:ind w:left="2468" w:right="0" w:firstLine="0"/>
        <w:jc w:val="left"/>
        <w:rPr>
          <w:rFonts w:ascii="Calibri"/>
          <w:sz w:val="16"/>
        </w:rPr>
      </w:pPr>
      <w:r>
        <w:rPr>
          <w:rFonts w:ascii="Calibri"/>
          <w:sz w:val="16"/>
        </w:rPr>
        <w:t>4,000</w:t>
        <w:tab/>
        <w:t>20.0%</w:t>
      </w:r>
    </w:p>
    <w:p>
      <w:pPr>
        <w:pStyle w:val="BodyText"/>
        <w:spacing w:before="1"/>
        <w:rPr>
          <w:rFonts w:ascii="Calibri"/>
          <w:sz w:val="13"/>
        </w:rPr>
      </w:pPr>
    </w:p>
    <w:p>
      <w:pPr>
        <w:tabs>
          <w:tab w:val="left" w:pos="6653"/>
        </w:tabs>
        <w:spacing w:before="0"/>
        <w:ind w:left="2468" w:right="0" w:firstLine="0"/>
        <w:jc w:val="left"/>
        <w:rPr>
          <w:rFonts w:ascii="Calibri"/>
          <w:sz w:val="16"/>
        </w:rPr>
      </w:pPr>
      <w:r>
        <w:rPr>
          <w:rFonts w:ascii="Calibri"/>
          <w:sz w:val="16"/>
        </w:rPr>
        <w:t>2,000</w:t>
        <w:tab/>
        <w:t>10.0%</w:t>
      </w:r>
    </w:p>
    <w:p>
      <w:pPr>
        <w:spacing w:after="0"/>
        <w:jc w:val="left"/>
        <w:rPr>
          <w:rFonts w:ascii="Calibri"/>
          <w:sz w:val="16"/>
        </w:rPr>
        <w:sectPr>
          <w:headerReference w:type="default" r:id="rId56"/>
          <w:footerReference w:type="default" r:id="rId57"/>
          <w:pgSz w:w="12240" w:h="15840"/>
          <w:pgMar w:top="1720" w:right="0" w:bottom="1380" w:left="0" w:header="708" w:footer="708"/>
          <w:pgNumType w:start="19"/>
          <w:cols w:space="708"/>
        </w:sectPr>
      </w:pPr>
    </w:p>
    <w:p>
      <w:pPr>
        <w:pStyle w:val="BodyText"/>
        <w:rPr>
          <w:rFonts w:ascii="Calibri"/>
          <w:sz w:val="13"/>
        </w:rPr>
      </w:pPr>
    </w:p>
    <w:p>
      <w:pPr>
        <w:spacing w:before="0"/>
        <w:ind w:left="0" w:right="276" w:firstLine="0"/>
        <w:jc w:val="right"/>
        <w:rPr>
          <w:rFonts w:ascii="Calibri"/>
          <w:sz w:val="16"/>
        </w:rPr>
      </w:pPr>
      <w:r>
        <w:rPr>
          <w:rFonts w:ascii="Calibri"/>
          <w:w w:val="100"/>
          <w:sz w:val="16"/>
        </w:rPr>
        <w:t>0</w:t>
      </w:r>
    </w:p>
    <w:p>
      <w:pPr>
        <w:pStyle w:val="BodyText"/>
        <w:spacing w:before="9"/>
        <w:rPr>
          <w:rFonts w:ascii="Calibri"/>
        </w:rPr>
      </w:pPr>
    </w:p>
    <w:p>
      <w:pPr>
        <w:spacing w:before="0"/>
        <w:ind w:left="1150" w:right="0" w:firstLine="0"/>
        <w:jc w:val="left"/>
        <w:rPr>
          <w:sz w:val="15"/>
        </w:rPr>
      </w:pPr>
      <w:r>
        <w:t xml:space="preserve">资料来源：首航新能， </w:t>
      </w:r>
    </w:p>
    <w:p>
      <w:pPr>
        <w:pStyle w:val="BodyText"/>
        <w:rPr>
          <w:sz w:val="16"/>
        </w:rPr>
      </w:pPr>
      <w:r>
        <w:br w:type="column"/>
      </w:r>
    </w:p>
    <w:p>
      <w:pPr>
        <w:pStyle w:val="BodyText"/>
        <w:rPr>
          <w:sz w:val="12"/>
        </w:rPr>
      </w:pPr>
    </w:p>
    <w:p>
      <w:pPr>
        <w:tabs>
          <w:tab w:val="left" w:pos="2073"/>
        </w:tabs>
        <w:spacing w:before="0"/>
        <w:ind w:left="311" w:right="0" w:firstLine="0"/>
        <w:jc w:val="left"/>
        <w:rPr>
          <w:sz w:val="16"/>
        </w:rPr>
      </w:pPr>
      <w:r>
        <w:rPr>
          <w:sz w:val="16"/>
        </w:rPr>
        <w:t>储能逆</w:t>
      </w:r>
      <w:r>
        <w:rPr>
          <w:spacing w:val="-3"/>
          <w:sz w:val="16"/>
        </w:rPr>
        <w:t>变</w:t>
      </w:r>
      <w:r>
        <w:rPr>
          <w:sz w:val="16"/>
        </w:rPr>
        <w:t>器</w:t>
        <w:tab/>
        <w:t>并网逆</w:t>
      </w:r>
      <w:r>
        <w:rPr>
          <w:spacing w:val="-3"/>
          <w:sz w:val="16"/>
        </w:rPr>
        <w:t>变</w:t>
      </w:r>
      <w:r>
        <w:rPr>
          <w:spacing w:val="-19"/>
          <w:sz w:val="16"/>
        </w:rPr>
        <w:t>器</w:t>
      </w:r>
    </w:p>
    <w:p>
      <w:pPr>
        <w:pStyle w:val="BodyText"/>
        <w:spacing w:before="5"/>
        <w:rPr>
          <w:sz w:val="12"/>
        </w:rPr>
      </w:pPr>
      <w:r>
        <w:br w:type="column"/>
      </w:r>
    </w:p>
    <w:p>
      <w:pPr>
        <w:spacing w:before="0"/>
        <w:ind w:left="587" w:right="0" w:firstLine="0"/>
        <w:jc w:val="left"/>
        <w:rPr>
          <w:rFonts w:ascii="Calibri"/>
          <w:sz w:val="16"/>
        </w:rPr>
      </w:pPr>
      <w:r>
        <w:rPr>
          <w:rFonts w:ascii="Calibri"/>
          <w:sz w:val="16"/>
        </w:rPr>
        <w:t>0.0%</w:t>
      </w:r>
    </w:p>
    <w:p>
      <w:pPr>
        <w:spacing w:after="0"/>
        <w:jc w:val="left"/>
        <w:rPr>
          <w:rFonts w:ascii="Calibri"/>
          <w:sz w:val="16"/>
        </w:rPr>
        <w:sectPr>
          <w:headerReference w:type="default" r:id="rId58"/>
          <w:footerReference w:type="default" r:id="rId59"/>
          <w:type w:val="continuous"/>
          <w:pgSz w:w="12240" w:h="15840"/>
          <w:pgMar w:top="1500" w:right="0" w:bottom="280" w:left="0" w:header="708" w:footer="708"/>
          <w:pgNumType w:start="20"/>
          <w:cols w:num="3" w:space="708" w:equalWidth="0">
            <w:col w:w="3112" w:space="40"/>
            <w:col w:w="2876" w:space="39"/>
            <w:col w:w="6173" w:space="0"/>
          </w:cols>
        </w:sectPr>
      </w:pPr>
    </w:p>
    <w:p>
      <w:pPr>
        <w:pStyle w:val="BodyText"/>
        <w:spacing w:before="8"/>
        <w:rPr>
          <w:rFonts w:ascii="Calibri"/>
          <w:sz w:val="27"/>
        </w:rPr>
      </w:pPr>
    </w:p>
    <w:p>
      <w:pPr>
        <w:pStyle w:val="Heading2"/>
      </w:pPr>
      <w:bookmarkStart w:id="4" w:name="_TOC_250014"/>
      <w:r>
        <w:rPr>
          <w:color w:val="59A1AE"/>
        </w:rPr>
        <w:t>需求端</w:t>
      </w:r>
      <w:r>
        <w:rPr>
          <w:rFonts w:ascii="Calibri" w:eastAsia="Calibri"/>
          <w:color w:val="59A1AE"/>
        </w:rPr>
        <w:t xml:space="preserve">#3: </w:t>
      </w:r>
      <w:bookmarkEnd w:id="4"/>
      <w:r>
        <w:rPr>
          <w:color w:val="59A1AE"/>
        </w:rPr>
        <w:t>逆变器寿命远短于组件，存量替换需求逐步起量</w:t>
      </w:r>
    </w:p>
    <w:p>
      <w:pPr>
        <w:pStyle w:val="BodyText"/>
        <w:spacing w:before="75"/>
        <w:ind w:left="1151"/>
        <w:rPr>
          <w:rFonts w:ascii="Calibri" w:eastAsia="Calibri"/>
        </w:rPr>
      </w:pPr>
      <w:r>
        <w:rPr>
          <w:color w:val="262626"/>
        </w:rPr>
        <w:t>我们认为逆变器有以下特殊因素，存量替换需求的增长可观</w:t>
      </w:r>
      <w:r>
        <w:rPr>
          <w:rFonts w:ascii="Calibri" w:eastAsia="Calibri"/>
          <w:color w:val="262626"/>
        </w:rPr>
        <w:t>:</w:t>
      </w:r>
    </w:p>
    <w:p>
      <w:pPr>
        <w:pStyle w:val="ListParagraph"/>
        <w:numPr>
          <w:ilvl w:val="0"/>
          <w:numId w:val="3"/>
        </w:numPr>
        <w:tabs>
          <w:tab w:val="left" w:pos="1630"/>
          <w:tab w:val="left" w:pos="1632"/>
        </w:tabs>
        <w:spacing w:before="151" w:after="0" w:line="255" w:lineRule="exact"/>
        <w:ind w:left="1631" w:right="0" w:hanging="481"/>
        <w:jc w:val="left"/>
        <w:rPr>
          <w:sz w:val="21"/>
        </w:rPr>
      </w:pPr>
      <w:r>
        <w:rPr>
          <w:color w:val="262626"/>
          <w:sz w:val="21"/>
        </w:rPr>
        <w:t>作为电气设备，逆变器的使用寿命在</w:t>
      </w:r>
      <w:r>
        <w:rPr>
          <w:rFonts w:ascii="Calibri" w:eastAsia="Calibri"/>
          <w:color w:val="262626"/>
          <w:sz w:val="21"/>
        </w:rPr>
        <w:t>10-15</w:t>
      </w:r>
      <w:r>
        <w:rPr>
          <w:color w:val="262626"/>
          <w:sz w:val="21"/>
        </w:rPr>
        <w:t>年，远短于光伏组件的</w:t>
      </w:r>
      <w:r>
        <w:rPr>
          <w:rFonts w:ascii="Calibri" w:eastAsia="Calibri"/>
          <w:color w:val="262626"/>
          <w:sz w:val="21"/>
        </w:rPr>
        <w:t>25-30</w:t>
      </w:r>
      <w:r>
        <w:rPr>
          <w:color w:val="262626"/>
          <w:sz w:val="21"/>
        </w:rPr>
        <w:t>年</w:t>
      </w:r>
    </w:p>
    <w:p>
      <w:pPr>
        <w:pStyle w:val="BodyText"/>
        <w:spacing w:line="255" w:lineRule="exact"/>
        <w:ind w:left="1631"/>
      </w:pPr>
      <w:r>
        <w:rPr>
          <w:color w:val="262626"/>
        </w:rPr>
        <w:t>，这意味着十年前建成的存量光伏项目将逐步更换逆变器。</w:t>
      </w:r>
    </w:p>
    <w:p>
      <w:pPr>
        <w:pStyle w:val="ListParagraph"/>
        <w:numPr>
          <w:ilvl w:val="0"/>
          <w:numId w:val="3"/>
        </w:numPr>
        <w:tabs>
          <w:tab w:val="left" w:pos="1630"/>
          <w:tab w:val="left" w:pos="1632"/>
        </w:tabs>
        <w:spacing w:before="174" w:after="0" w:line="213" w:lineRule="auto"/>
        <w:ind w:left="1631" w:right="3912" w:hanging="480"/>
        <w:jc w:val="left"/>
        <w:rPr>
          <w:sz w:val="21"/>
        </w:rPr>
      </w:pPr>
      <w:r>
        <w:rPr>
          <w:color w:val="262626"/>
          <w:spacing w:val="5"/>
          <w:sz w:val="21"/>
        </w:rPr>
        <w:t>在售价下行的局面下，维护成本更容易超过更新替代的成本，也可能会</w:t>
      </w:r>
      <w:r>
        <w:rPr>
          <w:color w:val="262626"/>
          <w:sz w:val="21"/>
        </w:rPr>
        <w:t>促使更新替代的需求。</w:t>
      </w:r>
    </w:p>
    <w:p>
      <w:pPr>
        <w:pStyle w:val="BodyText"/>
        <w:spacing w:before="2"/>
        <w:rPr>
          <w:sz w:val="14"/>
        </w:rPr>
      </w:pPr>
    </w:p>
    <w:p>
      <w:pPr>
        <w:pStyle w:val="ListParagraph"/>
        <w:numPr>
          <w:ilvl w:val="0"/>
          <w:numId w:val="3"/>
        </w:numPr>
        <w:tabs>
          <w:tab w:val="left" w:pos="1630"/>
          <w:tab w:val="left" w:pos="1632"/>
        </w:tabs>
        <w:spacing w:before="0" w:after="0" w:line="213" w:lineRule="auto"/>
        <w:ind w:left="1631" w:right="3912" w:hanging="480"/>
        <w:jc w:val="left"/>
        <w:rPr>
          <w:sz w:val="21"/>
        </w:rPr>
      </w:pPr>
      <w:r>
        <w:rPr>
          <w:color w:val="262626"/>
          <w:spacing w:val="5"/>
          <w:sz w:val="21"/>
        </w:rPr>
        <w:t>遇有政策或法规要求或更新，需要运营商提高对电网互联能力、效率要</w:t>
      </w:r>
      <w:r>
        <w:rPr>
          <w:color w:val="262626"/>
          <w:sz w:val="21"/>
        </w:rPr>
        <w:t>求或响应能力时，旧有逆变器无法满足要求下，亦将引发替换需求。</w:t>
      </w:r>
    </w:p>
    <w:p>
      <w:pPr>
        <w:pStyle w:val="BodyText"/>
        <w:spacing w:before="1"/>
        <w:rPr>
          <w:sz w:val="14"/>
        </w:rPr>
      </w:pPr>
    </w:p>
    <w:p>
      <w:pPr>
        <w:pStyle w:val="BodyText"/>
        <w:spacing w:before="1" w:line="213" w:lineRule="auto"/>
        <w:ind w:left="1151" w:right="3910"/>
        <w:jc w:val="both"/>
      </w:pPr>
      <w:r>
        <w:pict>
          <v:line id="_x0000_s1206" style="mso-position-horizontal-relative:page;position:absolute;z-index:-251627520" from="236.7pt,23.8pt" to="236.7pt,35.8pt" stroked="t" strokecolor="white" strokeweight="2.37pt">
            <v:stroke dashstyle="solid"/>
          </v:line>
        </w:pict>
      </w:r>
      <w:r>
        <w:rPr>
          <w:color w:val="262626"/>
          <w:spacing w:val="-1"/>
        </w:rPr>
        <w:t>随着光伏累计装机规模不断增大，存量项目逆变器替换逐渐成为市场需求的重</w:t>
      </w:r>
      <w:r>
        <w:rPr>
          <w:color w:val="262626"/>
          <w:spacing w:val="-5"/>
        </w:rPr>
        <w:t xml:space="preserve">要组成部分。据 </w:t>
      </w:r>
      <w:r>
        <w:rPr>
          <w:rFonts w:ascii="Calibri" w:eastAsia="Calibri"/>
          <w:color w:val="262626"/>
        </w:rPr>
        <w:t>IHS Markit</w:t>
      </w:r>
      <w:r>
        <w:rPr>
          <w:color w:val="262626"/>
        </w:rPr>
        <w:t>预测，到</w:t>
      </w:r>
      <w:r>
        <w:rPr>
          <w:rFonts w:ascii="Calibri" w:eastAsia="Calibri"/>
          <w:color w:val="262626"/>
        </w:rPr>
        <w:t>2024</w:t>
      </w:r>
      <w:r>
        <w:rPr>
          <w:color w:val="262626"/>
          <w:spacing w:val="1"/>
        </w:rPr>
        <w:t>年将有</w:t>
      </w:r>
      <w:r>
        <w:rPr>
          <w:rFonts w:ascii="Calibri" w:eastAsia="Calibri"/>
          <w:color w:val="262626"/>
        </w:rPr>
        <w:t xml:space="preserve">176GW </w:t>
      </w:r>
      <w:r>
        <w:rPr>
          <w:color w:val="262626"/>
        </w:rPr>
        <w:t>的光伏逆变器使用寿命</w:t>
      </w:r>
      <w:r>
        <w:rPr>
          <w:color w:val="262626"/>
          <w:spacing w:val="-1"/>
        </w:rPr>
        <w:t>超过十年，预计总替换成本规模接近</w:t>
      </w:r>
      <w:r>
        <w:rPr>
          <w:rFonts w:ascii="Calibri" w:eastAsia="Calibri"/>
          <w:color w:val="262626"/>
        </w:rPr>
        <w:t xml:space="preserve">12 </w:t>
      </w:r>
      <w:r>
        <w:rPr>
          <w:color w:val="262626"/>
          <w:spacing w:val="-1"/>
        </w:rPr>
        <w:t>亿美元。我们简单推算，若假设更换周</w:t>
      </w:r>
      <w:r>
        <w:rPr>
          <w:color w:val="262626"/>
          <w:spacing w:val="-4"/>
        </w:rPr>
        <w:t>期为</w:t>
      </w:r>
      <w:r>
        <w:rPr>
          <w:rFonts w:ascii="Calibri" w:eastAsia="Calibri"/>
          <w:color w:val="262626"/>
        </w:rPr>
        <w:t>10</w:t>
      </w:r>
      <w:r>
        <w:rPr>
          <w:color w:val="262626"/>
          <w:spacing w:val="-3"/>
        </w:rPr>
        <w:t>年，则</w:t>
      </w:r>
      <w:r>
        <w:rPr>
          <w:rFonts w:ascii="Calibri" w:eastAsia="Calibri"/>
          <w:color w:val="262626"/>
        </w:rPr>
        <w:t>2023</w:t>
      </w:r>
      <w:r>
        <w:rPr>
          <w:color w:val="262626"/>
          <w:spacing w:val="-1"/>
        </w:rPr>
        <w:t>年替换需求已达到</w:t>
      </w:r>
      <w:r>
        <w:rPr>
          <w:rFonts w:ascii="Calibri" w:eastAsia="Calibri"/>
          <w:color w:val="262626"/>
        </w:rPr>
        <w:t>38GW</w:t>
      </w:r>
      <w:r>
        <w:rPr>
          <w:color w:val="262626"/>
          <w:spacing w:val="-1"/>
        </w:rPr>
        <w:t>，占年新增装机超</w:t>
      </w:r>
      <w:r>
        <w:rPr>
          <w:rFonts w:ascii="Calibri" w:eastAsia="Calibri"/>
          <w:color w:val="262626"/>
        </w:rPr>
        <w:t>10%</w:t>
      </w:r>
      <w:r>
        <w:rPr>
          <w:color w:val="262626"/>
          <w:spacing w:val="-3"/>
        </w:rPr>
        <w:t>。我们认为替</w:t>
      </w:r>
      <w:r>
        <w:rPr>
          <w:color w:val="262626"/>
        </w:rPr>
        <w:t>换需求将推动并网逆变器需求持续明显超出光伏新增装机。</w:t>
      </w:r>
    </w:p>
    <w:p>
      <w:pPr>
        <w:pStyle w:val="BodyText"/>
        <w:spacing w:before="10"/>
        <w:rPr>
          <w:sz w:val="15"/>
        </w:rPr>
      </w:pPr>
    </w:p>
    <w:p>
      <w:pPr>
        <w:pStyle w:val="Heading3"/>
        <w:spacing w:before="1"/>
      </w:pPr>
      <w:r>
        <w:rPr>
          <w:color w:val="262626"/>
        </w:rPr>
        <w:t>图表</w:t>
      </w:r>
      <w:r>
        <w:rPr>
          <w:rFonts w:ascii="Calibri" w:eastAsia="Calibri"/>
        </w:rPr>
        <w:t xml:space="preserve">13: </w:t>
      </w:r>
      <w:r>
        <w:t>并网</w:t>
      </w:r>
      <w:r>
        <w:rPr>
          <w:color w:val="262626"/>
        </w:rPr>
        <w:t>逆变器全球替换需求测算（吉瓦）</w:t>
      </w:r>
    </w:p>
    <w:p>
      <w:pPr>
        <w:pStyle w:val="BodyText"/>
        <w:spacing w:line="20" w:lineRule="exact"/>
        <w:ind w:left="1143"/>
        <w:rPr>
          <w:rFonts w:ascii="Microsoft JhengHei"/>
          <w:sz w:val="2"/>
        </w:rPr>
      </w:pPr>
      <w:r>
        <w:rPr>
          <w:rFonts w:ascii="Microsoft JhengHei"/>
          <w:sz w:val="2"/>
        </w:rPr>
        <w:pict>
          <v:group id="_x0000_i1207" style="width:357.2pt;height:0.75pt;mso-position-horizontal-relative:char;mso-position-vertical-relative:line" coordorigin="0,0" coordsize="7144,15">
            <v:line id="_x0000_s1208" style="position:absolute" from="0,8" to="7144,8" stroked="t" strokecolor="black" strokeweight="0.75pt">
              <v:stroke dashstyle="solid"/>
            </v:line>
            <w10:wrap type="none"/>
          </v:group>
        </w:pict>
      </w:r>
    </w:p>
    <w:p>
      <w:pPr>
        <w:spacing w:before="95"/>
        <w:ind w:left="0" w:right="9605" w:firstLine="0"/>
        <w:jc w:val="right"/>
        <w:rPr>
          <w:rFonts w:ascii="Calibri"/>
          <w:sz w:val="16"/>
        </w:rPr>
      </w:pPr>
      <w:r>
        <w:pict>
          <v:group id="_x0000_s1209" style="width:211pt;height:103.75pt;margin-top:9.71pt;margin-left:136.37pt;mso-position-horizontal-relative:page;position:absolute;z-index:251691008" coordorigin="2727,194" coordsize="4220,2075">
            <v:shape id="_x0000_s1210" style="width:4160;height:2;left:2780;position:absolute;top:1928" coordorigin="2780,1928" coordsize="4160,0" path="m6836,1928l6939,1928m6421,1928l6627,1928m6003,1928l6212,1928m5588,1928l5797,1928m5171,1928l5379,1928m4755,1928l4964,1928m4340,1928l4547,1928m3923,1928l4131,1928m3507,1928l3716,1928m3092,1928l3299,1928m2780,1928l2883,1928e" filled="f" stroked="t" strokecolor="#d8d8d8" strokeweight="0.72pt">
              <v:stroke dashstyle="solid"/>
              <v:path arrowok="t"/>
            </v:shape>
            <v:shape id="_x0000_s1211" style="width:624;height:461;left:2883;position:absolute;top:1755" coordorigin="2883,1756" coordsize="624,461" path="m3092,1782l2883,1782,2883,2216,3092,2216,3092,1782m3507,1756l3299,1756,3299,2216,3507,2216,3507,1756e" filled="t" fillcolor="#bcdadf" stroked="f">
              <v:fill type="solid"/>
              <v:path arrowok="t"/>
            </v:shape>
            <v:line id="_x0000_s1212" style="position:absolute" from="2780,1641" to="4131,1641" stroked="t" strokecolor="#d8d8d8" strokeweight="0.72pt">
              <v:stroke dashstyle="solid"/>
            </v:line>
            <v:rect id="_x0000_s1213" style="width:207;height:552;left:3716;position:absolute;top:1664" filled="t" fillcolor="#bcdadf" stroked="f">
              <v:fill type="solid"/>
            </v:rect>
            <v:line id="_x0000_s1214" style="position:absolute" from="4340,1641" to="4547,1641" stroked="t" strokecolor="#d8d8d8" strokeweight="0.72pt">
              <v:stroke dashstyle="solid"/>
            </v:line>
            <v:rect id="_x0000_s1215" style="width:209;height:619;left:4131;position:absolute;top:1597" filled="t" fillcolor="#bcdadf" stroked="f">
              <v:fill type="solid"/>
            </v:rect>
            <v:line id="_x0000_s1216" style="position:absolute" from="4755,1641" to="4964,1641" stroked="t" strokecolor="#d8d8d8" strokeweight="0.72pt">
              <v:stroke dashstyle="solid"/>
            </v:line>
            <v:rect id="_x0000_s1217" style="width:209;height:763;left:4546;position:absolute;top:1453" filled="t" fillcolor="#bcdadf" stroked="f">
              <v:fill type="solid"/>
            </v:rect>
            <v:shape id="_x0000_s1218" style="width:2600;height:288;left:2780;position:absolute;top:1352" coordorigin="2780,1353" coordsize="2600,288" path="m5171,1641l5379,1641m5171,1353l5379,1353m2780,1353l4964,1353e" filled="f" stroked="t" strokecolor="#d8d8d8" strokeweight="0.72pt">
              <v:stroke dashstyle="solid"/>
              <v:path arrowok="t"/>
            </v:shape>
            <v:rect id="_x0000_s1219" style="width:207;height:1051;left:4964;position:absolute;top:1165" filled="t" fillcolor="#bcdadf" stroked="f">
              <v:fill type="solid"/>
            </v:rect>
            <v:shape id="_x0000_s1220" style="width:3017;height:864;left:2780;position:absolute;top:777" coordorigin="2780,777" coordsize="3017,864" path="m5588,1641l5797,1641m5588,1353l5797,1353m5588,1065l5797,1065m2780,1065l5379,1065m5588,777l5797,777m2780,777l5379,777e" filled="f" stroked="t" strokecolor="#d8d8d8" strokeweight="0.72pt">
              <v:stroke dashstyle="solid"/>
              <v:path arrowok="t"/>
            </v:shape>
            <v:rect id="_x0000_s1221" style="width:209;height:1468;left:5379;position:absolute;top:748" filled="t" fillcolor="#bcdadf" stroked="f">
              <v:fill type="solid"/>
            </v:rect>
            <v:shape id="_x0000_s1222" style="width:209;height:864;left:6003;position:absolute;top:777" coordorigin="6003,777" coordsize="209,864" path="m6003,1641l6212,1641m6003,1353l6212,1353m6003,1065l6212,1065m6003,777l6212,777e" filled="f" stroked="t" strokecolor="#d8d8d8" strokeweight="0.72pt">
              <v:stroke dashstyle="solid"/>
              <v:path arrowok="t"/>
            </v:shape>
            <v:rect id="_x0000_s1223" style="width:207;height:1526;left:5797;position:absolute;top:690" filled="t" fillcolor="#bcdadf" stroked="f">
              <v:fill type="solid"/>
            </v:rect>
            <v:shape id="_x0000_s1224" style="width:3848;height:1152;left:2780;position:absolute;top:489" coordorigin="2780,489" coordsize="3848,1152" path="m6421,1641l6627,1641m6421,1353l6627,1353m6421,1065l6627,1065m6421,777l6627,777m2780,489l6627,489e" filled="f" stroked="t" strokecolor="#d8d8d8" strokeweight="0.72pt">
              <v:stroke dashstyle="solid"/>
              <v:path arrowok="t"/>
            </v:shape>
            <v:rect id="_x0000_s1225" style="width:209;height:1655;left:6212;position:absolute;top:561" filled="t" fillcolor="#bcdadf" stroked="f">
              <v:fill type="solid"/>
            </v:rect>
            <v:shape id="_x0000_s1226" style="width:104;height:1152;left:6836;position:absolute;top:489" coordorigin="6836,489" coordsize="104,1152" path="m6836,1641l6939,1641m6836,1353l6939,1353m6836,1065l6939,1065m6836,777l6939,777m6836,489l6939,489e" filled="f" stroked="t" strokecolor="#d8d8d8" strokeweight="0.72pt">
              <v:stroke dashstyle="solid"/>
              <v:path arrowok="t"/>
            </v:shape>
            <v:rect id="_x0000_s1227" style="width:209;height:1871;left:6627;position:absolute;top:345" filled="t" fillcolor="#bcdadf" stroked="f">
              <v:fill type="solid"/>
            </v:rect>
            <v:line id="_x0000_s1228" style="position:absolute" from="2780,201" to="6939,201" stroked="t" strokecolor="#d8d8d8" strokeweight="0.72pt">
              <v:stroke dashstyle="solid"/>
            </v:line>
            <v:line id="_x0000_s1229" style="position:absolute" from="2780,2216" to="2780,201" stroked="t" strokecolor="#a5a5a5" strokeweight="0.72pt">
              <v:stroke dashstyle="solid"/>
            </v:line>
            <v:shape id="_x0000_s1230" style="width:223578;height:8536580;position:absolute;top:-8531710" coordorigin="0,-8531709" coordsize="223578,8536580" path="m2727,2216l2780,2216m2727,1928l2780,1928m2727,1641l2780,1641m2727,1353l2780,1353m2727,1065l2780,1065m2727,777l2780,777m2727,489l2780,489m2727,201l2780,201e" filled="f" stroked="t" strokecolor="#a5a5a5" strokeweight="0.72pt">
              <v:stroke dashstyle="solid"/>
              <v:path arrowok="t"/>
            </v:shape>
            <v:shape id="_x0000_s1231" style="width:17611780;height:223578;position:absolute;top:-218708" coordorigin="0,-218707" coordsize="17611780,223578" path="m2780,2216l6939,2216m2780,2216l2780,2269m3195,2216l3195,2269m3611,2216l3611,2269m4028,2216l4028,2269m4443,2216l4443,2269m4859,2216l4859,2269m5276,2216l5276,2269m5691,2216l5691,2269m6109,2216l6109,2269m6524,2216l6524,2269m6939,2216l6939,2269e" filled="f" stroked="t" strokecolor="#a5a5a5" strokeweight="0.72pt">
              <v:stroke dashstyle="solid"/>
              <v:path arrowok="t"/>
            </v:shape>
          </v:group>
        </w:pict>
      </w:r>
      <w:r>
        <w:rPr>
          <w:rFonts w:ascii="Calibri"/>
          <w:spacing w:val="-1"/>
          <w:sz w:val="16"/>
        </w:rPr>
        <w:t>140</w:t>
      </w:r>
    </w:p>
    <w:p>
      <w:pPr>
        <w:spacing w:before="92"/>
        <w:ind w:left="0" w:right="9605" w:firstLine="0"/>
        <w:jc w:val="right"/>
        <w:rPr>
          <w:rFonts w:ascii="Calibri"/>
          <w:sz w:val="16"/>
        </w:rPr>
      </w:pPr>
      <w:r>
        <w:rPr>
          <w:rFonts w:ascii="Calibri"/>
          <w:spacing w:val="-1"/>
          <w:sz w:val="16"/>
        </w:rPr>
        <w:t>120</w:t>
      </w:r>
    </w:p>
    <w:p>
      <w:pPr>
        <w:spacing w:before="93"/>
        <w:ind w:left="0" w:right="9605" w:firstLine="0"/>
        <w:jc w:val="right"/>
        <w:rPr>
          <w:rFonts w:ascii="Calibri"/>
          <w:sz w:val="16"/>
        </w:rPr>
      </w:pPr>
      <w:r>
        <w:rPr>
          <w:rFonts w:ascii="Calibri"/>
          <w:spacing w:val="-1"/>
          <w:sz w:val="16"/>
        </w:rPr>
        <w:t>100</w:t>
      </w:r>
    </w:p>
    <w:p>
      <w:pPr>
        <w:spacing w:before="92"/>
        <w:ind w:left="0" w:right="9606" w:firstLine="0"/>
        <w:jc w:val="right"/>
        <w:rPr>
          <w:rFonts w:ascii="Calibri"/>
          <w:sz w:val="16"/>
        </w:rPr>
      </w:pPr>
      <w:r>
        <w:rPr>
          <w:rFonts w:ascii="Calibri"/>
          <w:spacing w:val="-1"/>
          <w:sz w:val="16"/>
        </w:rPr>
        <w:t>80</w:t>
      </w:r>
    </w:p>
    <w:p>
      <w:pPr>
        <w:spacing w:before="93"/>
        <w:ind w:left="0" w:right="9606" w:firstLine="0"/>
        <w:jc w:val="right"/>
        <w:rPr>
          <w:rFonts w:ascii="Calibri"/>
          <w:sz w:val="16"/>
        </w:rPr>
      </w:pPr>
      <w:r>
        <w:rPr>
          <w:rFonts w:ascii="Calibri"/>
          <w:spacing w:val="-1"/>
          <w:sz w:val="16"/>
        </w:rPr>
        <w:t>60</w:t>
      </w:r>
    </w:p>
    <w:p>
      <w:pPr>
        <w:spacing w:before="92"/>
        <w:ind w:left="0" w:right="9606" w:firstLine="0"/>
        <w:jc w:val="right"/>
        <w:rPr>
          <w:rFonts w:ascii="Calibri"/>
          <w:sz w:val="16"/>
        </w:rPr>
      </w:pPr>
      <w:r>
        <w:rPr>
          <w:rFonts w:ascii="Calibri"/>
          <w:spacing w:val="-1"/>
          <w:sz w:val="16"/>
        </w:rPr>
        <w:t>40</w:t>
      </w:r>
    </w:p>
    <w:p>
      <w:pPr>
        <w:spacing w:before="93"/>
        <w:ind w:left="0" w:right="9606" w:firstLine="0"/>
        <w:jc w:val="right"/>
        <w:rPr>
          <w:rFonts w:ascii="Calibri"/>
          <w:sz w:val="16"/>
        </w:rPr>
      </w:pPr>
      <w:r>
        <w:rPr>
          <w:rFonts w:ascii="Calibri"/>
          <w:spacing w:val="-1"/>
          <w:sz w:val="16"/>
        </w:rPr>
        <w:t>20</w:t>
      </w:r>
    </w:p>
    <w:p>
      <w:pPr>
        <w:spacing w:before="92"/>
        <w:ind w:left="0" w:right="9606" w:firstLine="0"/>
        <w:jc w:val="right"/>
        <w:rPr>
          <w:rFonts w:ascii="Calibri"/>
          <w:sz w:val="16"/>
        </w:rPr>
      </w:pPr>
      <w:r>
        <w:pict>
          <v:shape id="_x0000_s1232" type="#_x0000_t202" style="width:10.05pt;height:18.2pt;margin-top:14.08pt;margin-left:145.01pt;mso-position-horizontal-relative:page;position:absolute;z-index:251692032"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2021</w:t>
                  </w:r>
                </w:p>
              </w:txbxContent>
            </v:textbox>
          </v:shape>
        </w:pict>
      </w:r>
      <w:r>
        <w:pict>
          <v:shape id="_x0000_s1233" type="#_x0000_t202" style="width:10.05pt;height:18.2pt;margin-top:14.08pt;margin-left:165.81pt;mso-position-horizontal-relative:page;position:absolute;z-index:251693056"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2022</w:t>
                  </w:r>
                </w:p>
              </w:txbxContent>
            </v:textbox>
          </v:shape>
        </w:pict>
      </w:r>
      <w:r>
        <w:pict>
          <v:shape id="_x0000_s1234" type="#_x0000_t202" style="width:10.05pt;height:22.15pt;margin-top:14.06pt;margin-left:186.62pt;mso-position-horizontal-relative:page;position:absolute;z-index:251694080"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2023E</w:t>
                  </w:r>
                </w:p>
              </w:txbxContent>
            </v:textbox>
          </v:shape>
        </w:pict>
      </w:r>
      <w:r>
        <w:pict>
          <v:shape id="_x0000_s1235" type="#_x0000_t202" style="width:10.05pt;height:22.15pt;margin-top:14.06pt;margin-left:207.42pt;mso-position-horizontal-relative:page;position:absolute;z-index:251695104"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2024E</w:t>
                  </w:r>
                </w:p>
              </w:txbxContent>
            </v:textbox>
          </v:shape>
        </w:pict>
      </w:r>
      <w:r>
        <w:pict>
          <v:shape id="_x0000_s1236" type="#_x0000_t202" style="width:10.05pt;height:22.15pt;margin-top:14.06pt;margin-left:228.23pt;mso-position-horizontal-relative:page;position:absolute;z-index:251696128"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2025E</w:t>
                  </w:r>
                </w:p>
              </w:txbxContent>
            </v:textbox>
          </v:shape>
        </w:pict>
      </w:r>
      <w:r>
        <w:pict>
          <v:shape id="_x0000_s1237" type="#_x0000_t202" style="width:10.05pt;height:22.15pt;margin-top:14.06pt;margin-left:249.03pt;mso-position-horizontal-relative:page;position:absolute;z-index:251697152"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2026E</w:t>
                  </w:r>
                </w:p>
              </w:txbxContent>
            </v:textbox>
          </v:shape>
        </w:pict>
      </w:r>
      <w:r>
        <w:pict>
          <v:shape id="_x0000_s1238" type="#_x0000_t202" style="width:10.05pt;height:22.15pt;margin-top:14.06pt;margin-left:269.83pt;mso-position-horizontal-relative:page;position:absolute;z-index:251698176"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2027E</w:t>
                  </w:r>
                </w:p>
              </w:txbxContent>
            </v:textbox>
          </v:shape>
        </w:pict>
      </w:r>
      <w:r>
        <w:pict>
          <v:shape id="_x0000_s1239" type="#_x0000_t202" style="width:10.05pt;height:22.15pt;margin-top:14.06pt;margin-left:290.64pt;mso-position-horizontal-relative:page;position:absolute;z-index:251699200"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2028E</w:t>
                  </w:r>
                </w:p>
              </w:txbxContent>
            </v:textbox>
          </v:shape>
        </w:pict>
      </w:r>
      <w:r>
        <w:pict>
          <v:shape id="_x0000_s1240" type="#_x0000_t202" style="width:10.05pt;height:22.15pt;margin-top:14.06pt;margin-left:311.44pt;mso-position-horizontal-relative:page;position:absolute;z-index:251700224"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2029E</w:t>
                  </w:r>
                </w:p>
              </w:txbxContent>
            </v:textbox>
          </v:shape>
        </w:pict>
      </w:r>
      <w:r>
        <w:pict>
          <v:shape id="_x0000_s1241" type="#_x0000_t202" style="width:10.05pt;height:22.15pt;margin-top:14.06pt;margin-left:332.25pt;mso-position-horizontal-relative:page;position:absolute;z-index:251701248"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2030E</w:t>
                  </w:r>
                </w:p>
              </w:txbxContent>
            </v:textbox>
          </v:shape>
        </w:pict>
      </w:r>
      <w:r>
        <w:rPr>
          <w:rFonts w:ascii="Calibri"/>
          <w:w w:val="100"/>
          <w:sz w:val="16"/>
        </w:rPr>
        <w:t>0</w:t>
      </w:r>
    </w:p>
    <w:p>
      <w:pPr>
        <w:pStyle w:val="BodyText"/>
        <w:rPr>
          <w:rFonts w:ascii="Calibri"/>
          <w:sz w:val="20"/>
        </w:rPr>
      </w:pPr>
    </w:p>
    <w:p>
      <w:pPr>
        <w:pStyle w:val="BodyText"/>
        <w:spacing w:before="8"/>
        <w:rPr>
          <w:rFonts w:ascii="Calibri"/>
          <w:sz w:val="20"/>
        </w:rPr>
      </w:pPr>
      <w:r>
        <w:pict>
          <v:shape id="_x0000_s1242" style="width:357.2pt;height:0.1pt;margin-top:14.98pt;margin-left:57.55pt;mso-position-horizontal-relative:page;mso-wrap-distance-left:0;mso-wrap-distance-right:0;position:absolute;z-index:-251626496" coordorigin="1151,300" coordsize="7144,0" path="m1151,300l8295,300e" filled="f" stroked="t" strokecolor="black" strokeweight="0.75pt">
            <v:stroke dashstyle="solid"/>
            <v:path arrowok="t"/>
            <w10:wrap type="topAndBottom"/>
          </v:shape>
        </w:pict>
      </w:r>
    </w:p>
    <w:p>
      <w:pPr>
        <w:spacing w:before="0" w:line="157" w:lineRule="exact"/>
        <w:ind w:left="1150" w:right="0" w:firstLine="0"/>
        <w:jc w:val="left"/>
        <w:rPr>
          <w:sz w:val="15"/>
        </w:rPr>
      </w:pPr>
      <w:r>
        <w:t>资料来源：中国光伏行业协会， 预测</w:t>
      </w:r>
    </w:p>
    <w:p>
      <w:pPr>
        <w:spacing w:after="0" w:line="157" w:lineRule="exact"/>
        <w:jc w:val="left"/>
        <w:rPr>
          <w:sz w:val="15"/>
        </w:rPr>
        <w:sectPr>
          <w:headerReference w:type="default" r:id="rId60"/>
          <w:footerReference w:type="default" r:id="rId61"/>
          <w:type w:val="continuous"/>
          <w:pgSz w:w="12240" w:h="15840"/>
          <w:pgMar w:top="1500" w:right="0" w:bottom="280" w:left="0" w:header="708" w:footer="708"/>
          <w:pgNumType w:start="21"/>
          <w:cols w:space="708"/>
        </w:sectPr>
      </w:pPr>
    </w:p>
    <w:p>
      <w:pPr>
        <w:pStyle w:val="BodyText"/>
        <w:rPr>
          <w:sz w:val="20"/>
        </w:rPr>
      </w:pPr>
    </w:p>
    <w:p>
      <w:pPr>
        <w:pStyle w:val="BodyText"/>
        <w:spacing w:before="10"/>
        <w:rPr>
          <w:sz w:val="22"/>
        </w:rPr>
      </w:pPr>
    </w:p>
    <w:p>
      <w:pPr>
        <w:pStyle w:val="Heading1"/>
        <w:spacing w:line="519" w:lineRule="exact"/>
      </w:pPr>
      <w:bookmarkStart w:id="5" w:name="_TOC_250013"/>
      <w:r>
        <w:rPr>
          <w:color w:val="59A1AE"/>
        </w:rPr>
        <w:t>竞争格局</w:t>
      </w:r>
      <w:r>
        <w:rPr>
          <w:rFonts w:ascii="Calibri" w:eastAsia="Calibri"/>
          <w:color w:val="59A1AE"/>
        </w:rPr>
        <w:t xml:space="preserve">: </w:t>
      </w:r>
      <w:bookmarkEnd w:id="5"/>
      <w:r>
        <w:rPr>
          <w:color w:val="59A1AE"/>
        </w:rPr>
        <w:t>中国企业优势明显，将继续抢占全球份额</w:t>
      </w:r>
    </w:p>
    <w:p>
      <w:pPr>
        <w:pStyle w:val="Heading2"/>
        <w:spacing w:before="162" w:line="240" w:lineRule="auto"/>
      </w:pPr>
      <w:bookmarkStart w:id="6" w:name="_TOC_250012"/>
      <w:r>
        <w:rPr>
          <w:color w:val="59A1AE"/>
        </w:rPr>
        <w:t>中国企业市占率达</w:t>
      </w:r>
      <w:r>
        <w:rPr>
          <w:rFonts w:ascii="Calibri" w:eastAsia="Calibri"/>
          <w:color w:val="59A1AE"/>
        </w:rPr>
        <w:t>7-8</w:t>
      </w:r>
      <w:bookmarkEnd w:id="6"/>
      <w:r>
        <w:rPr>
          <w:color w:val="59A1AE"/>
        </w:rPr>
        <w:t>成并将继续提升</w:t>
      </w:r>
    </w:p>
    <w:p>
      <w:pPr>
        <w:pStyle w:val="BodyText"/>
        <w:spacing w:before="97" w:line="232" w:lineRule="auto"/>
        <w:ind w:left="1151" w:right="3910"/>
        <w:jc w:val="both"/>
      </w:pPr>
      <w:r>
        <w:rPr>
          <w:color w:val="262626"/>
          <w:spacing w:val="-1"/>
        </w:rPr>
        <w:t>近年来內地逆变器企业努力拓展海外渠道，加速海外布局，由于产品品质基本与海外企业相当，而人工、制造成本更低，內地企业竞争优势较明显，不断在</w:t>
      </w:r>
      <w:r>
        <w:rPr>
          <w:color w:val="262626"/>
          <w:spacing w:val="4"/>
        </w:rPr>
        <w:t>海外抢占海外企业份额。据</w:t>
      </w:r>
      <w:r>
        <w:rPr>
          <w:rFonts w:ascii="Calibri" w:eastAsia="Calibri"/>
          <w:color w:val="262626"/>
        </w:rPr>
        <w:t xml:space="preserve">IHS Markit </w:t>
      </w:r>
      <w:r>
        <w:rPr>
          <w:color w:val="262626"/>
          <w:spacing w:val="2"/>
        </w:rPr>
        <w:t>统计，</w:t>
      </w:r>
      <w:r>
        <w:rPr>
          <w:rFonts w:ascii="Calibri" w:eastAsia="Calibri"/>
          <w:color w:val="262626"/>
        </w:rPr>
        <w:t>2020</w:t>
      </w:r>
      <w:r>
        <w:rPr>
          <w:color w:val="262626"/>
          <w:spacing w:val="3"/>
        </w:rPr>
        <w:t>年中国企业全球出货量占比首次超过</w:t>
      </w:r>
      <w:r>
        <w:rPr>
          <w:rFonts w:ascii="Calibri" w:eastAsia="Calibri"/>
          <w:color w:val="262626"/>
          <w:spacing w:val="3"/>
        </w:rPr>
        <w:t>50%</w:t>
      </w:r>
      <w:r>
        <w:rPr>
          <w:color w:val="262626"/>
          <w:spacing w:val="3"/>
        </w:rPr>
        <w:t>，</w:t>
      </w:r>
      <w:r>
        <w:rPr>
          <w:rFonts w:ascii="Calibri" w:eastAsia="Calibri"/>
          <w:color w:val="262626"/>
          <w:spacing w:val="3"/>
        </w:rPr>
        <w:t>2022</w:t>
      </w:r>
      <w:r>
        <w:rPr>
          <w:color w:val="262626"/>
          <w:spacing w:val="3"/>
        </w:rPr>
        <w:t>年进一步升至</w:t>
      </w:r>
      <w:r>
        <w:rPr>
          <w:rFonts w:ascii="Calibri" w:eastAsia="Calibri"/>
          <w:color w:val="262626"/>
          <w:spacing w:val="3"/>
        </w:rPr>
        <w:t>70%</w:t>
      </w:r>
      <w:r>
        <w:rPr>
          <w:color w:val="262626"/>
          <w:spacing w:val="3"/>
        </w:rPr>
        <w:t>。而据</w:t>
      </w:r>
      <w:r>
        <w:rPr>
          <w:rFonts w:ascii="Calibri" w:eastAsia="Calibri"/>
          <w:color w:val="262626"/>
          <w:spacing w:val="3"/>
        </w:rPr>
        <w:t xml:space="preserve">Wood </w:t>
      </w:r>
      <w:r>
        <w:rPr>
          <w:rFonts w:ascii="Calibri" w:eastAsia="Calibri"/>
          <w:color w:val="262626"/>
        </w:rPr>
        <w:t xml:space="preserve">Mackenzie </w:t>
      </w:r>
      <w:r>
        <w:rPr>
          <w:color w:val="262626"/>
        </w:rPr>
        <w:t>统计，</w:t>
      </w:r>
      <w:r>
        <w:rPr>
          <w:rFonts w:ascii="Calibri" w:eastAsia="Calibri"/>
          <w:color w:val="262626"/>
        </w:rPr>
        <w:t xml:space="preserve">2022 </w:t>
      </w:r>
      <w:r>
        <w:rPr>
          <w:color w:val="262626"/>
        </w:rPr>
        <w:t>年全</w:t>
      </w:r>
      <w:r>
        <w:rPr>
          <w:color w:val="262626"/>
          <w:spacing w:val="-1"/>
        </w:rPr>
        <w:t>球前十大逆变器厂商中，內地厂商占据</w:t>
      </w:r>
      <w:r>
        <w:rPr>
          <w:rFonts w:ascii="Calibri" w:eastAsia="Calibri"/>
          <w:color w:val="262626"/>
        </w:rPr>
        <w:t>8</w:t>
      </w:r>
      <w:r>
        <w:rPr>
          <w:color w:val="262626"/>
          <w:spacing w:val="-1"/>
        </w:rPr>
        <w:t>席，合计市占率达</w:t>
      </w:r>
      <w:r>
        <w:rPr>
          <w:rFonts w:ascii="Calibri" w:eastAsia="Calibri"/>
          <w:color w:val="262626"/>
        </w:rPr>
        <w:t>80%</w:t>
      </w:r>
      <w:r>
        <w:rPr>
          <w:color w:val="262626"/>
          <w:spacing w:val="-3"/>
        </w:rPr>
        <w:t>。凭借性价比优</w:t>
      </w:r>
      <w:r>
        <w:rPr>
          <w:color w:val="262626"/>
          <w:spacing w:val="-1"/>
        </w:rPr>
        <w:t>势，我们预计內地企业市占率将继续提升，并有望提升至和光伏制造绝大多数</w:t>
      </w:r>
      <w:r>
        <w:rPr>
          <w:color w:val="262626"/>
        </w:rPr>
        <w:t>环节类似的约</w:t>
      </w:r>
      <w:r>
        <w:rPr>
          <w:rFonts w:ascii="Calibri" w:eastAsia="Calibri"/>
          <w:color w:val="262626"/>
        </w:rPr>
        <w:t>9</w:t>
      </w:r>
      <w:r>
        <w:rPr>
          <w:color w:val="262626"/>
        </w:rPr>
        <w:t>成。</w:t>
      </w:r>
    </w:p>
    <w:p>
      <w:pPr>
        <w:pStyle w:val="Heading3"/>
        <w:spacing w:before="195"/>
      </w:pPr>
      <w:r>
        <w:rPr>
          <w:color w:val="262626"/>
        </w:rPr>
        <w:t>图表</w:t>
      </w:r>
      <w:r>
        <w:rPr>
          <w:rFonts w:ascii="Calibri" w:eastAsia="Calibri"/>
        </w:rPr>
        <w:t xml:space="preserve">14: </w:t>
      </w:r>
      <w:r>
        <w:t>內地逆变器企业全球出货量占比（</w:t>
      </w:r>
      <w:r>
        <w:rPr>
          <w:rFonts w:ascii="Calibri" w:eastAsia="Calibri"/>
        </w:rPr>
        <w:t>%</w:t>
      </w:r>
      <w:r>
        <w:t>）</w:t>
      </w:r>
    </w:p>
    <w:p>
      <w:pPr>
        <w:pStyle w:val="BodyText"/>
        <w:spacing w:line="20" w:lineRule="exact"/>
        <w:ind w:left="1143"/>
        <w:rPr>
          <w:rFonts w:ascii="Microsoft JhengHei"/>
          <w:sz w:val="2"/>
        </w:rPr>
      </w:pPr>
      <w:r>
        <w:rPr>
          <w:rFonts w:ascii="Microsoft JhengHei"/>
          <w:sz w:val="2"/>
        </w:rPr>
        <w:pict>
          <v:group id="_x0000_i1243" style="width:357.2pt;height:0.75pt;mso-position-horizontal-relative:char;mso-position-vertical-relative:line" coordorigin="0,0" coordsize="7144,15">
            <v:line id="_x0000_s1244" style="position:absolute" from="0,8" to="7144,8" stroked="t" strokecolor="black" strokeweight="0.75pt">
              <v:stroke dashstyle="solid"/>
            </v:line>
            <w10:wrap type="none"/>
          </v:group>
        </w:pict>
      </w:r>
    </w:p>
    <w:p>
      <w:pPr>
        <w:pStyle w:val="BodyText"/>
        <w:spacing w:before="8"/>
        <w:rPr>
          <w:rFonts w:ascii="Microsoft JhengHei"/>
          <w:b/>
          <w:sz w:val="5"/>
        </w:rPr>
      </w:pPr>
    </w:p>
    <w:p>
      <w:pPr>
        <w:spacing w:before="68"/>
        <w:ind w:left="2398" w:right="0" w:firstLine="0"/>
        <w:jc w:val="left"/>
        <w:rPr>
          <w:rFonts w:ascii="Calibri"/>
          <w:sz w:val="16"/>
        </w:rPr>
      </w:pPr>
      <w:r>
        <w:pict>
          <v:group id="_x0000_s1245" style="width:217.7pt;height:107.85pt;margin-top:8.42pt;margin-left:132.9pt;mso-position-horizontal-relative:page;position:absolute;z-index:251703296" coordorigin="2658,168" coordsize="4354,2157">
            <v:shape id="_x0000_s1246" style="width:18180880;height:7774380;position:absolute;top:-7764580" coordorigin="0,-7764580" coordsize="18180880,7774380" path="m2708,2010l7004,2010m2708,1749l7004,1749m2708,1487l7004,1487m2708,1224l7004,1224m2708,962l7004,962m2708,701l7004,701m2708,437l7004,437m2708,175l7004,175e" filled="f" stroked="t" strokecolor="#d8d8d8" strokeweight="0.72pt">
              <v:stroke dashstyle="solid"/>
              <v:path arrowok="t"/>
            </v:shape>
            <v:line id="_x0000_s1247" style="position:absolute" from="2708,2274" to="2708,176" stroked="t" strokecolor="#7e7e7e" strokeweight="0.72pt">
              <v:stroke dashstyle="solid"/>
            </v:line>
            <v:shape id="_x0000_s1248" style="width:213414;height:8892260;position:absolute;top:-8882460" coordorigin="0,-8882460" coordsize="213414,8892260" path="m2658,2274l2708,2274m2658,2010l2708,2010m2658,1749l2708,1749m2658,1487l2708,1487m2658,1224l2708,1224m2658,962l2708,962m2658,701l2708,701m2658,437l2708,437m2658,175l2708,175e" filled="f" stroked="t" strokecolor="#7e7e7e" strokeweight="0.72pt">
              <v:stroke dashstyle="solid"/>
              <v:path arrowok="t"/>
            </v:shape>
            <v:shape id="_x0000_s1249" style="width:18180880;height:213414;position:absolute;top:-203614" coordorigin="0,-203614" coordsize="18180880,213414" path="m2708,2274l7004,2274m2708,2274l2708,2325m3040,2274l3040,2325m3371,2274l3371,2325m3700,2274l3700,2325m4031,2274l4031,2325m4360,2274l4360,2325m4692,2274l4692,2325m5023,2274l5023,2325m5352,2274l5352,2325m5684,2274l5684,2325m6012,2274l6012,2325m6344,2274l6344,2325m6675,2274l6675,2325m7004,2274l7004,2325e" filled="f" stroked="t" strokecolor="#7e7e7e" strokeweight="0.72pt">
              <v:stroke dashstyle="solid"/>
              <v:path arrowok="t"/>
            </v:shape>
            <v:shape id="_x0000_s1250" style="width:3965;height:1651;left:2875;position:absolute;top:442" coordorigin="2875,443" coordsize="3965,1651" path="m2875,2093l2875,2093,3204,2055,3536,2033,3865,1846,4196,1681,4527,1342,4856,1249,5188,1035,5519,1112,5848,1045,6179,846,6508,575,6840,443e" filled="f" stroked="t" strokecolor="#1f5ea0" strokeweight="1.8pt">
              <v:stroke dashstyle="solid"/>
              <v:path arrowok="t"/>
            </v:shape>
          </v:group>
        </w:pict>
      </w:r>
      <w:r>
        <w:rPr>
          <w:rFonts w:ascii="Calibri"/>
          <w:sz w:val="16"/>
        </w:rPr>
        <w:t>80</w:t>
      </w:r>
    </w:p>
    <w:p>
      <w:pPr>
        <w:spacing w:before="67"/>
        <w:ind w:left="2398" w:right="0" w:firstLine="0"/>
        <w:jc w:val="left"/>
        <w:rPr>
          <w:rFonts w:ascii="Calibri"/>
          <w:sz w:val="16"/>
        </w:rPr>
      </w:pPr>
      <w:r>
        <w:rPr>
          <w:rFonts w:ascii="Calibri"/>
          <w:sz w:val="16"/>
        </w:rPr>
        <w:t>70</w:t>
      </w:r>
    </w:p>
    <w:p>
      <w:pPr>
        <w:spacing w:before="67"/>
        <w:ind w:left="2398" w:right="0" w:firstLine="0"/>
        <w:jc w:val="left"/>
        <w:rPr>
          <w:rFonts w:ascii="Calibri"/>
          <w:sz w:val="16"/>
        </w:rPr>
      </w:pPr>
      <w:r>
        <w:rPr>
          <w:rFonts w:ascii="Calibri"/>
          <w:sz w:val="16"/>
        </w:rPr>
        <w:t>60</w:t>
      </w:r>
    </w:p>
    <w:p>
      <w:pPr>
        <w:spacing w:before="67"/>
        <w:ind w:left="2398" w:right="0" w:firstLine="0"/>
        <w:jc w:val="left"/>
        <w:rPr>
          <w:rFonts w:ascii="Calibri"/>
          <w:sz w:val="16"/>
        </w:rPr>
      </w:pPr>
      <w:r>
        <w:rPr>
          <w:rFonts w:ascii="Calibri"/>
          <w:sz w:val="16"/>
        </w:rPr>
        <w:t>50</w:t>
      </w:r>
    </w:p>
    <w:p>
      <w:pPr>
        <w:spacing w:before="67"/>
        <w:ind w:left="2398" w:right="0" w:firstLine="0"/>
        <w:jc w:val="left"/>
        <w:rPr>
          <w:rFonts w:ascii="Calibri"/>
          <w:sz w:val="16"/>
        </w:rPr>
      </w:pPr>
      <w:r>
        <w:rPr>
          <w:rFonts w:ascii="Calibri"/>
          <w:sz w:val="16"/>
        </w:rPr>
        <w:t>40</w:t>
      </w:r>
    </w:p>
    <w:p>
      <w:pPr>
        <w:spacing w:before="67"/>
        <w:ind w:left="2398" w:right="0" w:firstLine="0"/>
        <w:jc w:val="left"/>
        <w:rPr>
          <w:rFonts w:ascii="Calibri"/>
          <w:sz w:val="16"/>
        </w:rPr>
      </w:pPr>
      <w:r>
        <w:rPr>
          <w:rFonts w:ascii="Calibri"/>
          <w:sz w:val="16"/>
        </w:rPr>
        <w:t>30</w:t>
      </w:r>
    </w:p>
    <w:p>
      <w:pPr>
        <w:spacing w:before="67"/>
        <w:ind w:left="2398" w:right="0" w:firstLine="0"/>
        <w:jc w:val="left"/>
        <w:rPr>
          <w:rFonts w:ascii="Calibri"/>
          <w:sz w:val="16"/>
        </w:rPr>
      </w:pPr>
      <w:r>
        <w:rPr>
          <w:rFonts w:ascii="Calibri"/>
          <w:sz w:val="16"/>
        </w:rPr>
        <w:t>20</w:t>
      </w:r>
    </w:p>
    <w:p>
      <w:pPr>
        <w:spacing w:before="67"/>
        <w:ind w:left="2398" w:right="0" w:firstLine="0"/>
        <w:jc w:val="left"/>
        <w:rPr>
          <w:rFonts w:ascii="Calibri"/>
          <w:sz w:val="16"/>
        </w:rPr>
      </w:pPr>
      <w:r>
        <w:rPr>
          <w:rFonts w:ascii="Calibri"/>
          <w:sz w:val="16"/>
        </w:rPr>
        <w:t>10</w:t>
      </w:r>
    </w:p>
    <w:p>
      <w:pPr>
        <w:spacing w:before="67"/>
        <w:ind w:left="2479" w:right="0" w:firstLine="0"/>
        <w:jc w:val="left"/>
        <w:rPr>
          <w:rFonts w:ascii="Calibri"/>
          <w:sz w:val="16"/>
        </w:rPr>
      </w:pPr>
      <w:r>
        <w:pict>
          <v:shape id="_x0000_s1251" type="#_x0000_t202" style="width:10.05pt;height:18.2pt;margin-top:12.83pt;margin-left:139.37pt;mso-position-horizontal-relative:page;position:absolute;z-index:251704320"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2010</w:t>
                  </w:r>
                </w:p>
              </w:txbxContent>
            </v:textbox>
          </v:shape>
        </w:pict>
      </w:r>
      <w:r>
        <w:pict>
          <v:shape id="_x0000_s1252" type="#_x0000_t202" style="width:10.05pt;height:18.2pt;margin-top:12.83pt;margin-left:155.89pt;mso-position-horizontal-relative:page;position:absolute;z-index:251705344"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2011</w:t>
                  </w:r>
                </w:p>
              </w:txbxContent>
            </v:textbox>
          </v:shape>
        </w:pict>
      </w:r>
      <w:r>
        <w:pict>
          <v:shape id="_x0000_s1253" type="#_x0000_t202" style="width:10.05pt;height:18.2pt;margin-top:12.83pt;margin-left:172.41pt;mso-position-horizontal-relative:page;position:absolute;z-index:251706368"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2012</w:t>
                  </w:r>
                </w:p>
              </w:txbxContent>
            </v:textbox>
          </v:shape>
        </w:pict>
      </w:r>
      <w:r>
        <w:pict>
          <v:shape id="_x0000_s1254" type="#_x0000_t202" style="width:10.05pt;height:18.2pt;margin-top:12.83pt;margin-left:188.93pt;mso-position-horizontal-relative:page;position:absolute;z-index:251707392"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2013</w:t>
                  </w:r>
                </w:p>
              </w:txbxContent>
            </v:textbox>
          </v:shape>
        </w:pict>
      </w:r>
      <w:r>
        <w:pict>
          <v:shape id="_x0000_s1255" type="#_x0000_t202" style="width:10.05pt;height:18.2pt;margin-top:12.83pt;margin-left:205.46pt;mso-position-horizontal-relative:page;position:absolute;z-index:251708416"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2014</w:t>
                  </w:r>
                </w:p>
              </w:txbxContent>
            </v:textbox>
          </v:shape>
        </w:pict>
      </w:r>
      <w:r>
        <w:pict>
          <v:shape id="_x0000_s1256" type="#_x0000_t202" style="width:10.05pt;height:18.2pt;margin-top:12.83pt;margin-left:221.98pt;mso-position-horizontal-relative:page;position:absolute;z-index:251709440"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2015</w:t>
                  </w:r>
                </w:p>
              </w:txbxContent>
            </v:textbox>
          </v:shape>
        </w:pict>
      </w:r>
      <w:r>
        <w:pict>
          <v:shape id="_x0000_s1257" type="#_x0000_t202" style="width:10.05pt;height:18.2pt;margin-top:12.83pt;margin-left:238.5pt;mso-position-horizontal-relative:page;position:absolute;z-index:251710464"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2016</w:t>
                  </w:r>
                </w:p>
              </w:txbxContent>
            </v:textbox>
          </v:shape>
        </w:pict>
      </w:r>
      <w:r>
        <w:pict>
          <v:shape id="_x0000_s1258" type="#_x0000_t202" style="width:10.05pt;height:18.2pt;margin-top:12.83pt;margin-left:255.02pt;mso-position-horizontal-relative:page;position:absolute;z-index:251711488"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2017</w:t>
                  </w:r>
                </w:p>
              </w:txbxContent>
            </v:textbox>
          </v:shape>
        </w:pict>
      </w:r>
      <w:r>
        <w:pict>
          <v:shape id="_x0000_s1259" type="#_x0000_t202" style="width:10.05pt;height:18.2pt;margin-top:12.83pt;margin-left:271.54pt;mso-position-horizontal-relative:page;position:absolute;z-index:251712512"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2018</w:t>
                  </w:r>
                </w:p>
              </w:txbxContent>
            </v:textbox>
          </v:shape>
        </w:pict>
      </w:r>
      <w:r>
        <w:pict>
          <v:shape id="_x0000_s1260" type="#_x0000_t202" style="width:10.05pt;height:18.2pt;margin-top:12.83pt;margin-left:288.07pt;mso-position-horizontal-relative:page;position:absolute;z-index:251713536"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2019</w:t>
                  </w:r>
                </w:p>
              </w:txbxContent>
            </v:textbox>
          </v:shape>
        </w:pict>
      </w:r>
      <w:r>
        <w:pict>
          <v:shape id="_x0000_s1261" type="#_x0000_t202" style="width:10.05pt;height:18.2pt;margin-top:12.83pt;margin-left:304.59pt;mso-position-horizontal-relative:page;position:absolute;z-index:251714560"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2020</w:t>
                  </w:r>
                </w:p>
              </w:txbxContent>
            </v:textbox>
          </v:shape>
        </w:pict>
      </w:r>
      <w:r>
        <w:pict>
          <v:shape id="_x0000_s1262" type="#_x0000_t202" style="width:10.05pt;height:18.2pt;margin-top:12.83pt;margin-left:321.11pt;mso-position-horizontal-relative:page;position:absolute;z-index:251715584"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2021</w:t>
                  </w:r>
                </w:p>
              </w:txbxContent>
            </v:textbox>
          </v:shape>
        </w:pict>
      </w:r>
      <w:r>
        <w:pict>
          <v:shape id="_x0000_s1263" type="#_x0000_t202" style="width:10.05pt;height:18.2pt;margin-top:12.83pt;margin-left:337.63pt;mso-position-horizontal-relative:page;position:absolute;z-index:251716608" filled="f" stroked="f">
            <v:textbox style="layout-flow:vertical;mso-layout-flow-alt:bottom-to-top" inset="0,0,0,0">
              <w:txbxContent>
                <w:p>
                  <w:pPr>
                    <w:spacing w:before="0" w:line="184" w:lineRule="exact"/>
                    <w:ind w:left="20" w:right="0" w:firstLine="0"/>
                    <w:jc w:val="left"/>
                    <w:rPr>
                      <w:rFonts w:ascii="Calibri"/>
                      <w:sz w:val="16"/>
                    </w:rPr>
                  </w:pPr>
                  <w:r>
                    <w:rPr>
                      <w:rFonts w:ascii="Calibri"/>
                      <w:sz w:val="16"/>
                    </w:rPr>
                    <w:t>2022</w:t>
                  </w:r>
                </w:p>
              </w:txbxContent>
            </v:textbox>
          </v:shape>
        </w:pict>
      </w:r>
      <w:r>
        <w:rPr>
          <w:rFonts w:ascii="Calibri"/>
          <w:w w:val="100"/>
          <w:sz w:val="16"/>
        </w:rPr>
        <w:t>0</w:t>
      </w:r>
    </w:p>
    <w:p>
      <w:pPr>
        <w:pStyle w:val="BodyText"/>
        <w:spacing w:before="9"/>
        <w:rPr>
          <w:rFonts w:ascii="Calibri"/>
          <w:sz w:val="27"/>
        </w:rPr>
      </w:pPr>
      <w:r>
        <w:pict>
          <v:shape id="_x0000_s1264" style="width:357.2pt;height:0.1pt;margin-top:19.33pt;margin-left:57.55pt;mso-position-horizontal-relative:page;mso-wrap-distance-left:0;mso-wrap-distance-right:0;position:absolute;z-index:-251614208" coordorigin="1151,387" coordsize="7144,0" path="m1151,387l8295,387e" filled="f" stroked="t" strokecolor="black" strokeweight="0.75pt">
            <v:stroke dashstyle="solid"/>
            <v:path arrowok="t"/>
            <w10:wrap type="topAndBottom"/>
          </v:shape>
        </w:pict>
      </w:r>
    </w:p>
    <w:p>
      <w:pPr>
        <w:spacing w:before="0" w:line="157" w:lineRule="exact"/>
        <w:ind w:left="1150" w:right="0" w:firstLine="0"/>
        <w:jc w:val="left"/>
        <w:rPr>
          <w:sz w:val="15"/>
        </w:rPr>
      </w:pPr>
      <w:r>
        <w:t xml:space="preserve">资料来源：IHS Markit， </w:t>
      </w:r>
    </w:p>
    <w:p>
      <w:pPr>
        <w:pStyle w:val="BodyText"/>
        <w:spacing w:before="4"/>
        <w:rPr>
          <w:sz w:val="26"/>
        </w:rPr>
      </w:pPr>
    </w:p>
    <w:p>
      <w:pPr>
        <w:pStyle w:val="Heading2"/>
      </w:pPr>
      <w:bookmarkStart w:id="7" w:name="_TOC_250011"/>
      <w:bookmarkEnd w:id="7"/>
      <w:r>
        <w:rPr>
          <w:color w:val="59A1AE"/>
        </w:rPr>
        <w:t>阳光电源、华为稳居前二，其他龙头占据户用等细分市场</w:t>
      </w:r>
    </w:p>
    <w:p>
      <w:pPr>
        <w:pStyle w:val="BodyText"/>
        <w:spacing w:before="98" w:line="232" w:lineRule="auto"/>
        <w:ind w:left="1151" w:right="3913"/>
        <w:jc w:val="both"/>
      </w:pPr>
      <w:r>
        <w:rPr>
          <w:color w:val="262626"/>
        </w:rPr>
        <w:t>由于不同技术路线的逆变器的技术和应用场景存在较大差异，大多数內地企业仅生产自己擅长的一种或几种逆变器，其中户用、组串式逆变器绝大多数企业均有生产，集中式逆变器生产企业相对较少，微型逆变器由于技术门槛较高且市场较小，仅有禾迈、昱能、德业</w:t>
      </w:r>
      <w:r>
        <w:rPr>
          <w:rFonts w:ascii="Calibri" w:eastAsia="Calibri"/>
          <w:color w:val="262626"/>
        </w:rPr>
        <w:t>3</w:t>
      </w:r>
      <w:r>
        <w:rPr>
          <w:color w:val="262626"/>
        </w:rPr>
        <w:t>家企业生产。</w:t>
      </w:r>
    </w:p>
    <w:p>
      <w:pPr>
        <w:pStyle w:val="BodyText"/>
        <w:spacing w:before="176" w:line="232" w:lineRule="auto"/>
        <w:ind w:left="1151" w:right="3914"/>
        <w:jc w:val="both"/>
      </w:pPr>
      <w:r>
        <w:rPr>
          <w:color w:val="262626"/>
        </w:rPr>
        <w:t>目前</w:t>
      </w:r>
      <w:r>
        <w:rPr>
          <w:rFonts w:ascii="Calibri" w:eastAsia="Calibri"/>
          <w:color w:val="262626"/>
        </w:rPr>
        <w:t>60</w:t>
      </w:r>
      <w:r>
        <w:rPr>
          <w:color w:val="262626"/>
        </w:rPr>
        <w:t>千瓦以下的小功率组串式逆变器技术含量较低，产品同质化较为严重， 但大功率尤其是</w:t>
      </w:r>
      <w:r>
        <w:rPr>
          <w:rFonts w:ascii="Calibri" w:eastAsia="Calibri"/>
          <w:color w:val="262626"/>
        </w:rPr>
        <w:t>100</w:t>
      </w:r>
      <w:r>
        <w:rPr>
          <w:color w:val="262626"/>
        </w:rPr>
        <w:t>千瓦以上的逆变器，并非小功率产品的简单放大，具有一定技术门槛，仅有部分企业能生产。</w:t>
      </w:r>
    </w:p>
    <w:p>
      <w:pPr>
        <w:pStyle w:val="BodyText"/>
        <w:spacing w:before="177" w:line="232" w:lineRule="auto"/>
        <w:ind w:left="1151" w:right="3913"/>
        <w:jc w:val="both"/>
      </w:pPr>
      <w:r>
        <w:rPr>
          <w:color w:val="262626"/>
        </w:rPr>
        <w:t>我们预计组串式凭借性价比优势在地面电站的市占率仍有一定提升空间，在组串式上具有较强竞争力、可生产大功率组串式的企业如华为、阳光电源、固德威等将有更好的发展前景。</w:t>
      </w:r>
    </w:p>
    <w:p>
      <w:pPr>
        <w:spacing w:after="0" w:line="232" w:lineRule="auto"/>
        <w:jc w:val="both"/>
        <w:sectPr>
          <w:headerReference w:type="default" r:id="rId62"/>
          <w:footerReference w:type="default" r:id="rId63"/>
          <w:pgSz w:w="12240" w:h="15840"/>
          <w:pgMar w:top="1720" w:right="0" w:bottom="1380" w:left="0" w:header="708" w:footer="708"/>
          <w:pgNumType w:start="22"/>
          <w:cols w:space="708"/>
        </w:sectPr>
      </w:pPr>
    </w:p>
    <w:p>
      <w:pPr>
        <w:pStyle w:val="BodyText"/>
        <w:rPr>
          <w:sz w:val="20"/>
        </w:rPr>
      </w:pPr>
    </w:p>
    <w:p>
      <w:pPr>
        <w:pStyle w:val="BodyText"/>
        <w:rPr>
          <w:sz w:val="22"/>
        </w:rPr>
      </w:pPr>
    </w:p>
    <w:p>
      <w:pPr>
        <w:pStyle w:val="Heading3"/>
        <w:spacing w:line="388" w:lineRule="exact"/>
      </w:pPr>
      <w:r>
        <w:t>图表</w:t>
      </w:r>
      <w:r>
        <w:rPr>
          <w:rFonts w:ascii="Calibri" w:eastAsia="Calibri"/>
        </w:rPr>
        <w:t xml:space="preserve">15: </w:t>
      </w:r>
      <w:r>
        <w:t>內地主要逆变器企业技术路线</w:t>
      </w:r>
    </w:p>
    <w:tbl>
      <w:tblPr>
        <w:tblStyle w:val="TableNormal1"/>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8"/>
        <w:gridCol w:w="1034"/>
        <w:gridCol w:w="4084"/>
        <w:gridCol w:w="939"/>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3"/>
          <w:jc w:val="left"/>
        </w:trPr>
        <w:tc>
          <w:tcPr>
            <w:tcW w:w="1088" w:type="dxa"/>
            <w:tcBorders>
              <w:top w:val="single" w:sz="4" w:space="0" w:color="000000"/>
              <w:bottom w:val="single" w:sz="4" w:space="0" w:color="000000"/>
            </w:tcBorders>
          </w:tcPr>
          <w:p>
            <w:pPr>
              <w:pStyle w:val="TableParagraph"/>
              <w:spacing w:line="244" w:lineRule="exact"/>
              <w:ind w:left="27"/>
              <w:jc w:val="left"/>
              <w:rPr>
                <w:rFonts w:ascii="Microsoft JhengHei" w:eastAsia="Microsoft JhengHei" w:hint="eastAsia"/>
                <w:b/>
                <w:sz w:val="16"/>
              </w:rPr>
            </w:pPr>
            <w:r>
              <w:rPr>
                <w:rFonts w:ascii="Microsoft JhengHei" w:eastAsia="Microsoft JhengHei" w:hint="eastAsia"/>
                <w:b/>
                <w:sz w:val="16"/>
              </w:rPr>
              <w:t>企业</w:t>
            </w:r>
          </w:p>
        </w:tc>
        <w:tc>
          <w:tcPr>
            <w:tcW w:w="1034" w:type="dxa"/>
            <w:tcBorders>
              <w:top w:val="single" w:sz="4" w:space="0" w:color="000000"/>
              <w:bottom w:val="single" w:sz="4" w:space="0" w:color="000000"/>
            </w:tcBorders>
          </w:tcPr>
          <w:p>
            <w:pPr>
              <w:pStyle w:val="TableParagraph"/>
              <w:spacing w:line="244" w:lineRule="exact"/>
              <w:ind w:right="109"/>
              <w:rPr>
                <w:rFonts w:ascii="Microsoft JhengHei" w:eastAsia="Microsoft JhengHei" w:hint="eastAsia"/>
                <w:b/>
                <w:sz w:val="16"/>
              </w:rPr>
            </w:pPr>
            <w:r>
              <w:rPr>
                <w:rFonts w:ascii="Microsoft JhengHei" w:eastAsia="Microsoft JhengHei" w:hint="eastAsia"/>
                <w:b/>
                <w:sz w:val="16"/>
              </w:rPr>
              <w:t>代码</w:t>
            </w:r>
          </w:p>
        </w:tc>
        <w:tc>
          <w:tcPr>
            <w:tcW w:w="4084" w:type="dxa"/>
            <w:tcBorders>
              <w:top w:val="single" w:sz="4" w:space="0" w:color="000000"/>
              <w:bottom w:val="single" w:sz="4" w:space="0" w:color="000000"/>
            </w:tcBorders>
          </w:tcPr>
          <w:p>
            <w:pPr>
              <w:pStyle w:val="TableParagraph"/>
              <w:spacing w:line="244" w:lineRule="exact"/>
              <w:ind w:left="110"/>
              <w:jc w:val="left"/>
              <w:rPr>
                <w:rFonts w:ascii="Microsoft JhengHei" w:eastAsia="Microsoft JhengHei" w:hint="eastAsia"/>
                <w:b/>
                <w:sz w:val="16"/>
              </w:rPr>
            </w:pPr>
            <w:r>
              <w:rPr>
                <w:rFonts w:ascii="Microsoft JhengHei" w:eastAsia="Microsoft JhengHei" w:hint="eastAsia"/>
                <w:b/>
                <w:sz w:val="16"/>
              </w:rPr>
              <w:t>户用逆变器 组串式逆变器 集中式逆变器 集散式逆变器</w:t>
            </w:r>
          </w:p>
        </w:tc>
        <w:tc>
          <w:tcPr>
            <w:tcW w:w="939" w:type="dxa"/>
            <w:tcBorders>
              <w:top w:val="single" w:sz="4" w:space="0" w:color="000000"/>
              <w:bottom w:val="single" w:sz="4" w:space="0" w:color="000000"/>
            </w:tcBorders>
          </w:tcPr>
          <w:p>
            <w:pPr>
              <w:pStyle w:val="TableParagraph"/>
              <w:spacing w:line="244" w:lineRule="exact"/>
              <w:ind w:left="110"/>
              <w:jc w:val="left"/>
              <w:rPr>
                <w:rFonts w:ascii="Microsoft JhengHei" w:eastAsia="Microsoft JhengHei" w:hint="eastAsia"/>
                <w:b/>
                <w:sz w:val="16"/>
              </w:rPr>
            </w:pPr>
            <w:r>
              <w:rPr>
                <w:rFonts w:ascii="Microsoft JhengHei" w:eastAsia="Microsoft JhengHei" w:hint="eastAsia"/>
                <w:b/>
                <w:sz w:val="16"/>
              </w:rPr>
              <w:t>微型逆变器</w:t>
            </w:r>
          </w:p>
        </w:tc>
      </w:tr>
      <w:tr>
        <w:tblPrEx>
          <w:tblW w:w="0" w:type="auto"/>
          <w:jc w:val="left"/>
          <w:tblInd w:w="1158" w:type="dxa"/>
          <w:tblLayout w:type="fixed"/>
          <w:tblCellMar>
            <w:top w:w="0" w:type="dxa"/>
            <w:left w:w="0" w:type="dxa"/>
            <w:bottom w:w="0" w:type="dxa"/>
            <w:right w:w="0" w:type="dxa"/>
          </w:tblCellMar>
          <w:tblLook w:val="01E0"/>
        </w:tblPrEx>
        <w:trPr>
          <w:trHeight w:val="512"/>
          <w:jc w:val="left"/>
        </w:trPr>
        <w:tc>
          <w:tcPr>
            <w:tcW w:w="1088" w:type="dxa"/>
            <w:tcBorders>
              <w:top w:val="single" w:sz="4" w:space="0" w:color="000000"/>
            </w:tcBorders>
          </w:tcPr>
          <w:p>
            <w:pPr>
              <w:pStyle w:val="TableParagraph"/>
              <w:spacing w:before="12"/>
              <w:ind w:left="27"/>
              <w:jc w:val="left"/>
              <w:rPr>
                <w:rFonts w:ascii="宋体" w:eastAsia="宋体" w:hint="eastAsia"/>
                <w:sz w:val="16"/>
              </w:rPr>
            </w:pPr>
            <w:r>
              <w:rPr>
                <w:rFonts w:ascii="宋体" w:eastAsia="宋体" w:hint="eastAsia"/>
                <w:sz w:val="16"/>
              </w:rPr>
              <w:t>阳光电源</w:t>
            </w:r>
          </w:p>
          <w:p>
            <w:pPr>
              <w:pStyle w:val="TableParagraph"/>
              <w:spacing w:before="59"/>
              <w:ind w:left="27"/>
              <w:jc w:val="left"/>
              <w:rPr>
                <w:rFonts w:ascii="宋体" w:eastAsia="宋体" w:hint="eastAsia"/>
                <w:sz w:val="16"/>
              </w:rPr>
            </w:pPr>
            <w:r>
              <w:rPr>
                <w:rFonts w:ascii="宋体" w:eastAsia="宋体" w:hint="eastAsia"/>
                <w:sz w:val="16"/>
              </w:rPr>
              <w:t>华为</w:t>
            </w:r>
          </w:p>
        </w:tc>
        <w:tc>
          <w:tcPr>
            <w:tcW w:w="1034" w:type="dxa"/>
            <w:tcBorders>
              <w:top w:val="single" w:sz="4" w:space="0" w:color="000000"/>
            </w:tcBorders>
          </w:tcPr>
          <w:p>
            <w:pPr>
              <w:pStyle w:val="TableParagraph"/>
              <w:spacing w:before="40"/>
              <w:ind w:left="260"/>
              <w:jc w:val="left"/>
              <w:rPr>
                <w:sz w:val="16"/>
              </w:rPr>
            </w:pPr>
            <w:r>
              <w:rPr>
                <w:sz w:val="16"/>
              </w:rPr>
              <w:t>300274</w:t>
            </w:r>
            <w:r>
              <w:rPr>
                <w:spacing w:val="-6"/>
                <w:sz w:val="16"/>
              </w:rPr>
              <w:t xml:space="preserve"> </w:t>
            </w:r>
            <w:r>
              <w:rPr>
                <w:sz w:val="16"/>
              </w:rPr>
              <w:t>CH</w:t>
            </w:r>
          </w:p>
          <w:p>
            <w:pPr>
              <w:pStyle w:val="TableParagraph"/>
              <w:spacing w:before="52"/>
              <w:ind w:left="444"/>
              <w:jc w:val="left"/>
              <w:rPr>
                <w:rFonts w:ascii="宋体" w:eastAsia="宋体" w:hint="eastAsia"/>
                <w:sz w:val="16"/>
              </w:rPr>
            </w:pPr>
            <w:r>
              <w:rPr>
                <w:rFonts w:ascii="宋体" w:eastAsia="宋体" w:hint="eastAsia"/>
                <w:sz w:val="16"/>
              </w:rPr>
              <w:t>未上市</w:t>
            </w:r>
          </w:p>
        </w:tc>
        <w:tc>
          <w:tcPr>
            <w:tcW w:w="4084" w:type="dxa"/>
            <w:tcBorders>
              <w:top w:val="single" w:sz="4" w:space="0" w:color="000000"/>
            </w:tcBorders>
          </w:tcPr>
          <w:p>
            <w:pPr>
              <w:pStyle w:val="TableParagraph"/>
              <w:tabs>
                <w:tab w:val="left" w:pos="1805"/>
                <w:tab w:val="left" w:pos="2826"/>
                <w:tab w:val="left" w:pos="3847"/>
              </w:tabs>
              <w:spacing w:before="2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position w:val="2"/>
                <w:sz w:val="16"/>
              </w:rPr>
              <w:sym w:font="Wingdings" w:char="F0FC"/>
            </w:r>
            <w:r>
              <w:rPr>
                <w:rFonts w:ascii="Times New Roman" w:hAnsi="Times New Roman"/>
                <w:position w:val="2"/>
                <w:sz w:val="16"/>
              </w:rPr>
              <w:tab/>
            </w:r>
            <w:r>
              <w:rPr>
                <w:rFonts w:ascii="Wingdings" w:hAnsi="Wingdings"/>
                <w:position w:val="2"/>
                <w:sz w:val="16"/>
              </w:rPr>
              <w:sym w:font="Wingdings" w:char="F0FC"/>
            </w:r>
            <w:r>
              <w:rPr>
                <w:rFonts w:ascii="Times New Roman" w:hAnsi="Times New Roman"/>
                <w:position w:val="2"/>
                <w:sz w:val="16"/>
              </w:rPr>
              <w:tab/>
            </w:r>
            <w:r>
              <w:rPr>
                <w:rFonts w:ascii="Wingdings" w:hAnsi="Wingdings"/>
                <w:position w:val="2"/>
                <w:sz w:val="16"/>
              </w:rPr>
              <w:sym w:font="Wingdings" w:char="F0FC"/>
            </w:r>
          </w:p>
          <w:p>
            <w:pPr>
              <w:pStyle w:val="TableParagraph"/>
              <w:tabs>
                <w:tab w:val="left" w:pos="1805"/>
              </w:tabs>
              <w:spacing w:before="71"/>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Borders>
              <w:top w:val="single" w:sz="4" w:space="0" w:color="000000"/>
            </w:tcBorders>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791"/>
          <w:jc w:val="left"/>
        </w:trPr>
        <w:tc>
          <w:tcPr>
            <w:tcW w:w="1088" w:type="dxa"/>
          </w:tcPr>
          <w:p>
            <w:pPr>
              <w:pStyle w:val="TableParagraph"/>
              <w:spacing w:before="27" w:line="309" w:lineRule="auto"/>
              <w:ind w:left="27" w:right="419"/>
              <w:jc w:val="left"/>
              <w:rPr>
                <w:rFonts w:ascii="宋体" w:eastAsia="宋体" w:hint="eastAsia"/>
                <w:sz w:val="16"/>
              </w:rPr>
            </w:pPr>
            <w:r>
              <w:rPr>
                <w:rFonts w:ascii="宋体" w:eastAsia="宋体" w:hint="eastAsia"/>
                <w:spacing w:val="-5"/>
                <w:sz w:val="16"/>
              </w:rPr>
              <w:t>上能电气特变电工</w:t>
            </w:r>
          </w:p>
          <w:p>
            <w:pPr>
              <w:pStyle w:val="TableParagraph"/>
              <w:spacing w:line="204" w:lineRule="exact"/>
              <w:ind w:left="27"/>
              <w:jc w:val="left"/>
              <w:rPr>
                <w:rFonts w:ascii="宋体" w:eastAsia="宋体" w:hint="eastAsia"/>
                <w:sz w:val="16"/>
              </w:rPr>
            </w:pPr>
            <w:r>
              <w:rPr>
                <w:rFonts w:ascii="宋体" w:eastAsia="宋体" w:hint="eastAsia"/>
                <w:sz w:val="16"/>
              </w:rPr>
              <w:t>古瑞瓦特</w:t>
            </w:r>
          </w:p>
        </w:tc>
        <w:tc>
          <w:tcPr>
            <w:tcW w:w="1034" w:type="dxa"/>
          </w:tcPr>
          <w:p>
            <w:pPr>
              <w:pStyle w:val="TableParagraph"/>
              <w:spacing w:before="55"/>
              <w:ind w:left="260"/>
              <w:jc w:val="left"/>
              <w:rPr>
                <w:sz w:val="16"/>
              </w:rPr>
            </w:pPr>
            <w:r>
              <w:rPr>
                <w:sz w:val="16"/>
              </w:rPr>
              <w:t>300827</w:t>
            </w:r>
            <w:r>
              <w:rPr>
                <w:spacing w:val="-6"/>
                <w:sz w:val="16"/>
              </w:rPr>
              <w:t xml:space="preserve"> </w:t>
            </w:r>
            <w:r>
              <w:rPr>
                <w:sz w:val="16"/>
              </w:rPr>
              <w:t>CH</w:t>
            </w:r>
          </w:p>
          <w:p>
            <w:pPr>
              <w:pStyle w:val="TableParagraph"/>
              <w:spacing w:before="80"/>
              <w:ind w:left="260"/>
              <w:jc w:val="left"/>
              <w:rPr>
                <w:sz w:val="16"/>
              </w:rPr>
            </w:pPr>
            <w:r>
              <w:rPr>
                <w:sz w:val="16"/>
              </w:rPr>
              <w:t>600089</w:t>
            </w:r>
            <w:r>
              <w:rPr>
                <w:spacing w:val="-6"/>
                <w:sz w:val="16"/>
              </w:rPr>
              <w:t xml:space="preserve"> </w:t>
            </w:r>
            <w:r>
              <w:rPr>
                <w:sz w:val="16"/>
              </w:rPr>
              <w:t>CH</w:t>
            </w:r>
          </w:p>
          <w:p>
            <w:pPr>
              <w:pStyle w:val="TableParagraph"/>
              <w:spacing w:before="53"/>
              <w:ind w:left="444"/>
              <w:jc w:val="left"/>
              <w:rPr>
                <w:rFonts w:ascii="宋体" w:eastAsia="宋体" w:hint="eastAsia"/>
                <w:sz w:val="16"/>
              </w:rPr>
            </w:pPr>
            <w:r>
              <w:rPr>
                <w:rFonts w:ascii="宋体" w:eastAsia="宋体" w:hint="eastAsia"/>
                <w:sz w:val="16"/>
              </w:rPr>
              <w:t>未上市</w:t>
            </w:r>
          </w:p>
        </w:tc>
        <w:tc>
          <w:tcPr>
            <w:tcW w:w="4084" w:type="dxa"/>
          </w:tcPr>
          <w:p>
            <w:pPr>
              <w:pStyle w:val="TableParagraph"/>
              <w:tabs>
                <w:tab w:val="left" w:pos="1694"/>
                <w:tab w:val="left" w:pos="2715"/>
                <w:tab w:val="left" w:pos="3736"/>
              </w:tabs>
              <w:spacing w:before="43"/>
              <w:ind w:left="673"/>
              <w:jc w:val="center"/>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p>
            <w:pPr>
              <w:pStyle w:val="TableParagraph"/>
              <w:tabs>
                <w:tab w:val="left" w:pos="1694"/>
              </w:tabs>
              <w:spacing w:before="81"/>
              <w:ind w:left="673"/>
              <w:jc w:val="center"/>
              <w:rPr>
                <w:rFonts w:ascii="Wingdings" w:hAnsi="Wingdings"/>
                <w:sz w:val="16"/>
              </w:rPr>
            </w:pPr>
            <w:r>
              <w:rPr>
                <w:rFonts w:ascii="Wingdings" w:hAnsi="Wingdings"/>
                <w:position w:val="2"/>
                <w:sz w:val="16"/>
              </w:rPr>
              <w:sym w:font="Wingdings" w:char="F0FC"/>
            </w:r>
            <w:r>
              <w:rPr>
                <w:rFonts w:ascii="Times New Roman" w:hAnsi="Times New Roman"/>
                <w:position w:val="2"/>
                <w:sz w:val="16"/>
              </w:rPr>
              <w:tab/>
            </w:r>
            <w:r>
              <w:rPr>
                <w:rFonts w:ascii="Wingdings" w:hAnsi="Wingdings"/>
                <w:sz w:val="16"/>
              </w:rPr>
              <w:sym w:font="Wingdings" w:char="F0FC"/>
            </w:r>
          </w:p>
          <w:p>
            <w:pPr>
              <w:pStyle w:val="TableParagraph"/>
              <w:tabs>
                <w:tab w:val="left" w:pos="1020"/>
              </w:tabs>
              <w:spacing w:before="72"/>
              <w:ind w:right="1366"/>
              <w:jc w:val="center"/>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1319"/>
          <w:jc w:val="left"/>
        </w:trPr>
        <w:tc>
          <w:tcPr>
            <w:tcW w:w="1088" w:type="dxa"/>
          </w:tcPr>
          <w:p>
            <w:pPr>
              <w:pStyle w:val="TableParagraph"/>
              <w:spacing w:before="27" w:line="309" w:lineRule="auto"/>
              <w:ind w:left="27" w:right="579"/>
              <w:jc w:val="left"/>
              <w:rPr>
                <w:rFonts w:ascii="宋体" w:eastAsia="宋体" w:hint="eastAsia"/>
                <w:sz w:val="16"/>
              </w:rPr>
            </w:pPr>
            <w:r>
              <w:rPr>
                <w:rFonts w:ascii="宋体" w:eastAsia="宋体" w:hint="eastAsia"/>
                <w:sz w:val="16"/>
              </w:rPr>
              <w:t xml:space="preserve">正 泰 </w:t>
            </w:r>
            <w:r>
              <w:rPr>
                <w:rFonts w:ascii="宋体" w:eastAsia="宋体" w:hint="eastAsia"/>
                <w:spacing w:val="-7"/>
                <w:sz w:val="16"/>
              </w:rPr>
              <w:t>固德威</w:t>
            </w:r>
          </w:p>
          <w:p>
            <w:pPr>
              <w:pStyle w:val="TableParagraph"/>
              <w:spacing w:line="309" w:lineRule="auto"/>
              <w:ind w:left="27" w:right="419"/>
              <w:jc w:val="left"/>
              <w:rPr>
                <w:rFonts w:ascii="宋体" w:eastAsia="宋体" w:hint="eastAsia"/>
                <w:sz w:val="16"/>
              </w:rPr>
            </w:pPr>
            <w:r>
              <w:rPr>
                <w:rFonts w:ascii="宋体" w:eastAsia="宋体" w:hint="eastAsia"/>
                <w:spacing w:val="-5"/>
                <w:sz w:val="16"/>
              </w:rPr>
              <w:t>锦浪科技</w:t>
            </w:r>
            <w:r>
              <w:rPr>
                <w:rFonts w:ascii="宋体" w:eastAsia="宋体" w:hint="eastAsia"/>
                <w:sz w:val="16"/>
              </w:rPr>
              <w:t>科士达</w:t>
            </w:r>
          </w:p>
          <w:p>
            <w:pPr>
              <w:pStyle w:val="TableParagraph"/>
              <w:spacing w:line="204" w:lineRule="exact"/>
              <w:ind w:left="27"/>
              <w:jc w:val="left"/>
              <w:rPr>
                <w:rFonts w:ascii="宋体" w:eastAsia="宋体" w:hint="eastAsia"/>
                <w:sz w:val="16"/>
              </w:rPr>
            </w:pPr>
            <w:r>
              <w:rPr>
                <w:rFonts w:ascii="宋体" w:eastAsia="宋体" w:hint="eastAsia"/>
                <w:sz w:val="16"/>
              </w:rPr>
              <w:t>科华数能</w:t>
            </w:r>
          </w:p>
        </w:tc>
        <w:tc>
          <w:tcPr>
            <w:tcW w:w="1034" w:type="dxa"/>
          </w:tcPr>
          <w:p>
            <w:pPr>
              <w:pStyle w:val="TableParagraph"/>
              <w:spacing w:before="27"/>
              <w:ind w:left="444"/>
              <w:jc w:val="left"/>
              <w:rPr>
                <w:rFonts w:ascii="宋体" w:eastAsia="宋体" w:hint="eastAsia"/>
                <w:sz w:val="16"/>
              </w:rPr>
            </w:pPr>
            <w:r>
              <w:rPr>
                <w:rFonts w:ascii="宋体" w:eastAsia="宋体" w:hint="eastAsia"/>
                <w:sz w:val="16"/>
              </w:rPr>
              <w:t>未上市</w:t>
            </w:r>
          </w:p>
          <w:p>
            <w:pPr>
              <w:pStyle w:val="TableParagraph"/>
              <w:spacing w:before="87"/>
              <w:ind w:left="260"/>
              <w:jc w:val="left"/>
              <w:rPr>
                <w:sz w:val="16"/>
              </w:rPr>
            </w:pPr>
            <w:r>
              <w:rPr>
                <w:sz w:val="16"/>
              </w:rPr>
              <w:t>688390</w:t>
            </w:r>
            <w:r>
              <w:rPr>
                <w:spacing w:val="-6"/>
                <w:sz w:val="16"/>
              </w:rPr>
              <w:t xml:space="preserve"> </w:t>
            </w:r>
            <w:r>
              <w:rPr>
                <w:sz w:val="16"/>
              </w:rPr>
              <w:t>CH</w:t>
            </w:r>
          </w:p>
          <w:p>
            <w:pPr>
              <w:pStyle w:val="TableParagraph"/>
              <w:spacing w:before="80"/>
              <w:ind w:left="260"/>
              <w:jc w:val="left"/>
              <w:rPr>
                <w:sz w:val="16"/>
              </w:rPr>
            </w:pPr>
            <w:r>
              <w:rPr>
                <w:sz w:val="16"/>
              </w:rPr>
              <w:t>300763</w:t>
            </w:r>
            <w:r>
              <w:rPr>
                <w:spacing w:val="-6"/>
                <w:sz w:val="16"/>
              </w:rPr>
              <w:t xml:space="preserve"> </w:t>
            </w:r>
            <w:r>
              <w:rPr>
                <w:sz w:val="16"/>
              </w:rPr>
              <w:t>CH</w:t>
            </w:r>
          </w:p>
          <w:p>
            <w:pPr>
              <w:pStyle w:val="TableParagraph"/>
              <w:spacing w:before="81"/>
              <w:ind w:left="260"/>
              <w:jc w:val="left"/>
              <w:rPr>
                <w:sz w:val="16"/>
              </w:rPr>
            </w:pPr>
            <w:r>
              <w:rPr>
                <w:sz w:val="16"/>
              </w:rPr>
              <w:t>002518</w:t>
            </w:r>
            <w:r>
              <w:rPr>
                <w:spacing w:val="-6"/>
                <w:sz w:val="16"/>
              </w:rPr>
              <w:t xml:space="preserve"> </w:t>
            </w:r>
            <w:r>
              <w:rPr>
                <w:sz w:val="16"/>
              </w:rPr>
              <w:t>CH</w:t>
            </w:r>
          </w:p>
          <w:p>
            <w:pPr>
              <w:pStyle w:val="TableParagraph"/>
              <w:spacing w:before="52"/>
              <w:ind w:left="444"/>
              <w:jc w:val="left"/>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 w:val="left" w:pos="2826"/>
              </w:tabs>
              <w:spacing w:before="38"/>
              <w:ind w:left="784"/>
              <w:jc w:val="left"/>
              <w:rPr>
                <w:rFonts w:ascii="Wingdings" w:hAnsi="Wingdings"/>
                <w:sz w:val="16"/>
              </w:rPr>
            </w:pPr>
            <w:r>
              <w:rPr>
                <w:rFonts w:ascii="Wingdings" w:hAnsi="Wingdings"/>
                <w:position w:val="2"/>
                <w:sz w:val="16"/>
              </w:rPr>
              <w:sym w:font="Wingdings" w:char="F0FC"/>
            </w:r>
            <w:r>
              <w:rPr>
                <w:rFonts w:ascii="Times New Roman" w:hAnsi="Times New Roman"/>
                <w:position w:val="2"/>
                <w:sz w:val="16"/>
              </w:rPr>
              <w:tab/>
            </w:r>
            <w:r>
              <w:rPr>
                <w:rFonts w:ascii="Wingdings" w:hAnsi="Wingdings"/>
                <w:position w:val="2"/>
                <w:sz w:val="16"/>
              </w:rPr>
              <w:sym w:font="Wingdings" w:char="F0FC"/>
            </w:r>
            <w:r>
              <w:rPr>
                <w:rFonts w:ascii="Times New Roman" w:hAnsi="Times New Roman"/>
                <w:position w:val="2"/>
                <w:sz w:val="16"/>
              </w:rPr>
              <w:tab/>
            </w:r>
            <w:r>
              <w:rPr>
                <w:rFonts w:ascii="Wingdings" w:hAnsi="Wingdings"/>
                <w:sz w:val="16"/>
              </w:rPr>
              <w:sym w:font="Wingdings" w:char="F0FC"/>
            </w:r>
          </w:p>
          <w:p>
            <w:pPr>
              <w:pStyle w:val="TableParagraph"/>
              <w:tabs>
                <w:tab w:val="left" w:pos="1805"/>
              </w:tabs>
              <w:spacing w:before="71"/>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p>
            <w:pPr>
              <w:pStyle w:val="TableParagraph"/>
              <w:tabs>
                <w:tab w:val="left" w:pos="1805"/>
              </w:tabs>
              <w:spacing w:before="87"/>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p>
            <w:pPr>
              <w:pStyle w:val="TableParagraph"/>
              <w:tabs>
                <w:tab w:val="left" w:pos="1805"/>
                <w:tab w:val="left" w:pos="2826"/>
              </w:tabs>
              <w:spacing w:before="86"/>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p>
            <w:pPr>
              <w:pStyle w:val="TableParagraph"/>
              <w:tabs>
                <w:tab w:val="left" w:pos="1805"/>
                <w:tab w:val="left" w:pos="2826"/>
              </w:tabs>
              <w:spacing w:before="86"/>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爱士惟</w:t>
            </w:r>
          </w:p>
        </w:tc>
        <w:tc>
          <w:tcPr>
            <w:tcW w:w="1034" w:type="dxa"/>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527"/>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禾望电气</w:t>
            </w:r>
          </w:p>
          <w:p>
            <w:pPr>
              <w:pStyle w:val="TableParagraph"/>
              <w:spacing w:before="59"/>
              <w:ind w:left="27"/>
              <w:jc w:val="left"/>
              <w:rPr>
                <w:rFonts w:ascii="宋体" w:eastAsia="宋体" w:hint="eastAsia"/>
                <w:sz w:val="16"/>
              </w:rPr>
            </w:pPr>
            <w:r>
              <w:rPr>
                <w:rFonts w:ascii="宋体" w:eastAsia="宋体" w:hint="eastAsia"/>
                <w:sz w:val="16"/>
              </w:rPr>
              <w:t>首航新能源</w:t>
            </w:r>
          </w:p>
        </w:tc>
        <w:tc>
          <w:tcPr>
            <w:tcW w:w="1034" w:type="dxa"/>
          </w:tcPr>
          <w:p>
            <w:pPr>
              <w:pStyle w:val="TableParagraph"/>
              <w:spacing w:before="55"/>
              <w:ind w:left="260"/>
              <w:jc w:val="left"/>
              <w:rPr>
                <w:sz w:val="16"/>
              </w:rPr>
            </w:pPr>
            <w:r>
              <w:rPr>
                <w:sz w:val="16"/>
              </w:rPr>
              <w:t>603063</w:t>
            </w:r>
            <w:r>
              <w:rPr>
                <w:spacing w:val="-6"/>
                <w:sz w:val="16"/>
              </w:rPr>
              <w:t xml:space="preserve"> </w:t>
            </w:r>
            <w:r>
              <w:rPr>
                <w:sz w:val="16"/>
              </w:rPr>
              <w:t>CH</w:t>
            </w:r>
          </w:p>
          <w:p>
            <w:pPr>
              <w:pStyle w:val="TableParagraph"/>
              <w:spacing w:before="52"/>
              <w:ind w:left="444"/>
              <w:jc w:val="left"/>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 w:val="left" w:pos="2826"/>
                <w:tab w:val="left" w:pos="3847"/>
              </w:tabs>
              <w:spacing w:before="38"/>
              <w:ind w:left="784"/>
              <w:jc w:val="left"/>
              <w:rPr>
                <w:rFonts w:ascii="Wingdings" w:hAnsi="Wingdings"/>
                <w:sz w:val="16"/>
              </w:rPr>
            </w:pPr>
            <w:r>
              <w:rPr>
                <w:rFonts w:ascii="Wingdings" w:hAnsi="Wingdings"/>
                <w:position w:val="2"/>
                <w:sz w:val="16"/>
              </w:rPr>
              <w:sym w:font="Wingdings" w:char="F0FC"/>
            </w:r>
            <w:r>
              <w:rPr>
                <w:rFonts w:ascii="Times New Roman" w:hAnsi="Times New Roman"/>
                <w:position w:val="2"/>
                <w:sz w:val="16"/>
              </w:rPr>
              <w:tab/>
            </w:r>
            <w:r>
              <w:rPr>
                <w:rFonts w:ascii="Wingdings" w:hAnsi="Wingdings"/>
                <w:position w:val="2"/>
                <w:sz w:val="16"/>
              </w:rPr>
              <w:sym w:font="Wingdings" w:char="F0FC"/>
            </w:r>
            <w:r>
              <w:rPr>
                <w:rFonts w:ascii="Times New Roman" w:hAnsi="Times New Roman"/>
                <w:position w:val="2"/>
                <w:sz w:val="16"/>
              </w:rPr>
              <w:tab/>
            </w: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p>
            <w:pPr>
              <w:pStyle w:val="TableParagraph"/>
              <w:tabs>
                <w:tab w:val="left" w:pos="1805"/>
              </w:tabs>
              <w:spacing w:before="71"/>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三晶电气</w:t>
            </w:r>
          </w:p>
        </w:tc>
        <w:tc>
          <w:tcPr>
            <w:tcW w:w="1034" w:type="dxa"/>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易事特</w:t>
            </w:r>
          </w:p>
        </w:tc>
        <w:tc>
          <w:tcPr>
            <w:tcW w:w="1034" w:type="dxa"/>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801"/>
          <w:jc w:val="left"/>
        </w:trPr>
        <w:tc>
          <w:tcPr>
            <w:tcW w:w="1088" w:type="dxa"/>
          </w:tcPr>
          <w:p>
            <w:pPr>
              <w:pStyle w:val="TableParagraph"/>
              <w:spacing w:before="27" w:line="309" w:lineRule="auto"/>
              <w:ind w:left="27" w:right="739"/>
              <w:jc w:val="left"/>
              <w:rPr>
                <w:rFonts w:ascii="宋体" w:eastAsia="宋体" w:hint="eastAsia"/>
                <w:sz w:val="16"/>
              </w:rPr>
            </w:pPr>
            <w:r>
              <w:rPr>
                <w:rFonts w:ascii="宋体" w:eastAsia="宋体" w:hint="eastAsia"/>
                <w:spacing w:val="-9"/>
                <w:sz w:val="16"/>
              </w:rPr>
              <w:t>禾迈昱能</w:t>
            </w:r>
          </w:p>
          <w:p>
            <w:pPr>
              <w:pStyle w:val="TableParagraph"/>
              <w:spacing w:line="204" w:lineRule="exact"/>
              <w:ind w:left="27"/>
              <w:jc w:val="left"/>
              <w:rPr>
                <w:rFonts w:ascii="宋体" w:eastAsia="宋体" w:hint="eastAsia"/>
                <w:sz w:val="16"/>
              </w:rPr>
            </w:pPr>
            <w:r>
              <w:rPr>
                <w:rFonts w:ascii="宋体" w:eastAsia="宋体" w:hint="eastAsia"/>
                <w:sz w:val="16"/>
              </w:rPr>
              <w:t>德业</w:t>
            </w:r>
          </w:p>
        </w:tc>
        <w:tc>
          <w:tcPr>
            <w:tcW w:w="1034" w:type="dxa"/>
          </w:tcPr>
          <w:p>
            <w:pPr>
              <w:pStyle w:val="TableParagraph"/>
              <w:spacing w:before="55"/>
              <w:ind w:left="260"/>
              <w:jc w:val="left"/>
              <w:rPr>
                <w:sz w:val="16"/>
              </w:rPr>
            </w:pPr>
            <w:r>
              <w:rPr>
                <w:sz w:val="16"/>
              </w:rPr>
              <w:t>688032</w:t>
            </w:r>
            <w:r>
              <w:rPr>
                <w:spacing w:val="-6"/>
                <w:sz w:val="16"/>
              </w:rPr>
              <w:t xml:space="preserve"> </w:t>
            </w:r>
            <w:r>
              <w:rPr>
                <w:sz w:val="16"/>
              </w:rPr>
              <w:t>CH</w:t>
            </w:r>
          </w:p>
          <w:p>
            <w:pPr>
              <w:pStyle w:val="TableParagraph"/>
              <w:spacing w:before="80"/>
              <w:ind w:left="260"/>
              <w:jc w:val="left"/>
              <w:rPr>
                <w:sz w:val="16"/>
              </w:rPr>
            </w:pPr>
            <w:r>
              <w:rPr>
                <w:sz w:val="16"/>
              </w:rPr>
              <w:t>688348</w:t>
            </w:r>
            <w:r>
              <w:rPr>
                <w:spacing w:val="-6"/>
                <w:sz w:val="16"/>
              </w:rPr>
              <w:t xml:space="preserve"> </w:t>
            </w:r>
            <w:r>
              <w:rPr>
                <w:sz w:val="16"/>
              </w:rPr>
              <w:t>CH</w:t>
            </w:r>
          </w:p>
          <w:p>
            <w:pPr>
              <w:pStyle w:val="TableParagraph"/>
              <w:spacing w:before="81"/>
              <w:ind w:left="260"/>
              <w:jc w:val="left"/>
              <w:rPr>
                <w:sz w:val="16"/>
              </w:rPr>
            </w:pPr>
            <w:r>
              <w:rPr>
                <w:sz w:val="16"/>
              </w:rPr>
              <w:t>605117</w:t>
            </w:r>
            <w:r>
              <w:rPr>
                <w:spacing w:val="-6"/>
                <w:sz w:val="16"/>
              </w:rPr>
              <w:t xml:space="preserve"> </w:t>
            </w:r>
            <w:r>
              <w:rPr>
                <w:sz w:val="16"/>
              </w:rPr>
              <w:t>CH</w:t>
            </w:r>
          </w:p>
        </w:tc>
        <w:tc>
          <w:tcPr>
            <w:tcW w:w="4084" w:type="dxa"/>
          </w:tcPr>
          <w:p>
            <w:pPr>
              <w:pStyle w:val="TableParagraph"/>
              <w:jc w:val="left"/>
              <w:rPr>
                <w:rFonts w:ascii="Microsoft JhengHei"/>
                <w:b/>
                <w:sz w:val="18"/>
              </w:rPr>
            </w:pPr>
          </w:p>
          <w:p>
            <w:pPr>
              <w:pStyle w:val="TableParagraph"/>
              <w:spacing w:before="1"/>
              <w:jc w:val="left"/>
              <w:rPr>
                <w:rFonts w:ascii="Microsoft JhengHei"/>
                <w:b/>
                <w:sz w:val="13"/>
              </w:rPr>
            </w:pPr>
          </w:p>
          <w:p>
            <w:pPr>
              <w:pStyle w:val="TableParagraph"/>
              <w:tabs>
                <w:tab w:val="left" w:pos="1805"/>
              </w:tabs>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spacing w:before="43"/>
              <w:ind w:right="28"/>
              <w:rPr>
                <w:rFonts w:ascii="Wingdings" w:hAnsi="Wingdings"/>
                <w:sz w:val="16"/>
              </w:rPr>
            </w:pPr>
            <w:r>
              <w:rPr>
                <w:rFonts w:ascii="Wingdings" w:hAnsi="Wingdings"/>
                <w:sz w:val="16"/>
              </w:rPr>
              <w:sym w:font="Wingdings" w:char="F0FC"/>
            </w:r>
          </w:p>
          <w:p>
            <w:pPr>
              <w:pStyle w:val="TableParagraph"/>
              <w:spacing w:before="86"/>
              <w:ind w:right="28"/>
              <w:rPr>
                <w:rFonts w:ascii="Wingdings" w:hAnsi="Wingdings"/>
                <w:sz w:val="16"/>
              </w:rPr>
            </w:pPr>
            <w:r>
              <w:rPr>
                <w:rFonts w:ascii="Wingdings" w:hAnsi="Wingdings"/>
                <w:sz w:val="16"/>
              </w:rPr>
              <w:sym w:font="Wingdings" w:char="F0FC"/>
            </w:r>
          </w:p>
          <w:p>
            <w:pPr>
              <w:pStyle w:val="TableParagraph"/>
              <w:spacing w:before="87"/>
              <w:ind w:right="28"/>
              <w:rPr>
                <w:rFonts w:ascii="Wingdings" w:hAnsi="Wingdings"/>
                <w:sz w:val="16"/>
              </w:rPr>
            </w:pPr>
            <w:r>
              <w:rPr>
                <w:rFonts w:ascii="Wingdings" w:hAnsi="Wingdings"/>
                <w:sz w:val="16"/>
              </w:rPr>
              <w:sym w:font="Wingdings" w:char="F0FC"/>
            </w:r>
          </w:p>
        </w:tc>
      </w:tr>
      <w:tr>
        <w:tblPrEx>
          <w:tblW w:w="0" w:type="auto"/>
          <w:jc w:val="left"/>
          <w:tblInd w:w="1158" w:type="dxa"/>
          <w:tblLayout w:type="fixed"/>
          <w:tblCellMar>
            <w:top w:w="0" w:type="dxa"/>
            <w:left w:w="0" w:type="dxa"/>
            <w:bottom w:w="0" w:type="dxa"/>
            <w:right w:w="0" w:type="dxa"/>
          </w:tblCellMar>
          <w:tblLook w:val="01E0"/>
        </w:tblPrEx>
        <w:trPr>
          <w:trHeight w:val="254"/>
          <w:jc w:val="left"/>
        </w:trPr>
        <w:tc>
          <w:tcPr>
            <w:tcW w:w="1088" w:type="dxa"/>
          </w:tcPr>
          <w:p>
            <w:pPr>
              <w:pStyle w:val="TableParagraph"/>
              <w:spacing w:before="18"/>
              <w:ind w:left="27"/>
              <w:jc w:val="left"/>
              <w:rPr>
                <w:rFonts w:ascii="宋体" w:eastAsia="宋体" w:hint="eastAsia"/>
                <w:sz w:val="16"/>
              </w:rPr>
            </w:pPr>
            <w:r>
              <w:rPr>
                <w:rFonts w:ascii="宋体" w:eastAsia="宋体" w:hint="eastAsia"/>
                <w:sz w:val="16"/>
              </w:rPr>
              <w:t>麦田</w:t>
            </w:r>
          </w:p>
        </w:tc>
        <w:tc>
          <w:tcPr>
            <w:tcW w:w="1034" w:type="dxa"/>
          </w:tcPr>
          <w:p>
            <w:pPr>
              <w:pStyle w:val="TableParagraph"/>
              <w:spacing w:before="18"/>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34"/>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盛能杰</w:t>
            </w:r>
          </w:p>
        </w:tc>
        <w:tc>
          <w:tcPr>
            <w:tcW w:w="1034" w:type="dxa"/>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杭州桑尼</w:t>
            </w:r>
          </w:p>
        </w:tc>
        <w:tc>
          <w:tcPr>
            <w:tcW w:w="1034" w:type="dxa"/>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英威腾</w:t>
            </w:r>
          </w:p>
        </w:tc>
        <w:tc>
          <w:tcPr>
            <w:tcW w:w="1034" w:type="dxa"/>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088" w:type="dxa"/>
          </w:tcPr>
          <w:p>
            <w:pPr>
              <w:pStyle w:val="TableParagraph"/>
              <w:spacing w:before="27"/>
              <w:ind w:left="27"/>
              <w:jc w:val="left"/>
              <w:rPr>
                <w:rFonts w:ascii="宋体" w:eastAsia="宋体" w:hint="eastAsia"/>
                <w:sz w:val="16"/>
              </w:rPr>
            </w:pPr>
            <w:r>
              <w:rPr>
                <w:rFonts w:ascii="宋体" w:eastAsia="宋体" w:hint="eastAsia"/>
                <w:sz w:val="16"/>
              </w:rPr>
              <w:t>艾伏</w:t>
            </w:r>
          </w:p>
        </w:tc>
        <w:tc>
          <w:tcPr>
            <w:tcW w:w="1034" w:type="dxa"/>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79"/>
          <w:jc w:val="left"/>
        </w:trPr>
        <w:tc>
          <w:tcPr>
            <w:tcW w:w="1088" w:type="dxa"/>
            <w:tcBorders>
              <w:bottom w:val="single" w:sz="4" w:space="0" w:color="000000"/>
            </w:tcBorders>
          </w:tcPr>
          <w:p>
            <w:pPr>
              <w:pStyle w:val="TableParagraph"/>
              <w:spacing w:before="27"/>
              <w:ind w:left="27"/>
              <w:jc w:val="left"/>
              <w:rPr>
                <w:rFonts w:ascii="宋体" w:eastAsia="宋体" w:hint="eastAsia"/>
                <w:sz w:val="16"/>
              </w:rPr>
            </w:pPr>
            <w:r>
              <w:rPr>
                <w:rFonts w:ascii="宋体" w:eastAsia="宋体" w:hint="eastAsia"/>
                <w:sz w:val="16"/>
              </w:rPr>
              <w:t>艾罗</w:t>
            </w:r>
          </w:p>
        </w:tc>
        <w:tc>
          <w:tcPr>
            <w:tcW w:w="1034" w:type="dxa"/>
            <w:tcBorders>
              <w:bottom w:val="single" w:sz="4" w:space="0" w:color="000000"/>
            </w:tcBorders>
          </w:tcPr>
          <w:p>
            <w:pPr>
              <w:pStyle w:val="TableParagraph"/>
              <w:spacing w:before="27"/>
              <w:ind w:right="109"/>
              <w:rPr>
                <w:rFonts w:ascii="宋体" w:eastAsia="宋体" w:hint="eastAsia"/>
                <w:sz w:val="16"/>
              </w:rPr>
            </w:pPr>
            <w:r>
              <w:rPr>
                <w:rFonts w:ascii="宋体" w:eastAsia="宋体" w:hint="eastAsia"/>
                <w:sz w:val="16"/>
              </w:rPr>
              <w:t>未上市</w:t>
            </w:r>
          </w:p>
        </w:tc>
        <w:tc>
          <w:tcPr>
            <w:tcW w:w="4084" w:type="dxa"/>
            <w:tcBorders>
              <w:bottom w:val="single" w:sz="4" w:space="0" w:color="000000"/>
            </w:tcBorders>
          </w:tcPr>
          <w:p>
            <w:pPr>
              <w:pStyle w:val="TableParagraph"/>
              <w:tabs>
                <w:tab w:val="left" w:pos="1805"/>
              </w:tabs>
              <w:spacing w:before="43"/>
              <w:ind w:left="784"/>
              <w:jc w:val="left"/>
              <w:rPr>
                <w:rFonts w:ascii="Wingdings" w:hAnsi="Wingdings"/>
                <w:sz w:val="16"/>
              </w:rPr>
            </w:pPr>
            <w:r>
              <w:rPr>
                <w:rFonts w:ascii="Wingdings" w:hAnsi="Wingdings"/>
                <w:sz w:val="16"/>
              </w:rPr>
              <w:sym w:font="Wingdings" w:char="F0FC"/>
            </w:r>
            <w:r>
              <w:rPr>
                <w:rFonts w:ascii="Times New Roman" w:hAnsi="Times New Roman"/>
                <w:sz w:val="16"/>
              </w:rPr>
              <w:tab/>
            </w:r>
            <w:r>
              <w:rPr>
                <w:rFonts w:ascii="Wingdings" w:hAnsi="Wingdings"/>
                <w:sz w:val="16"/>
              </w:rPr>
              <w:sym w:font="Wingdings" w:char="F0FC"/>
            </w:r>
          </w:p>
        </w:tc>
        <w:tc>
          <w:tcPr>
            <w:tcW w:w="939" w:type="dxa"/>
            <w:tcBorders>
              <w:bottom w:val="single" w:sz="4" w:space="0" w:color="000000"/>
            </w:tcBorders>
          </w:tcPr>
          <w:p>
            <w:pPr>
              <w:pStyle w:val="TableParagraph"/>
              <w:jc w:val="left"/>
              <w:rPr>
                <w:rFonts w:ascii="Times New Roman"/>
                <w:sz w:val="18"/>
              </w:rPr>
            </w:pPr>
          </w:p>
        </w:tc>
      </w:tr>
    </w:tbl>
    <w:p>
      <w:pPr>
        <w:spacing w:before="0"/>
        <w:ind w:left="1150" w:right="0" w:firstLine="0"/>
        <w:jc w:val="left"/>
        <w:rPr>
          <w:sz w:val="15"/>
        </w:rPr>
      </w:pPr>
      <w:r>
        <w:t xml:space="preserve">资料来源：CPIA， </w:t>
      </w:r>
    </w:p>
    <w:p>
      <w:pPr>
        <w:pStyle w:val="BodyText"/>
        <w:spacing w:before="11"/>
        <w:rPr>
          <w:sz w:val="13"/>
        </w:rPr>
      </w:pPr>
    </w:p>
    <w:p>
      <w:pPr>
        <w:pStyle w:val="BodyText"/>
        <w:spacing w:line="232" w:lineRule="auto"/>
        <w:ind w:left="1151" w:right="3912"/>
        <w:jc w:val="both"/>
      </w:pPr>
      <w:r>
        <w:rPr>
          <w:color w:val="262626"/>
        </w:rPr>
        <w:t>由于产品种类和性能不同，各企业逆变器的功率覆盖范围存在较大差异。其中阳光电源产品功率涵盖</w:t>
      </w:r>
      <w:r>
        <w:rPr>
          <w:rFonts w:ascii="Calibri" w:eastAsia="Calibri"/>
          <w:color w:val="262626"/>
        </w:rPr>
        <w:t>3kW-8800kW</w:t>
      </w:r>
      <w:r>
        <w:rPr>
          <w:color w:val="262626"/>
        </w:rPr>
        <w:t>，在行业内居首，产品种类和可覆盖的应用场景最为全面，</w:t>
      </w:r>
      <w:r>
        <w:rPr>
          <w:rFonts w:ascii="Calibri" w:eastAsia="Calibri"/>
          <w:color w:val="262626"/>
        </w:rPr>
        <w:t>8.8MW</w:t>
      </w:r>
      <w:r>
        <w:rPr>
          <w:color w:val="262626"/>
        </w:rPr>
        <w:t>也是目前內地逆变器的最大单台功率。</w:t>
      </w:r>
    </w:p>
    <w:p>
      <w:pPr>
        <w:pStyle w:val="Heading3"/>
        <w:spacing w:before="79"/>
      </w:pPr>
      <w:r>
        <w:t>图表</w:t>
      </w:r>
      <w:r>
        <w:rPr>
          <w:rFonts w:ascii="Calibri" w:eastAsia="Calibri"/>
        </w:rPr>
        <w:t xml:space="preserve">16: </w:t>
      </w:r>
      <w:r>
        <w:t>內地主要逆变器企业产品功率范围（</w:t>
      </w:r>
      <w:r>
        <w:rPr>
          <w:rFonts w:ascii="Calibri" w:eastAsia="Calibri"/>
        </w:rPr>
        <w:t>kW</w:t>
      </w:r>
      <w:r>
        <w:t>）</w:t>
      </w:r>
    </w:p>
    <w:tbl>
      <w:tblPr>
        <w:tblStyle w:val="TableNormal1"/>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81"/>
        <w:gridCol w:w="1103"/>
        <w:gridCol w:w="941"/>
        <w:gridCol w:w="1021"/>
        <w:gridCol w:w="1021"/>
        <w:gridCol w:w="1174"/>
        <w:gridCol w:w="707"/>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3"/>
          <w:jc w:val="left"/>
        </w:trPr>
        <w:tc>
          <w:tcPr>
            <w:tcW w:w="1181" w:type="dxa"/>
            <w:tcBorders>
              <w:top w:val="single" w:sz="4" w:space="0" w:color="000000"/>
              <w:bottom w:val="single" w:sz="4" w:space="0" w:color="000000"/>
            </w:tcBorders>
          </w:tcPr>
          <w:p>
            <w:pPr>
              <w:pStyle w:val="TableParagraph"/>
              <w:jc w:val="left"/>
              <w:rPr>
                <w:rFonts w:ascii="Times New Roman"/>
                <w:sz w:val="18"/>
              </w:rPr>
            </w:pPr>
          </w:p>
        </w:tc>
        <w:tc>
          <w:tcPr>
            <w:tcW w:w="1103" w:type="dxa"/>
            <w:tcBorders>
              <w:top w:val="single" w:sz="4" w:space="0" w:color="000000"/>
              <w:bottom w:val="single" w:sz="4" w:space="0" w:color="000000"/>
            </w:tcBorders>
          </w:tcPr>
          <w:p>
            <w:pPr>
              <w:pStyle w:val="TableParagraph"/>
              <w:spacing w:line="244" w:lineRule="exact"/>
              <w:ind w:right="270"/>
              <w:rPr>
                <w:rFonts w:ascii="Microsoft JhengHei" w:eastAsia="Microsoft JhengHei" w:hint="eastAsia"/>
                <w:b/>
                <w:sz w:val="16"/>
              </w:rPr>
            </w:pPr>
            <w:r>
              <w:rPr>
                <w:rFonts w:ascii="Microsoft JhengHei" w:eastAsia="Microsoft JhengHei" w:hint="eastAsia"/>
                <w:b/>
                <w:sz w:val="16"/>
              </w:rPr>
              <w:t>阳光电源</w:t>
            </w:r>
          </w:p>
        </w:tc>
        <w:tc>
          <w:tcPr>
            <w:tcW w:w="941" w:type="dxa"/>
            <w:tcBorders>
              <w:top w:val="single" w:sz="4" w:space="0" w:color="000000"/>
              <w:bottom w:val="single" w:sz="4" w:space="0" w:color="000000"/>
            </w:tcBorders>
          </w:tcPr>
          <w:p>
            <w:pPr>
              <w:pStyle w:val="TableParagraph"/>
              <w:spacing w:line="244" w:lineRule="exact"/>
              <w:ind w:left="249" w:right="172"/>
              <w:jc w:val="center"/>
              <w:rPr>
                <w:rFonts w:ascii="Microsoft JhengHei" w:eastAsia="Microsoft JhengHei" w:hint="eastAsia"/>
                <w:b/>
                <w:sz w:val="16"/>
              </w:rPr>
            </w:pPr>
            <w:r>
              <w:rPr>
                <w:rFonts w:ascii="Microsoft JhengHei" w:eastAsia="Microsoft JhengHei" w:hint="eastAsia"/>
                <w:b/>
                <w:sz w:val="16"/>
              </w:rPr>
              <w:t>固德威</w:t>
            </w:r>
          </w:p>
        </w:tc>
        <w:tc>
          <w:tcPr>
            <w:tcW w:w="1021" w:type="dxa"/>
            <w:tcBorders>
              <w:top w:val="single" w:sz="4" w:space="0" w:color="000000"/>
              <w:bottom w:val="single" w:sz="4" w:space="0" w:color="000000"/>
            </w:tcBorders>
          </w:tcPr>
          <w:p>
            <w:pPr>
              <w:pStyle w:val="TableParagraph"/>
              <w:spacing w:line="244" w:lineRule="exact"/>
              <w:ind w:right="191"/>
              <w:rPr>
                <w:rFonts w:ascii="Microsoft JhengHei" w:eastAsia="Microsoft JhengHei" w:hint="eastAsia"/>
                <w:b/>
                <w:sz w:val="16"/>
              </w:rPr>
            </w:pPr>
            <w:r>
              <w:rPr>
                <w:rFonts w:ascii="Microsoft JhengHei" w:eastAsia="Microsoft JhengHei" w:hint="eastAsia"/>
                <w:b/>
                <w:sz w:val="16"/>
              </w:rPr>
              <w:t>锦浪科技</w:t>
            </w:r>
          </w:p>
        </w:tc>
        <w:tc>
          <w:tcPr>
            <w:tcW w:w="1021" w:type="dxa"/>
            <w:tcBorders>
              <w:top w:val="single" w:sz="4" w:space="0" w:color="000000"/>
              <w:bottom w:val="single" w:sz="4" w:space="0" w:color="000000"/>
            </w:tcBorders>
          </w:tcPr>
          <w:p>
            <w:pPr>
              <w:pStyle w:val="TableParagraph"/>
              <w:spacing w:line="244" w:lineRule="exact"/>
              <w:ind w:right="192"/>
              <w:rPr>
                <w:rFonts w:ascii="Microsoft JhengHei" w:eastAsia="Microsoft JhengHei" w:hint="eastAsia"/>
                <w:b/>
                <w:sz w:val="16"/>
              </w:rPr>
            </w:pPr>
            <w:r>
              <w:rPr>
                <w:rFonts w:ascii="Microsoft JhengHei" w:eastAsia="Microsoft JhengHei" w:hint="eastAsia"/>
                <w:b/>
                <w:sz w:val="16"/>
              </w:rPr>
              <w:t>上能电气</w:t>
            </w:r>
          </w:p>
        </w:tc>
        <w:tc>
          <w:tcPr>
            <w:tcW w:w="1174" w:type="dxa"/>
            <w:tcBorders>
              <w:top w:val="single" w:sz="4" w:space="0" w:color="000000"/>
              <w:bottom w:val="single" w:sz="4" w:space="0" w:color="000000"/>
            </w:tcBorders>
          </w:tcPr>
          <w:p>
            <w:pPr>
              <w:pStyle w:val="TableParagraph"/>
              <w:spacing w:line="244" w:lineRule="exact"/>
              <w:ind w:right="345"/>
              <w:rPr>
                <w:rFonts w:ascii="Microsoft JhengHei" w:eastAsia="Microsoft JhengHei" w:hint="eastAsia"/>
                <w:b/>
                <w:sz w:val="16"/>
              </w:rPr>
            </w:pPr>
            <w:r>
              <w:rPr>
                <w:rFonts w:ascii="Microsoft JhengHei" w:eastAsia="Microsoft JhengHei" w:hint="eastAsia"/>
                <w:b/>
                <w:sz w:val="16"/>
              </w:rPr>
              <w:t>古瑞瓦特</w:t>
            </w:r>
          </w:p>
        </w:tc>
        <w:tc>
          <w:tcPr>
            <w:tcW w:w="707" w:type="dxa"/>
            <w:tcBorders>
              <w:top w:val="single" w:sz="4" w:space="0" w:color="000000"/>
              <w:bottom w:val="single" w:sz="4" w:space="0" w:color="000000"/>
            </w:tcBorders>
          </w:tcPr>
          <w:p>
            <w:pPr>
              <w:pStyle w:val="TableParagraph"/>
              <w:spacing w:line="244" w:lineRule="exact"/>
              <w:ind w:right="31"/>
              <w:rPr>
                <w:rFonts w:ascii="Microsoft JhengHei" w:eastAsia="Microsoft JhengHei" w:hint="eastAsia"/>
                <w:b/>
                <w:sz w:val="16"/>
              </w:rPr>
            </w:pPr>
            <w:r>
              <w:rPr>
                <w:rFonts w:ascii="Microsoft JhengHei" w:eastAsia="Microsoft JhengHei" w:hint="eastAsia"/>
                <w:b/>
                <w:sz w:val="16"/>
              </w:rPr>
              <w:t>华为</w:t>
            </w:r>
          </w:p>
        </w:tc>
      </w:tr>
      <w:tr>
        <w:tblPrEx>
          <w:tblW w:w="0" w:type="auto"/>
          <w:jc w:val="left"/>
          <w:tblInd w:w="1158" w:type="dxa"/>
          <w:tblLayout w:type="fixed"/>
          <w:tblCellMar>
            <w:top w:w="0" w:type="dxa"/>
            <w:left w:w="0" w:type="dxa"/>
            <w:bottom w:w="0" w:type="dxa"/>
            <w:right w:w="0" w:type="dxa"/>
          </w:tblCellMar>
          <w:tblLook w:val="01E0"/>
        </w:tblPrEx>
        <w:trPr>
          <w:trHeight w:val="264"/>
          <w:jc w:val="left"/>
        </w:trPr>
        <w:tc>
          <w:tcPr>
            <w:tcW w:w="1181" w:type="dxa"/>
            <w:tcBorders>
              <w:top w:val="single" w:sz="4" w:space="0" w:color="000000"/>
            </w:tcBorders>
          </w:tcPr>
          <w:p>
            <w:pPr>
              <w:pStyle w:val="TableParagraph"/>
              <w:spacing w:before="12"/>
              <w:ind w:left="27"/>
              <w:jc w:val="left"/>
              <w:rPr>
                <w:rFonts w:ascii="宋体" w:eastAsia="宋体" w:hint="eastAsia"/>
                <w:sz w:val="16"/>
              </w:rPr>
            </w:pPr>
            <w:r>
              <w:rPr>
                <w:rFonts w:ascii="宋体" w:eastAsia="宋体" w:hint="eastAsia"/>
                <w:sz w:val="16"/>
              </w:rPr>
              <w:t>功率范围</w:t>
            </w:r>
          </w:p>
        </w:tc>
        <w:tc>
          <w:tcPr>
            <w:tcW w:w="1103" w:type="dxa"/>
            <w:tcBorders>
              <w:top w:val="single" w:sz="4" w:space="0" w:color="000000"/>
            </w:tcBorders>
          </w:tcPr>
          <w:p>
            <w:pPr>
              <w:pStyle w:val="TableParagraph"/>
              <w:spacing w:before="40"/>
              <w:ind w:right="269"/>
              <w:rPr>
                <w:sz w:val="16"/>
              </w:rPr>
            </w:pPr>
            <w:r>
              <w:rPr>
                <w:sz w:val="16"/>
              </w:rPr>
              <w:t>3-8800</w:t>
            </w:r>
          </w:p>
        </w:tc>
        <w:tc>
          <w:tcPr>
            <w:tcW w:w="941" w:type="dxa"/>
            <w:tcBorders>
              <w:top w:val="single" w:sz="4" w:space="0" w:color="000000"/>
            </w:tcBorders>
          </w:tcPr>
          <w:p>
            <w:pPr>
              <w:pStyle w:val="TableParagraph"/>
              <w:spacing w:before="40"/>
              <w:ind w:left="249" w:right="138"/>
              <w:jc w:val="center"/>
              <w:rPr>
                <w:sz w:val="16"/>
              </w:rPr>
            </w:pPr>
            <w:r>
              <w:rPr>
                <w:sz w:val="16"/>
              </w:rPr>
              <w:t>0.7-350</w:t>
            </w:r>
          </w:p>
        </w:tc>
        <w:tc>
          <w:tcPr>
            <w:tcW w:w="1021" w:type="dxa"/>
            <w:tcBorders>
              <w:top w:val="single" w:sz="4" w:space="0" w:color="000000"/>
            </w:tcBorders>
          </w:tcPr>
          <w:p>
            <w:pPr>
              <w:pStyle w:val="TableParagraph"/>
              <w:spacing w:before="40"/>
              <w:ind w:right="190"/>
              <w:rPr>
                <w:sz w:val="16"/>
              </w:rPr>
            </w:pPr>
            <w:r>
              <w:rPr>
                <w:sz w:val="16"/>
              </w:rPr>
              <w:t>0.7-320</w:t>
            </w:r>
          </w:p>
        </w:tc>
        <w:tc>
          <w:tcPr>
            <w:tcW w:w="1021" w:type="dxa"/>
            <w:tcBorders>
              <w:top w:val="single" w:sz="4" w:space="0" w:color="000000"/>
            </w:tcBorders>
          </w:tcPr>
          <w:p>
            <w:pPr>
              <w:pStyle w:val="TableParagraph"/>
              <w:spacing w:before="40"/>
              <w:ind w:right="191"/>
              <w:rPr>
                <w:sz w:val="16"/>
              </w:rPr>
            </w:pPr>
            <w:r>
              <w:rPr>
                <w:sz w:val="16"/>
              </w:rPr>
              <w:t>8-6800</w:t>
            </w:r>
          </w:p>
        </w:tc>
        <w:tc>
          <w:tcPr>
            <w:tcW w:w="1174" w:type="dxa"/>
            <w:tcBorders>
              <w:top w:val="single" w:sz="4" w:space="0" w:color="000000"/>
            </w:tcBorders>
          </w:tcPr>
          <w:p>
            <w:pPr>
              <w:pStyle w:val="TableParagraph"/>
              <w:spacing w:before="40"/>
              <w:ind w:right="344"/>
              <w:rPr>
                <w:sz w:val="16"/>
              </w:rPr>
            </w:pPr>
            <w:r>
              <w:rPr>
                <w:sz w:val="16"/>
              </w:rPr>
              <w:t>0.75-253</w:t>
            </w:r>
          </w:p>
        </w:tc>
        <w:tc>
          <w:tcPr>
            <w:tcW w:w="707" w:type="dxa"/>
            <w:tcBorders>
              <w:top w:val="single" w:sz="4" w:space="0" w:color="000000"/>
            </w:tcBorders>
          </w:tcPr>
          <w:p>
            <w:pPr>
              <w:pStyle w:val="TableParagraph"/>
              <w:spacing w:before="40"/>
              <w:ind w:right="30"/>
              <w:rPr>
                <w:sz w:val="16"/>
              </w:rPr>
            </w:pPr>
            <w:r>
              <w:rPr>
                <w:sz w:val="16"/>
              </w:rPr>
              <w:t>3-300</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181" w:type="dxa"/>
          </w:tcPr>
          <w:p>
            <w:pPr>
              <w:pStyle w:val="TableParagraph"/>
              <w:spacing w:before="12"/>
              <w:ind w:left="27"/>
              <w:jc w:val="left"/>
              <w:rPr>
                <w:rFonts w:ascii="宋体" w:eastAsia="宋体" w:hint="eastAsia"/>
                <w:sz w:val="16"/>
              </w:rPr>
            </w:pPr>
            <w:r>
              <w:rPr>
                <w:rFonts w:ascii="宋体" w:eastAsia="宋体" w:hint="eastAsia"/>
                <w:sz w:val="16"/>
              </w:rPr>
              <w:t>其中：组串式</w:t>
            </w:r>
          </w:p>
        </w:tc>
        <w:tc>
          <w:tcPr>
            <w:tcW w:w="1103" w:type="dxa"/>
          </w:tcPr>
          <w:p>
            <w:pPr>
              <w:pStyle w:val="TableParagraph"/>
              <w:spacing w:before="40"/>
              <w:ind w:right="269"/>
              <w:rPr>
                <w:sz w:val="16"/>
              </w:rPr>
            </w:pPr>
            <w:r>
              <w:rPr>
                <w:sz w:val="16"/>
              </w:rPr>
              <w:t>3-320</w:t>
            </w:r>
          </w:p>
        </w:tc>
        <w:tc>
          <w:tcPr>
            <w:tcW w:w="941" w:type="dxa"/>
          </w:tcPr>
          <w:p>
            <w:pPr>
              <w:pStyle w:val="TableParagraph"/>
              <w:spacing w:before="40"/>
              <w:ind w:left="249" w:right="138"/>
              <w:jc w:val="center"/>
              <w:rPr>
                <w:sz w:val="16"/>
              </w:rPr>
            </w:pPr>
            <w:r>
              <w:rPr>
                <w:sz w:val="16"/>
              </w:rPr>
              <w:t>0.7-350</w:t>
            </w:r>
          </w:p>
        </w:tc>
        <w:tc>
          <w:tcPr>
            <w:tcW w:w="1021" w:type="dxa"/>
          </w:tcPr>
          <w:p>
            <w:pPr>
              <w:pStyle w:val="TableParagraph"/>
              <w:spacing w:before="40"/>
              <w:ind w:right="190"/>
              <w:rPr>
                <w:sz w:val="16"/>
              </w:rPr>
            </w:pPr>
            <w:r>
              <w:rPr>
                <w:sz w:val="16"/>
              </w:rPr>
              <w:t>0.7-320</w:t>
            </w:r>
          </w:p>
        </w:tc>
        <w:tc>
          <w:tcPr>
            <w:tcW w:w="1021" w:type="dxa"/>
          </w:tcPr>
          <w:p>
            <w:pPr>
              <w:pStyle w:val="TableParagraph"/>
              <w:spacing w:before="40"/>
              <w:ind w:right="191"/>
              <w:rPr>
                <w:sz w:val="16"/>
              </w:rPr>
            </w:pPr>
            <w:r>
              <w:rPr>
                <w:sz w:val="16"/>
              </w:rPr>
              <w:t>8-350</w:t>
            </w:r>
          </w:p>
        </w:tc>
        <w:tc>
          <w:tcPr>
            <w:tcW w:w="1174" w:type="dxa"/>
          </w:tcPr>
          <w:p>
            <w:pPr>
              <w:pStyle w:val="TableParagraph"/>
              <w:spacing w:before="40"/>
              <w:ind w:right="344"/>
              <w:rPr>
                <w:sz w:val="16"/>
              </w:rPr>
            </w:pPr>
            <w:r>
              <w:rPr>
                <w:sz w:val="16"/>
              </w:rPr>
              <w:t>0.75-253</w:t>
            </w:r>
          </w:p>
        </w:tc>
        <w:tc>
          <w:tcPr>
            <w:tcW w:w="707" w:type="dxa"/>
          </w:tcPr>
          <w:p>
            <w:pPr>
              <w:pStyle w:val="TableParagraph"/>
              <w:spacing w:before="40"/>
              <w:ind w:right="30"/>
              <w:rPr>
                <w:sz w:val="16"/>
              </w:rPr>
            </w:pPr>
            <w:r>
              <w:rPr>
                <w:sz w:val="16"/>
              </w:rPr>
              <w:t>3-300</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181" w:type="dxa"/>
          </w:tcPr>
          <w:p>
            <w:pPr>
              <w:pStyle w:val="TableParagraph"/>
              <w:spacing w:before="12"/>
              <w:ind w:right="192"/>
              <w:rPr>
                <w:rFonts w:ascii="宋体" w:eastAsia="宋体" w:hint="eastAsia"/>
                <w:sz w:val="16"/>
              </w:rPr>
            </w:pPr>
            <w:r>
              <w:rPr>
                <w:rFonts w:ascii="宋体" w:eastAsia="宋体" w:hint="eastAsia"/>
                <w:sz w:val="16"/>
              </w:rPr>
              <w:t>集中式</w:t>
            </w:r>
          </w:p>
        </w:tc>
        <w:tc>
          <w:tcPr>
            <w:tcW w:w="1103" w:type="dxa"/>
          </w:tcPr>
          <w:p>
            <w:pPr>
              <w:pStyle w:val="TableParagraph"/>
              <w:spacing w:before="40"/>
              <w:ind w:right="269"/>
              <w:rPr>
                <w:sz w:val="16"/>
              </w:rPr>
            </w:pPr>
            <w:r>
              <w:rPr>
                <w:sz w:val="16"/>
              </w:rPr>
              <w:t>1100-8800</w:t>
            </w:r>
          </w:p>
        </w:tc>
        <w:tc>
          <w:tcPr>
            <w:tcW w:w="941" w:type="dxa"/>
          </w:tcPr>
          <w:p>
            <w:pPr>
              <w:pStyle w:val="TableParagraph"/>
              <w:jc w:val="left"/>
              <w:rPr>
                <w:rFonts w:ascii="Times New Roman"/>
                <w:sz w:val="18"/>
              </w:rPr>
            </w:pPr>
          </w:p>
        </w:tc>
        <w:tc>
          <w:tcPr>
            <w:tcW w:w="1021" w:type="dxa"/>
          </w:tcPr>
          <w:p>
            <w:pPr>
              <w:pStyle w:val="TableParagraph"/>
              <w:jc w:val="left"/>
              <w:rPr>
                <w:rFonts w:ascii="Times New Roman"/>
                <w:sz w:val="18"/>
              </w:rPr>
            </w:pPr>
          </w:p>
        </w:tc>
        <w:tc>
          <w:tcPr>
            <w:tcW w:w="1021" w:type="dxa"/>
          </w:tcPr>
          <w:p>
            <w:pPr>
              <w:pStyle w:val="TableParagraph"/>
              <w:spacing w:before="40"/>
              <w:ind w:right="191"/>
              <w:rPr>
                <w:sz w:val="16"/>
              </w:rPr>
            </w:pPr>
            <w:r>
              <w:rPr>
                <w:sz w:val="16"/>
              </w:rPr>
              <w:t>2500-6800</w:t>
            </w:r>
          </w:p>
        </w:tc>
        <w:tc>
          <w:tcPr>
            <w:tcW w:w="1174" w:type="dxa"/>
          </w:tcPr>
          <w:p>
            <w:pPr>
              <w:pStyle w:val="TableParagraph"/>
              <w:jc w:val="left"/>
              <w:rPr>
                <w:rFonts w:ascii="Times New Roman"/>
                <w:sz w:val="18"/>
              </w:rPr>
            </w:pPr>
          </w:p>
        </w:tc>
        <w:tc>
          <w:tcPr>
            <w:tcW w:w="707"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1181" w:type="dxa"/>
            <w:tcBorders>
              <w:bottom w:val="single" w:sz="4" w:space="0" w:color="000000"/>
            </w:tcBorders>
          </w:tcPr>
          <w:p>
            <w:pPr>
              <w:pStyle w:val="TableParagraph"/>
              <w:spacing w:before="12"/>
              <w:ind w:right="192"/>
              <w:rPr>
                <w:rFonts w:ascii="宋体" w:eastAsia="宋体" w:hint="eastAsia"/>
                <w:sz w:val="16"/>
              </w:rPr>
            </w:pPr>
            <w:r>
              <w:rPr>
                <w:rFonts w:ascii="宋体" w:eastAsia="宋体" w:hint="eastAsia"/>
                <w:sz w:val="16"/>
              </w:rPr>
              <w:t>集散式</w:t>
            </w:r>
          </w:p>
        </w:tc>
        <w:tc>
          <w:tcPr>
            <w:tcW w:w="1103" w:type="dxa"/>
            <w:tcBorders>
              <w:bottom w:val="single" w:sz="4" w:space="0" w:color="000000"/>
            </w:tcBorders>
          </w:tcPr>
          <w:p>
            <w:pPr>
              <w:pStyle w:val="TableParagraph"/>
              <w:jc w:val="left"/>
              <w:rPr>
                <w:rFonts w:ascii="Times New Roman"/>
                <w:sz w:val="18"/>
              </w:rPr>
            </w:pPr>
          </w:p>
        </w:tc>
        <w:tc>
          <w:tcPr>
            <w:tcW w:w="941" w:type="dxa"/>
            <w:tcBorders>
              <w:bottom w:val="single" w:sz="4" w:space="0" w:color="000000"/>
            </w:tcBorders>
          </w:tcPr>
          <w:p>
            <w:pPr>
              <w:pStyle w:val="TableParagraph"/>
              <w:jc w:val="left"/>
              <w:rPr>
                <w:rFonts w:ascii="Times New Roman"/>
                <w:sz w:val="18"/>
              </w:rPr>
            </w:pPr>
          </w:p>
        </w:tc>
        <w:tc>
          <w:tcPr>
            <w:tcW w:w="1021" w:type="dxa"/>
            <w:tcBorders>
              <w:bottom w:val="single" w:sz="4" w:space="0" w:color="000000"/>
            </w:tcBorders>
          </w:tcPr>
          <w:p>
            <w:pPr>
              <w:pStyle w:val="TableParagraph"/>
              <w:jc w:val="left"/>
              <w:rPr>
                <w:rFonts w:ascii="Times New Roman"/>
                <w:sz w:val="18"/>
              </w:rPr>
            </w:pPr>
          </w:p>
        </w:tc>
        <w:tc>
          <w:tcPr>
            <w:tcW w:w="1021" w:type="dxa"/>
            <w:tcBorders>
              <w:bottom w:val="single" w:sz="4" w:space="0" w:color="000000"/>
            </w:tcBorders>
          </w:tcPr>
          <w:p>
            <w:pPr>
              <w:pStyle w:val="TableParagraph"/>
              <w:spacing w:before="40"/>
              <w:ind w:right="191"/>
              <w:rPr>
                <w:sz w:val="16"/>
              </w:rPr>
            </w:pPr>
            <w:r>
              <w:rPr>
                <w:sz w:val="16"/>
              </w:rPr>
              <w:t>1000-3150</w:t>
            </w:r>
          </w:p>
        </w:tc>
        <w:tc>
          <w:tcPr>
            <w:tcW w:w="1174" w:type="dxa"/>
            <w:tcBorders>
              <w:bottom w:val="single" w:sz="4" w:space="0" w:color="000000"/>
            </w:tcBorders>
          </w:tcPr>
          <w:p>
            <w:pPr>
              <w:pStyle w:val="TableParagraph"/>
              <w:jc w:val="left"/>
              <w:rPr>
                <w:rFonts w:ascii="Times New Roman"/>
                <w:sz w:val="18"/>
              </w:rPr>
            </w:pPr>
          </w:p>
        </w:tc>
        <w:tc>
          <w:tcPr>
            <w:tcW w:w="707" w:type="dxa"/>
            <w:tcBorders>
              <w:bottom w:val="single" w:sz="4" w:space="0" w:color="000000"/>
            </w:tcBorders>
          </w:tcPr>
          <w:p>
            <w:pPr>
              <w:pStyle w:val="TableParagraph"/>
              <w:jc w:val="left"/>
              <w:rPr>
                <w:rFonts w:ascii="Times New Roman"/>
                <w:sz w:val="18"/>
              </w:rPr>
            </w:pPr>
          </w:p>
        </w:tc>
      </w:tr>
    </w:tbl>
    <w:p>
      <w:pPr>
        <w:spacing w:before="0"/>
        <w:ind w:left="1150" w:right="0" w:firstLine="0"/>
        <w:jc w:val="left"/>
        <w:rPr>
          <w:sz w:val="15"/>
        </w:rPr>
        <w:sectPr>
          <w:headerReference w:type="default" r:id="rId64"/>
          <w:footerReference w:type="default" r:id="rId65"/>
          <w:pgSz w:w="12240" w:h="15840"/>
          <w:pgMar w:top="1720" w:right="0" w:bottom="1380" w:left="0" w:header="708" w:footer="708"/>
          <w:pgNumType w:start="23"/>
          <w:cols w:space="708"/>
        </w:sectPr>
      </w:pPr>
      <w:r>
        <w:t xml:space="preserve">资料来源：公司资料， </w:t>
      </w:r>
    </w:p>
    <w:p>
      <w:pPr>
        <w:pStyle w:val="BodyText"/>
        <w:spacing w:before="11"/>
        <w:rPr>
          <w:sz w:val="13"/>
        </w:rPr>
      </w:pPr>
    </w:p>
    <w:p>
      <w:pPr>
        <w:pStyle w:val="BodyText"/>
        <w:spacing w:line="232" w:lineRule="auto"/>
        <w:ind w:left="1151" w:right="3910"/>
        <w:jc w:val="both"/>
      </w:pPr>
      <w:r>
        <w:rPr>
          <w:color w:val="262626"/>
        </w:rPr>
        <w:t>据</w:t>
      </w:r>
      <w:r>
        <w:rPr>
          <w:rFonts w:ascii="Calibri" w:eastAsia="Calibri"/>
          <w:color w:val="262626"/>
        </w:rPr>
        <w:t xml:space="preserve">Wood Mackenzie </w:t>
      </w:r>
      <w:r>
        <w:rPr>
          <w:color w:val="262626"/>
        </w:rPr>
        <w:t>统计，</w:t>
      </w:r>
      <w:r>
        <w:rPr>
          <w:rFonts w:ascii="Calibri" w:eastAsia="Calibri"/>
          <w:color w:val="262626"/>
        </w:rPr>
        <w:t>2022</w:t>
      </w:r>
      <w:r>
        <w:rPr>
          <w:color w:val="262626"/>
        </w:rPr>
        <w:t>年华为、阳光电源分别以</w:t>
      </w:r>
      <w:r>
        <w:rPr>
          <w:rFonts w:ascii="Calibri" w:eastAsia="Calibri"/>
          <w:color w:val="262626"/>
        </w:rPr>
        <w:t>29%</w:t>
      </w:r>
      <w:r>
        <w:rPr>
          <w:color w:val="262626"/>
        </w:rPr>
        <w:t>、</w:t>
      </w:r>
      <w:r>
        <w:rPr>
          <w:rFonts w:ascii="Calibri" w:eastAsia="Calibri"/>
          <w:color w:val="262626"/>
        </w:rPr>
        <w:t>23%</w:t>
      </w:r>
      <w:r>
        <w:rPr>
          <w:color w:val="262626"/>
        </w:rPr>
        <w:t>的市占率稳居全球出货量前</w:t>
      </w:r>
      <w:r>
        <w:rPr>
          <w:rFonts w:ascii="Calibri" w:eastAsia="Calibri"/>
          <w:color w:val="262626"/>
        </w:rPr>
        <w:t>2</w:t>
      </w:r>
      <w:r>
        <w:rPr>
          <w:color w:val="262626"/>
        </w:rPr>
        <w:t>位，锦浪科技、古瑞瓦特、固德威以</w:t>
      </w:r>
      <w:r>
        <w:rPr>
          <w:rFonts w:ascii="Calibri" w:eastAsia="Calibri"/>
          <w:color w:val="262626"/>
        </w:rPr>
        <w:t>8%</w:t>
      </w:r>
      <w:r>
        <w:rPr>
          <w:color w:val="262626"/>
        </w:rPr>
        <w:t>、</w:t>
      </w:r>
      <w:r>
        <w:rPr>
          <w:rFonts w:ascii="Calibri" w:eastAsia="Calibri"/>
          <w:color w:val="262626"/>
        </w:rPr>
        <w:t>6%</w:t>
      </w:r>
      <w:r>
        <w:rPr>
          <w:color w:val="262626"/>
        </w:rPr>
        <w:t>、</w:t>
      </w:r>
      <w:r>
        <w:rPr>
          <w:rFonts w:ascii="Calibri" w:eastAsia="Calibri"/>
          <w:color w:val="262626"/>
        </w:rPr>
        <w:t>5%</w:t>
      </w:r>
      <w:r>
        <w:rPr>
          <w:color w:val="262626"/>
        </w:rPr>
        <w:t>的市占率位居</w:t>
      </w:r>
      <w:r>
        <w:rPr>
          <w:rFonts w:ascii="Calibri" w:eastAsia="Calibri"/>
          <w:color w:val="262626"/>
        </w:rPr>
        <w:t>3-5</w:t>
      </w:r>
      <w:r>
        <w:rPr>
          <w:color w:val="262626"/>
        </w:rPr>
        <w:t>位，</w:t>
      </w:r>
      <w:r>
        <w:rPr>
          <w:rFonts w:ascii="Calibri" w:eastAsia="Calibri"/>
          <w:color w:val="262626"/>
        </w:rPr>
        <w:t>SMA</w:t>
      </w:r>
      <w:r>
        <w:rPr>
          <w:color w:val="262626"/>
        </w:rPr>
        <w:t>、</w:t>
      </w:r>
      <w:r>
        <w:rPr>
          <w:rFonts w:ascii="Calibri" w:eastAsia="Calibri"/>
          <w:color w:val="262626"/>
        </w:rPr>
        <w:t>Power Electronics</w:t>
      </w:r>
      <w:r>
        <w:rPr>
          <w:color w:val="262626"/>
        </w:rPr>
        <w:t>这</w:t>
      </w:r>
      <w:r>
        <w:rPr>
          <w:rFonts w:ascii="Calibri" w:eastAsia="Calibri"/>
          <w:color w:val="262626"/>
        </w:rPr>
        <w:t>2</w:t>
      </w:r>
      <w:r>
        <w:rPr>
          <w:color w:val="262626"/>
        </w:rPr>
        <w:t>家老牌欧洲企业位居</w:t>
      </w:r>
      <w:r>
        <w:rPr>
          <w:rFonts w:ascii="Calibri" w:eastAsia="Calibri"/>
          <w:color w:val="262626"/>
        </w:rPr>
        <w:t>6</w:t>
      </w:r>
      <w:r>
        <w:rPr>
          <w:color w:val="262626"/>
        </w:rPr>
        <w:t>、</w:t>
      </w:r>
      <w:r>
        <w:rPr>
          <w:rFonts w:ascii="Calibri" w:eastAsia="Calibri"/>
          <w:color w:val="262626"/>
        </w:rPr>
        <w:t>7</w:t>
      </w:r>
      <w:r>
        <w:rPr>
          <w:color w:val="262626"/>
        </w:rPr>
        <w:t>位，上能电气、爱士惟、首航新能位居</w:t>
      </w:r>
      <w:r>
        <w:rPr>
          <w:rFonts w:ascii="Calibri" w:eastAsia="Calibri"/>
          <w:color w:val="262626"/>
        </w:rPr>
        <w:t>8-10</w:t>
      </w:r>
      <w:r>
        <w:rPr>
          <w:color w:val="262626"/>
        </w:rPr>
        <w:t>位。</w:t>
      </w:r>
    </w:p>
    <w:p>
      <w:pPr>
        <w:pStyle w:val="BodyText"/>
        <w:spacing w:before="176" w:line="232" w:lineRule="auto"/>
        <w:ind w:left="1151" w:right="3913"/>
      </w:pPr>
      <w:r>
        <w:rPr>
          <w:color w:val="262626"/>
        </w:rPr>
        <w:t>逆变器厂商根据自身技术与市场积累，在不同细分领域和区域市场形成自身竞争优势。在细分应用场景方面，在大型地面电站和大型工商业分布式电站领域</w:t>
      </w:r>
    </w:p>
    <w:p>
      <w:pPr>
        <w:spacing w:after="0" w:line="232" w:lineRule="auto"/>
        <w:sectPr>
          <w:headerReference w:type="default" r:id="rId66"/>
          <w:footerReference w:type="default" r:id="rId67"/>
          <w:type w:val="nextPage"/>
          <w:pgSz w:w="12240" w:h="15840"/>
          <w:pgMar w:top="1720" w:right="0" w:bottom="1380" w:left="0" w:header="708" w:footer="708"/>
          <w:pgNumType w:start="24"/>
          <w:cols w:space="708"/>
          <w:titlePg w:val="0"/>
        </w:sectPr>
      </w:pPr>
    </w:p>
    <w:p>
      <w:pPr>
        <w:pStyle w:val="BodyText"/>
        <w:rPr>
          <w:sz w:val="20"/>
        </w:rPr>
      </w:pPr>
    </w:p>
    <w:p>
      <w:pPr>
        <w:pStyle w:val="BodyText"/>
        <w:spacing w:before="5"/>
        <w:rPr>
          <w:sz w:val="23"/>
        </w:rPr>
      </w:pPr>
    </w:p>
    <w:p>
      <w:pPr>
        <w:pStyle w:val="BodyText"/>
        <w:spacing w:before="58" w:line="265" w:lineRule="exact"/>
        <w:ind w:left="1151"/>
      </w:pPr>
      <w:r>
        <w:rPr>
          <w:color w:val="262626"/>
        </w:rPr>
        <w:t>，华为、阳光电源、上能电气等竞争优势较强；在小型分布式、户用电站领域</w:t>
      </w:r>
    </w:p>
    <w:p>
      <w:pPr>
        <w:pStyle w:val="BodyText"/>
        <w:spacing w:line="260" w:lineRule="exact"/>
        <w:ind w:left="1151"/>
      </w:pPr>
      <w:r>
        <w:rPr>
          <w:color w:val="262626"/>
          <w:spacing w:val="5"/>
        </w:rPr>
        <w:t>，锦浪科技、固德威、古瑞瓦特、</w:t>
      </w:r>
      <w:r>
        <w:rPr>
          <w:rFonts w:ascii="Calibri" w:eastAsia="Calibri"/>
          <w:color w:val="262626"/>
          <w:spacing w:val="3"/>
        </w:rPr>
        <w:t>SMA</w:t>
      </w:r>
      <w:r>
        <w:rPr>
          <w:color w:val="262626"/>
          <w:spacing w:val="-24"/>
        </w:rPr>
        <w:t xml:space="preserve">、 </w:t>
      </w:r>
      <w:r>
        <w:rPr>
          <w:rFonts w:ascii="Calibri" w:eastAsia="Calibri"/>
          <w:color w:val="262626"/>
        </w:rPr>
        <w:t>SolarEdge</w:t>
      </w:r>
      <w:r>
        <w:rPr>
          <w:rFonts w:ascii="Calibri" w:eastAsia="Calibri"/>
          <w:color w:val="262626"/>
          <w:spacing w:val="5"/>
        </w:rPr>
        <w:t xml:space="preserve"> </w:t>
      </w:r>
      <w:r>
        <w:rPr>
          <w:color w:val="262626"/>
          <w:spacing w:val="4"/>
        </w:rPr>
        <w:t>等厂商具有一定竞争优势</w:t>
      </w:r>
    </w:p>
    <w:p>
      <w:pPr>
        <w:pStyle w:val="BodyText"/>
        <w:spacing w:line="265" w:lineRule="exact"/>
        <w:ind w:left="1151"/>
      </w:pPr>
      <w:r>
        <w:rPr>
          <w:color w:val="262626"/>
        </w:rPr>
        <w:t xml:space="preserve">；在微型逆变器领域， </w:t>
      </w:r>
      <w:r>
        <w:rPr>
          <w:rFonts w:ascii="Calibri" w:eastAsia="Calibri"/>
          <w:color w:val="262626"/>
        </w:rPr>
        <w:t xml:space="preserve">Enphase </w:t>
      </w:r>
      <w:r>
        <w:rPr>
          <w:color w:val="262626"/>
        </w:rPr>
        <w:t>占据大部分市场份额。</w:t>
      </w:r>
    </w:p>
    <w:p>
      <w:pPr>
        <w:pStyle w:val="BodyText"/>
        <w:spacing w:before="177" w:line="232" w:lineRule="auto"/>
        <w:ind w:left="1151" w:right="3910"/>
        <w:jc w:val="both"/>
      </w:pPr>
      <w:r>
        <w:rPr>
          <w:color w:val="262626"/>
        </w:rPr>
        <w:t xml:space="preserve">在区域竞争上，华为、阳光电源在全球主要光伏市场均占据较高的市场份额。二线厂商则在特定区域市场具有差异化优势。 </w:t>
      </w:r>
      <w:r>
        <w:rPr>
          <w:rFonts w:ascii="Calibri" w:eastAsia="Calibri"/>
          <w:color w:val="262626"/>
        </w:rPr>
        <w:t>SMA</w:t>
      </w:r>
      <w:r>
        <w:rPr>
          <w:color w:val="262626"/>
        </w:rPr>
        <w:t xml:space="preserve">、 </w:t>
      </w:r>
      <w:r>
        <w:rPr>
          <w:rFonts w:ascii="Calibri" w:eastAsia="Calibri"/>
          <w:color w:val="262626"/>
        </w:rPr>
        <w:t xml:space="preserve">Power Electronics </w:t>
      </w:r>
      <w:r>
        <w:rPr>
          <w:color w:val="262626"/>
        </w:rPr>
        <w:t>、</w:t>
      </w:r>
      <w:r>
        <w:rPr>
          <w:rFonts w:ascii="Calibri" w:eastAsia="Calibri"/>
          <w:color w:val="262626"/>
        </w:rPr>
        <w:t xml:space="preserve">SolarEdge </w:t>
      </w:r>
      <w:r>
        <w:rPr>
          <w:color w:val="262626"/>
        </w:rPr>
        <w:t>等海外厂商在美国市场占据较高市场份额，古瑞瓦特、锦浪科技等厂商在拉丁美洲出货量较大，固德威境外销售重点布局欧洲地区，而上能电气收入主要来源于內地。</w:t>
      </w:r>
    </w:p>
    <w:p>
      <w:pPr>
        <w:pStyle w:val="BodyText"/>
        <w:spacing w:before="4"/>
        <w:rPr>
          <w:sz w:val="15"/>
        </w:rPr>
      </w:pPr>
    </w:p>
    <w:p>
      <w:pPr>
        <w:pStyle w:val="Heading3"/>
        <w:jc w:val="both"/>
      </w:pPr>
      <w:r>
        <w:rPr>
          <w:color w:val="262626"/>
        </w:rPr>
        <w:t>图表</w:t>
      </w:r>
      <w:r>
        <w:rPr>
          <w:rFonts w:ascii="Calibri" w:eastAsia="Calibri"/>
        </w:rPr>
        <w:t>17: 2022</w:t>
      </w:r>
      <w:r>
        <w:t>年全球逆变器企业出货量占比</w:t>
      </w:r>
    </w:p>
    <w:p>
      <w:pPr>
        <w:pStyle w:val="BodyText"/>
        <w:spacing w:line="20" w:lineRule="exact"/>
        <w:ind w:left="1143"/>
        <w:rPr>
          <w:rFonts w:ascii="Microsoft JhengHei"/>
          <w:sz w:val="2"/>
        </w:rPr>
      </w:pPr>
      <w:r>
        <w:rPr>
          <w:rFonts w:ascii="Microsoft JhengHei"/>
          <w:sz w:val="2"/>
        </w:rPr>
        <w:pict>
          <v:group id="_x0000_i1265" style="width:357.2pt;height:0.75pt;mso-position-horizontal-relative:char;mso-position-vertical-relative:line" coordorigin="0,0" coordsize="7144,15">
            <v:line id="_x0000_s1266" style="position:absolute" from="0,8" to="7144,8" stroked="t" strokecolor="black" strokeweight="0.75pt">
              <v:stroke dashstyle="solid"/>
            </v:line>
            <w10:wrap type="none"/>
          </v:group>
        </w:pict>
      </w:r>
    </w:p>
    <w:p>
      <w:pPr>
        <w:tabs>
          <w:tab w:val="left" w:pos="1236"/>
        </w:tabs>
        <w:spacing w:before="19"/>
        <w:ind w:left="0" w:right="1545" w:firstLine="0"/>
        <w:jc w:val="center"/>
        <w:rPr>
          <w:rFonts w:ascii="Calibri" w:eastAsia="Calibri"/>
          <w:sz w:val="14"/>
        </w:rPr>
      </w:pPr>
      <w:r>
        <w:pict>
          <v:group id="_x0000_s1267" style="width:147.05pt;height:127pt;margin-top:9.83pt;margin-left:171pt;mso-position-horizontal-relative:page;position:absolute;z-index:-251598848" coordorigin="3420,197" coordsize="2941,2540">
            <v:shape id="_x0000_s1268" style="width:1528;height:1139;left:3629;position:absolute;top:1454" coordorigin="3630,1454" coordsize="1528,1139" path="m4798,2592l4726,2592,4655,2587,4585,2578,4516,2565,4448,2547,4381,2526,4316,2500,4252,2470,4190,2437,4131,2400,4074,2359,4019,2315,3967,2267,3917,2216,3871,2162,3828,2104,3789,2043,3753,1980,3721,1913,3693,1843,3671,1775,3653,1706,3639,1636,3630,1565,4766,1454,5157,2524,5085,2547,5014,2565,4942,2579,4870,2588,4798,2592xe" filled="t" fillcolor="#bcdadf" stroked="f">
              <v:fill type="solid"/>
              <v:path arrowok="t"/>
            </v:shape>
            <v:shape id="_x0000_s1269" style="width:1528;height:1139;left:3629;position:absolute;top:1454" coordorigin="3630,1454" coordsize="1528,1139" path="m5157,2524l5085,2547,5014,2565,4942,2579,4870,2588,4798,2592,4726,2592,4655,2587,4585,2578,4516,2565,4448,2547,4381,2526,4316,2500,4252,2470,4190,2437,4131,2400,4074,2359,4019,2315,3967,2267,3917,2216,3871,2162,3828,2104,3789,2043,3753,1980,3721,1913,3693,1843,3671,1775,3653,1706,3639,1636,3630,1565,4766,1454,5157,2524xe" filled="f" stroked="t" strokecolor="#7e7e7e" strokeweight="0.72pt">
              <v:stroke dashstyle="solid"/>
              <v:path arrowok="t"/>
            </v:shape>
            <v:shape id="_x0000_s1270" style="width:1142;height:1221;left:3630;position:absolute;top:334" coordorigin="3631,335" coordsize="1142,1221" path="m3636,1556l3631,1478,3631,1401,3636,1326,3647,1251,3662,1178,3682,1106,3706,1037,3735,969,3768,903,3805,840,3846,779,3891,721,3940,666,3992,614,4047,565,4106,520,4168,479,4233,441,4301,408,4371,379,4444,354,4519,335,4772,1445,3636,1556xe" filled="t" fillcolor="#59a1ae" stroked="f">
              <v:fill type="solid"/>
              <v:path arrowok="t"/>
            </v:shape>
            <v:shape id="_x0000_s1271" style="width:1142;height:1221;left:3630;position:absolute;top:334" coordorigin="3631,335" coordsize="1142,1221" path="m3636,1556l3631,1478,3631,1401,3636,1326,3647,1251,3662,1178,3682,1106,3706,1037,3735,969,3768,903,3805,840,3846,779,3891,721,3940,666,3992,614,4047,565,4106,520,4168,479,4233,441,4301,408,4371,379,4444,354,4519,335,4772,1445,3636,1556xe" filled="f" stroked="t" strokecolor="#7e7e7e" strokeweight="0.72pt">
              <v:stroke dashstyle="solid"/>
              <v:path arrowok="t"/>
            </v:shape>
            <v:shape id="_x0000_s1272" style="width:568;height:1139;left:4519;position:absolute;top:306" coordorigin="4519,306" coordsize="568,1139" path="m4772,1445l4519,335,4600,319,4682,310,4763,306,4845,309,4926,317,5007,331,5087,350,4772,1445xe" filled="t" fillcolor="#417b85" stroked="f">
              <v:fill type="solid"/>
              <v:path arrowok="t"/>
            </v:shape>
            <v:shape id="_x0000_s1273" style="width:568;height:1139;left:4519;position:absolute;top:306" coordorigin="4519,306" coordsize="568,1139" path="m4519,335l4600,319,4682,310,4763,306,4845,309,4926,317,5007,331,5087,350,4772,1445,4519,335xe" filled="f" stroked="t" strokecolor="#7e7e7e" strokeweight="0.72pt">
              <v:stroke dashstyle="solid"/>
              <v:path arrowok="t"/>
            </v:shape>
            <v:shape id="_x0000_s1274" style="width:697;height:1095;left:4772;position:absolute;top:350" coordorigin="4772,350" coordsize="697,1095" path="m4772,1445l5087,350,5169,377,5249,410,5325,449,5399,493,5469,543,4772,1445xe" filled="t" fillcolor="#d8d3d8" stroked="f">
              <v:fill type="solid"/>
              <v:path arrowok="t"/>
            </v:shape>
            <v:shape id="_x0000_s1275" style="width:697;height:1095;left:4772;position:absolute;top:350" coordorigin="4772,350" coordsize="697,1095" path="m5087,350l5169,377,5249,410,5325,449,5399,493,5469,543,4772,1445,5087,350xe" filled="f" stroked="t" strokecolor="#7e7e7e" strokeweight="0.72pt">
              <v:stroke dashstyle="solid"/>
              <v:path arrowok="t"/>
            </v:shape>
            <v:shape id="_x0000_s1276" style="width:943;height:902;left:4772;position:absolute;top:542" coordorigin="4772,543" coordsize="943,902" path="m4772,1445l5469,543,5538,600,5602,663,5661,730,5715,802,4772,1445xe" filled="t" fillcolor="#9c90a0" stroked="f">
              <v:fill type="solid"/>
              <v:path arrowok="t"/>
            </v:shape>
            <v:shape id="_x0000_s1277" style="width:943;height:902;left:4772;position:absolute;top:542" coordorigin="4772,543" coordsize="943,902" path="m5469,543l5538,600,5602,663,5661,730,5715,802,4772,1445,5469,543xe" filled="f" stroked="t" strokecolor="#7e7e7e" strokeweight="0.72pt">
              <v:stroke dashstyle="solid"/>
              <v:path arrowok="t"/>
            </v:shape>
            <v:shape id="_x0000_s1278" style="width:1047;height:644;left:4772;position:absolute;top:801" coordorigin="4772,802" coordsize="1047,644" path="m4772,1445l5715,802,5744,846,5771,893,5796,940,5819,989,4772,1445xe" filled="t" fillcolor="#77697b" stroked="f">
              <v:fill type="solid"/>
              <v:path arrowok="t"/>
            </v:shape>
            <v:shape id="_x0000_s1279" style="width:1047;height:644;left:4772;position:absolute;top:801" coordorigin="4772,802" coordsize="1047,644" path="m5715,802l5744,846,5771,893,5796,940,5819,989,4772,1445,5715,802xe" filled="f" stroked="t" strokecolor="#7e7e7e" strokeweight="0.72pt">
              <v:stroke dashstyle="solid"/>
              <v:path arrowok="t"/>
            </v:shape>
            <v:shape id="_x0000_s1280" style="width:1114;height:456;left:4772;position:absolute;top:988" coordorigin="4772,989" coordsize="1114,456" path="m4772,1445l5819,989,5839,1039,5857,1089,5873,1140,5886,1192,4772,1445xe" filled="t" fillcolor="#4f4652" stroked="f">
              <v:fill type="solid"/>
              <v:path arrowok="t"/>
            </v:shape>
            <v:shape id="_x0000_s1281" style="width:1114;height:456;left:4772;position:absolute;top:988" coordorigin="4772,989" coordsize="1114,456" path="m5819,989l5839,1039,5857,1089,5873,1140,5886,1192,4772,1445,5819,989xe" filled="f" stroked="t" strokecolor="#7e7e7e" strokeweight="0.72pt">
              <v:stroke dashstyle="solid"/>
              <v:path arrowok="t"/>
            </v:shape>
            <v:shape id="_x0000_s1282" style="width:1142;height:253;left:4772;position:absolute;top:1192" coordorigin="4772,1192" coordsize="1142,253" path="m4772,1445l5886,1192,5897,1245,5905,1298,5911,1351,5914,1405,4772,1445xe" filled="t" fillcolor="#d4e4f6" stroked="f">
              <v:fill type="solid"/>
              <v:path arrowok="t"/>
            </v:shape>
            <v:shape id="_x0000_s1283" style="width:1142;height:253;left:4772;position:absolute;top:1192" coordorigin="4772,1192" coordsize="1142,253" path="m5886,1192l5897,1245,5905,1298,5911,1351,5914,1405,4772,1445,5886,1192xe" filled="f" stroked="t" strokecolor="#7e7e7e" strokeweight="0.72pt">
              <v:stroke dashstyle="solid"/>
              <v:path arrowok="t"/>
            </v:shape>
            <v:shape id="_x0000_s1284" style="width:1142;height:214;left:4772;position:absolute;top:1404" coordorigin="4772,1405" coordsize="1142,214" path="m5901,1619l4772,1445,5914,1405,5914,1458,5912,1512,5908,1565,5901,1619xe" filled="t" fillcolor="#a8cced" stroked="f">
              <v:fill type="solid"/>
              <v:path arrowok="t"/>
            </v:shape>
            <v:shape id="_x0000_s1285" style="width:1142;height:214;left:4772;position:absolute;top:1404" coordorigin="4772,1405" coordsize="1142,214" path="m5914,1405l5914,1458,5912,1512,5908,1565,5901,1619,4772,1445,5914,1405xe" filled="f" stroked="t" strokecolor="#7e7e7e" strokeweight="0.72pt">
              <v:stroke dashstyle="solid"/>
              <v:path arrowok="t"/>
            </v:shape>
            <v:shape id="_x0000_s1286" style="width:1129;height:382;left:4772;position:absolute;top:1444" coordorigin="4772,1445" coordsize="1129,382" path="m5848,1826l4772,1445,5901,1619,5891,1671,5880,1724,5865,1775,5848,1826xe" filled="t" fillcolor="#7eb1e6" stroked="f">
              <v:fill type="solid"/>
              <v:path arrowok="t"/>
            </v:shape>
            <v:shape id="_x0000_s1287" style="width:1129;height:382;left:4772;position:absolute;top:1444" coordorigin="4772,1445" coordsize="1129,382" path="m5901,1619l5891,1671,5880,1724,5865,1775,5848,1826,4772,1445,5901,1619xe" filled="f" stroked="t" strokecolor="#7e7e7e" strokeweight="0.72pt">
              <v:stroke dashstyle="solid"/>
              <v:path arrowok="t"/>
            </v:shape>
            <v:shape id="_x0000_s1288" style="width:1076;height:576;left:4772;position:absolute;top:1444" coordorigin="4772,1445" coordsize="1076,576" path="m5757,2020l4772,1445,5848,1826,5829,1876,5807,1926,5784,1974,5757,2020xe" filled="t" fillcolor="#287ed4" stroked="f">
              <v:fill type="solid"/>
              <v:path arrowok="t"/>
            </v:shape>
            <v:shape id="_x0000_s1289" style="width:1076;height:576;left:4772;position:absolute;top:1444" coordorigin="4772,1445" coordsize="1076,576" path="m5848,1826l5829,1876,5807,1926,5784,1974,5757,2020,4772,1445,5848,1826xe" filled="f" stroked="t" strokecolor="#7e7e7e" strokeweight="0.72pt">
              <v:stroke dashstyle="solid"/>
              <v:path arrowok="t"/>
            </v:shape>
            <v:shape id="_x0000_s1290" style="width:986;height:1070;left:4772;position:absolute;top:1444" coordorigin="4772,1445" coordsize="986,1070" path="m5163,2514l4772,1445,5757,2020,5715,2087,5668,2151,5617,2211,5562,2267,5503,2319,5441,2367,5376,2411,5308,2450,5237,2484,5163,2514xe" filled="t" fillcolor="#1f5ea0" stroked="f">
              <v:fill type="solid"/>
              <v:path arrowok="t"/>
            </v:shape>
            <v:shape id="_x0000_s1291" style="width:986;height:1070;left:4772;position:absolute;top:1444" coordorigin="4772,1445" coordsize="986,1070" path="m5757,2020l5715,2087,5668,2151,5617,2211,5562,2267,5503,2319,5441,2367,5376,2411,5308,2450,5237,2484,5163,2514,4772,1445,5757,2020xe" filled="f" stroked="t" strokecolor="#7e7e7e" strokeweight="0.72pt">
              <v:stroke dashstyle="solid"/>
              <v:path arrowok="t"/>
            </v:shape>
            <v:shape id="_x0000_s1292" style="width:428;height:312;left:3729;position:absolute;top:2418" coordorigin="3730,2418" coordsize="428,312" path="m4157,2418l3821,2729,3730,2729e" filled="f" stroked="t" strokecolor="#a5a5a5" strokeweight="0.72pt">
              <v:stroke dashstyle="solid"/>
              <v:path arrowok="t"/>
            </v:shape>
            <v:shape id="_x0000_s1293" style="width:418;height:362;left:3427;position:absolute;top:416" coordorigin="3427,417" coordsize="418,362" path="m3845,778l3518,417,3427,417e" filled="f" stroked="t" strokecolor="#a5a5a5" strokeweight="0.72pt">
              <v:stroke dashstyle="solid"/>
              <v:path arrowok="t"/>
            </v:shape>
            <v:shape id="_x0000_s1294" style="width:265;height:226;left:5286;position:absolute;top:203" coordorigin="5286,204" coordsize="265,226" path="m5286,429l5462,204,5551,204e" filled="f" stroked="t" strokecolor="#a5a5a5" strokeweight="0.72pt">
              <v:stroke dashstyle="solid"/>
              <v:path arrowok="t"/>
            </v:shape>
            <v:shape id="_x0000_s1295" style="width:380;height:283;left:5600;position:absolute;top:380" coordorigin="5601,381" coordsize="380,283" path="m5601,663l5889,381,5980,381e" filled="f" stroked="t" strokecolor="#a5a5a5" strokeweight="0.72pt">
              <v:stroke dashstyle="solid"/>
              <v:path arrowok="t"/>
            </v:shape>
            <v:shape id="_x0000_s1296" style="width:505;height:302;left:5771;position:absolute;top:591" coordorigin="5771,592" coordsize="505,302" path="m5771,893l6187,592,6276,592e" filled="f" stroked="t" strokecolor="#a5a5a5" strokeweight="0.72pt">
              <v:stroke dashstyle="solid"/>
              <v:path arrowok="t"/>
            </v:shape>
            <v:shape id="_x0000_s1297" style="width:313;height:230;left:5857;position:absolute;top:859" coordorigin="5858,860" coordsize="313,230" path="m5858,1090l6079,860,6170,860e" filled="f" stroked="t" strokecolor="#a5a5a5" strokeweight="0.72pt">
              <v:stroke dashstyle="solid"/>
              <v:path arrowok="t"/>
            </v:shape>
            <v:shape id="_x0000_s1298" style="width:308;height:10;left:5906;position:absolute;top:1288" coordorigin="5906,1288" coordsize="308,10" path="m5906,1298l6125,1288,6213,1288e" filled="f" stroked="t" strokecolor="#a5a5a5" strokeweight="0.72pt">
              <v:stroke dashstyle="solid"/>
              <v:path arrowok="t"/>
            </v:shape>
            <v:shape id="_x0000_s1299" style="width:440;height:75;left:5913;position:absolute;top:1510" coordorigin="5913,1511" coordsize="440,75" path="m5913,1511l6264,1585,6353,1585e" filled="f" stroked="t" strokecolor="#a5a5a5" strokeweight="0.72pt">
              <v:stroke dashstyle="solid"/>
              <v:path arrowok="t"/>
            </v:shape>
            <v:shape id="_x0000_s1300" style="width:394;height:221;left:5879;position:absolute;top:1723" coordorigin="5880,1724" coordsize="394,221" path="m5880,1724l6185,1944,6274,1944e" filled="f" stroked="t" strokecolor="#a5a5a5" strokeweight="0.72pt">
              <v:stroke dashstyle="solid"/>
              <v:path arrowok="t"/>
            </v:shape>
            <v:shape id="_x0000_s1301" style="width:370;height:321;left:5807;position:absolute;top:1924" coordorigin="5808,1925" coordsize="370,321" path="m5808,1925l6086,2246,6177,2246e" filled="f" stroked="t" strokecolor="#a5a5a5" strokeweight="0.72pt">
              <v:stroke dashstyle="solid"/>
              <v:path arrowok="t"/>
            </v:shape>
            <v:shape id="_x0000_s1302" style="width:356;height:338;left:5502;position:absolute;top:2319" coordorigin="5502,2320" coordsize="356,338" path="m5502,2320l5767,2657,5858,2657e" filled="f" stroked="t" strokecolor="#a5a5a5" strokeweight="0.72pt">
              <v:stroke dashstyle="solid"/>
              <v:path arrowok="t"/>
            </v:shape>
          </v:group>
        </w:pict>
      </w:r>
      <w:r>
        <w:rPr>
          <w:color w:val="3F3F3F"/>
          <w:sz w:val="14"/>
        </w:rPr>
        <w:t>锦浪科技</w:t>
      </w:r>
      <w:r>
        <w:rPr>
          <w:color w:val="3F3F3F"/>
          <w:spacing w:val="-36"/>
          <w:sz w:val="14"/>
        </w:rPr>
        <w:t xml:space="preserve"> </w:t>
      </w:r>
      <w:r>
        <w:rPr>
          <w:rFonts w:ascii="Calibri" w:eastAsia="Calibri"/>
          <w:color w:val="3F3F3F"/>
          <w:sz w:val="14"/>
        </w:rPr>
        <w:t>8%</w:t>
        <w:tab/>
      </w:r>
      <w:r>
        <w:rPr>
          <w:color w:val="3F3F3F"/>
          <w:position w:val="-2"/>
          <w:sz w:val="14"/>
        </w:rPr>
        <w:t>古瑞瓦特</w:t>
      </w:r>
      <w:r>
        <w:rPr>
          <w:color w:val="3F3F3F"/>
          <w:spacing w:val="-34"/>
          <w:position w:val="-2"/>
          <w:sz w:val="14"/>
        </w:rPr>
        <w:t xml:space="preserve"> </w:t>
      </w:r>
      <w:r>
        <w:rPr>
          <w:rFonts w:ascii="Calibri" w:eastAsia="Calibri"/>
          <w:color w:val="3F3F3F"/>
          <w:position w:val="-2"/>
          <w:sz w:val="14"/>
        </w:rPr>
        <w:t>6%</w:t>
      </w:r>
    </w:p>
    <w:p>
      <w:pPr>
        <w:spacing w:after="0"/>
        <w:jc w:val="center"/>
        <w:rPr>
          <w:rFonts w:ascii="Calibri" w:eastAsia="Calibri"/>
          <w:sz w:val="14"/>
        </w:rPr>
        <w:sectPr>
          <w:headerReference w:type="default" r:id="rId68"/>
          <w:footerReference w:type="default" r:id="rId69"/>
          <w:pgSz w:w="12240" w:h="15840"/>
          <w:pgMar w:top="1720" w:right="0" w:bottom="1380" w:left="0" w:header="708" w:footer="708"/>
          <w:pgNumType w:start="25"/>
          <w:cols w:space="708"/>
        </w:sectPr>
      </w:pPr>
    </w:p>
    <w:p>
      <w:pPr>
        <w:spacing w:before="50"/>
        <w:ind w:left="2816" w:right="284" w:firstLine="0"/>
        <w:jc w:val="center"/>
        <w:rPr>
          <w:sz w:val="14"/>
        </w:rPr>
      </w:pPr>
      <w:r>
        <w:rPr>
          <w:color w:val="3F3F3F"/>
          <w:sz w:val="14"/>
        </w:rPr>
        <w:t>阳光电源</w:t>
      </w:r>
    </w:p>
    <w:p>
      <w:pPr>
        <w:spacing w:before="7"/>
        <w:ind w:left="2816" w:right="281" w:firstLine="0"/>
        <w:jc w:val="center"/>
        <w:rPr>
          <w:rFonts w:ascii="Calibri"/>
          <w:sz w:val="14"/>
        </w:rPr>
      </w:pPr>
      <w:r>
        <w:rPr>
          <w:rFonts w:ascii="Calibri"/>
          <w:color w:val="3F3F3F"/>
          <w:sz w:val="14"/>
        </w:rPr>
        <w:t>23%</w:t>
      </w: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pStyle w:val="BodyText"/>
        <w:rPr>
          <w:rFonts w:ascii="Calibri"/>
          <w:sz w:val="14"/>
        </w:rPr>
      </w:pPr>
    </w:p>
    <w:p>
      <w:pPr>
        <w:spacing w:before="107"/>
        <w:ind w:left="0" w:right="0" w:firstLine="0"/>
        <w:jc w:val="right"/>
        <w:rPr>
          <w:rFonts w:ascii="Calibri" w:eastAsia="Calibri"/>
          <w:sz w:val="14"/>
        </w:rPr>
      </w:pPr>
      <w:r>
        <w:rPr>
          <w:color w:val="3F3F3F"/>
          <w:sz w:val="14"/>
        </w:rPr>
        <w:t xml:space="preserve">华为 </w:t>
      </w:r>
      <w:r>
        <w:rPr>
          <w:rFonts w:ascii="Calibri" w:eastAsia="Calibri"/>
          <w:color w:val="3F3F3F"/>
          <w:sz w:val="14"/>
        </w:rPr>
        <w:t>29%</w:t>
      </w:r>
    </w:p>
    <w:p>
      <w:pPr>
        <w:spacing w:before="14"/>
        <w:ind w:left="2270" w:right="0" w:firstLine="0"/>
        <w:jc w:val="left"/>
        <w:rPr>
          <w:rFonts w:ascii="Calibri" w:eastAsia="Calibri"/>
          <w:sz w:val="14"/>
        </w:rPr>
      </w:pPr>
      <w:r>
        <w:br w:type="column"/>
      </w:r>
      <w:r>
        <w:rPr>
          <w:color w:val="3F3F3F"/>
          <w:sz w:val="14"/>
        </w:rPr>
        <w:t xml:space="preserve">固德威 </w:t>
      </w:r>
      <w:r>
        <w:rPr>
          <w:rFonts w:ascii="Calibri" w:eastAsia="Calibri"/>
          <w:color w:val="3F3F3F"/>
          <w:sz w:val="14"/>
        </w:rPr>
        <w:t>5%</w:t>
      </w:r>
    </w:p>
    <w:p>
      <w:pPr>
        <w:spacing w:before="38"/>
        <w:ind w:left="2567" w:right="0" w:firstLine="0"/>
        <w:jc w:val="left"/>
        <w:rPr>
          <w:rFonts w:ascii="Calibri"/>
          <w:sz w:val="14"/>
        </w:rPr>
      </w:pPr>
      <w:r>
        <w:rPr>
          <w:rFonts w:ascii="Calibri"/>
          <w:color w:val="3F3F3F"/>
          <w:sz w:val="14"/>
        </w:rPr>
        <w:t>SMA 3%</w:t>
      </w:r>
    </w:p>
    <w:p>
      <w:pPr>
        <w:spacing w:before="97"/>
        <w:ind w:left="2461" w:right="5215" w:hanging="1"/>
        <w:jc w:val="center"/>
        <w:rPr>
          <w:rFonts w:ascii="Calibri"/>
          <w:sz w:val="14"/>
        </w:rPr>
      </w:pPr>
      <w:r>
        <w:rPr>
          <w:rFonts w:ascii="Calibri"/>
          <w:color w:val="3F3F3F"/>
          <w:sz w:val="14"/>
        </w:rPr>
        <w:t>Power Electronics</w:t>
      </w:r>
      <w:r>
        <w:rPr>
          <w:rFonts w:ascii="Calibri"/>
          <w:color w:val="3F3F3F"/>
          <w:spacing w:val="-2"/>
          <w:sz w:val="14"/>
        </w:rPr>
        <w:t xml:space="preserve"> </w:t>
      </w:r>
      <w:r>
        <w:rPr>
          <w:rFonts w:ascii="Calibri"/>
          <w:color w:val="3F3F3F"/>
          <w:spacing w:val="-8"/>
          <w:sz w:val="14"/>
        </w:rPr>
        <w:t>3%</w:t>
      </w:r>
    </w:p>
    <w:p>
      <w:pPr>
        <w:spacing w:before="80"/>
        <w:ind w:left="0" w:right="5215" w:firstLine="0"/>
        <w:jc w:val="right"/>
        <w:rPr>
          <w:rFonts w:ascii="Calibri" w:eastAsia="Calibri"/>
          <w:sz w:val="14"/>
        </w:rPr>
      </w:pPr>
      <w:r>
        <w:rPr>
          <w:color w:val="3F3F3F"/>
          <w:spacing w:val="-8"/>
          <w:sz w:val="14"/>
        </w:rPr>
        <w:t xml:space="preserve">上能电气 </w:t>
      </w:r>
      <w:r>
        <w:rPr>
          <w:rFonts w:ascii="Calibri" w:eastAsia="Calibri"/>
          <w:color w:val="3F3F3F"/>
          <w:sz w:val="14"/>
        </w:rPr>
        <w:t>3%</w:t>
      </w:r>
    </w:p>
    <w:p>
      <w:pPr>
        <w:spacing w:before="117"/>
        <w:ind w:left="0" w:right="5218" w:firstLine="0"/>
        <w:jc w:val="right"/>
        <w:rPr>
          <w:rFonts w:ascii="Calibri" w:eastAsia="Calibri"/>
          <w:sz w:val="14"/>
        </w:rPr>
      </w:pPr>
      <w:r>
        <w:rPr>
          <w:color w:val="3F3F3F"/>
          <w:spacing w:val="-11"/>
          <w:sz w:val="14"/>
        </w:rPr>
        <w:t xml:space="preserve">爱士惟 </w:t>
      </w:r>
      <w:r>
        <w:rPr>
          <w:rFonts w:ascii="Calibri" w:eastAsia="Calibri"/>
          <w:color w:val="3F3F3F"/>
          <w:sz w:val="14"/>
        </w:rPr>
        <w:t>3%</w:t>
      </w:r>
    </w:p>
    <w:p>
      <w:pPr>
        <w:pStyle w:val="BodyText"/>
        <w:spacing w:before="9"/>
        <w:rPr>
          <w:rFonts w:ascii="Calibri"/>
          <w:sz w:val="14"/>
        </w:rPr>
      </w:pPr>
    </w:p>
    <w:p>
      <w:pPr>
        <w:spacing w:before="0"/>
        <w:ind w:left="0" w:right="5235" w:firstLine="0"/>
        <w:jc w:val="right"/>
        <w:rPr>
          <w:sz w:val="14"/>
        </w:rPr>
      </w:pPr>
      <w:r>
        <w:rPr>
          <w:color w:val="3F3F3F"/>
          <w:w w:val="95"/>
          <w:sz w:val="14"/>
        </w:rPr>
        <w:t>首航新能源</w:t>
      </w:r>
    </w:p>
    <w:p>
      <w:pPr>
        <w:spacing w:before="7" w:line="147" w:lineRule="exact"/>
        <w:ind w:left="2809" w:right="5478" w:firstLine="0"/>
        <w:jc w:val="center"/>
        <w:rPr>
          <w:rFonts w:ascii="Calibri"/>
          <w:sz w:val="14"/>
        </w:rPr>
      </w:pPr>
      <w:r>
        <w:rPr>
          <w:rFonts w:ascii="Calibri"/>
          <w:color w:val="3F3F3F"/>
          <w:sz w:val="14"/>
        </w:rPr>
        <w:t>3%</w:t>
      </w:r>
    </w:p>
    <w:p>
      <w:pPr>
        <w:spacing w:before="0" w:line="147" w:lineRule="exact"/>
        <w:ind w:left="2467" w:right="0" w:firstLine="0"/>
        <w:jc w:val="left"/>
        <w:rPr>
          <w:rFonts w:ascii="Calibri"/>
          <w:sz w:val="14"/>
        </w:rPr>
      </w:pPr>
      <w:r>
        <w:rPr>
          <w:rFonts w:ascii="Calibri"/>
          <w:color w:val="3F3F3F"/>
          <w:sz w:val="14"/>
        </w:rPr>
        <w:t>TEMIC</w:t>
      </w:r>
      <w:r>
        <w:rPr>
          <w:rFonts w:ascii="Calibri"/>
          <w:color w:val="3F3F3F"/>
          <w:spacing w:val="-4"/>
          <w:sz w:val="14"/>
        </w:rPr>
        <w:t xml:space="preserve"> </w:t>
      </w:r>
      <w:r>
        <w:rPr>
          <w:rFonts w:ascii="Calibri"/>
          <w:color w:val="3F3F3F"/>
          <w:sz w:val="14"/>
        </w:rPr>
        <w:t>3%</w:t>
      </w:r>
    </w:p>
    <w:p>
      <w:pPr>
        <w:pStyle w:val="BodyText"/>
        <w:spacing w:before="1"/>
        <w:rPr>
          <w:rFonts w:ascii="Calibri"/>
          <w:sz w:val="19"/>
        </w:rPr>
      </w:pPr>
    </w:p>
    <w:p>
      <w:pPr>
        <w:spacing w:before="0"/>
        <w:ind w:left="2150" w:right="0" w:firstLine="0"/>
        <w:jc w:val="left"/>
        <w:rPr>
          <w:rFonts w:ascii="Calibri" w:eastAsia="Calibri"/>
          <w:sz w:val="14"/>
        </w:rPr>
      </w:pPr>
      <w:r>
        <w:rPr>
          <w:color w:val="3F3F3F"/>
          <w:sz w:val="14"/>
        </w:rPr>
        <w:t xml:space="preserve">其他 </w:t>
      </w:r>
      <w:r>
        <w:rPr>
          <w:rFonts w:ascii="Calibri" w:eastAsia="Calibri"/>
          <w:color w:val="3F3F3F"/>
          <w:sz w:val="14"/>
        </w:rPr>
        <w:t>11%</w:t>
      </w:r>
    </w:p>
    <w:p>
      <w:pPr>
        <w:spacing w:after="0"/>
        <w:jc w:val="left"/>
        <w:rPr>
          <w:rFonts w:ascii="Calibri" w:eastAsia="Calibri"/>
          <w:sz w:val="14"/>
        </w:rPr>
        <w:sectPr>
          <w:headerReference w:type="default" r:id="rId70"/>
          <w:footerReference w:type="default" r:id="rId71"/>
          <w:type w:val="continuous"/>
          <w:pgSz w:w="12240" w:h="15840"/>
          <w:pgMar w:top="1500" w:right="0" w:bottom="280" w:left="0" w:header="708" w:footer="708"/>
          <w:pgNumType w:start="26"/>
          <w:cols w:num="2" w:space="708" w:equalWidth="0">
            <w:col w:w="3700" w:space="40"/>
            <w:col w:w="8500" w:space="0"/>
          </w:cols>
        </w:sectPr>
      </w:pPr>
    </w:p>
    <w:p>
      <w:pPr>
        <w:pStyle w:val="BodyText"/>
        <w:spacing w:before="11"/>
        <w:rPr>
          <w:rFonts w:ascii="Calibri"/>
          <w:sz w:val="4"/>
        </w:rPr>
      </w:pPr>
    </w:p>
    <w:tbl>
      <w:tblPr>
        <w:tblStyle w:val="TableNormal2"/>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67"/>
        <w:gridCol w:w="1398"/>
        <w:gridCol w:w="1580"/>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25"/>
          <w:jc w:val="left"/>
        </w:trPr>
        <w:tc>
          <w:tcPr>
            <w:tcW w:w="4167" w:type="dxa"/>
            <w:tcBorders>
              <w:top w:val="single" w:sz="6" w:space="0" w:color="000000"/>
              <w:bottom w:val="single" w:sz="4" w:space="0" w:color="000000"/>
            </w:tcBorders>
          </w:tcPr>
          <w:p>
            <w:pPr>
              <w:pStyle w:val="TableParagraph"/>
              <w:spacing w:line="186" w:lineRule="exact"/>
              <w:ind w:left="-1"/>
              <w:jc w:val="left"/>
              <w:rPr>
                <w:rFonts w:ascii="宋体" w:eastAsia="宋体" w:hint="eastAsia"/>
                <w:sz w:val="15"/>
              </w:rPr>
            </w:pPr>
            <w:r>
              <w:rPr>
                <w:rFonts w:ascii="宋体" w:eastAsia="宋体" w:hint="eastAsia"/>
                <w:sz w:val="15"/>
              </w:rPr>
              <w:t>资料来源：</w:t>
            </w:r>
            <w:r>
              <w:rPr>
                <w:rFonts w:ascii="Calibri" w:eastAsia="Calibri"/>
                <w:i/>
                <w:sz w:val="14"/>
              </w:rPr>
              <w:t>Wood Mackenzie</w:t>
            </w:r>
            <w:r>
              <w:rPr>
                <w:rFonts w:ascii="宋体" w:eastAsia="宋体" w:hint="eastAsia"/>
                <w:sz w:val="15"/>
              </w:rPr>
              <w:t>，交银国际</w:t>
            </w:r>
          </w:p>
          <w:p>
            <w:pPr>
              <w:pStyle w:val="TableParagraph"/>
              <w:spacing w:before="5"/>
              <w:jc w:val="left"/>
              <w:rPr>
                <w:rFonts w:ascii="Calibri"/>
                <w:sz w:val="11"/>
              </w:rPr>
            </w:pPr>
          </w:p>
          <w:p>
            <w:pPr>
              <w:pStyle w:val="TableParagraph"/>
              <w:spacing w:line="380" w:lineRule="exact"/>
              <w:jc w:val="left"/>
              <w:rPr>
                <w:rFonts w:ascii="Microsoft JhengHei" w:eastAsia="Microsoft JhengHei" w:hint="eastAsia"/>
                <w:b/>
                <w:sz w:val="22"/>
              </w:rPr>
            </w:pPr>
            <w:r>
              <w:rPr>
                <w:rFonts w:ascii="Microsoft JhengHei" w:eastAsia="Microsoft JhengHei" w:hint="eastAsia"/>
                <w:b/>
                <w:sz w:val="22"/>
              </w:rPr>
              <w:t>图表</w:t>
            </w:r>
            <w:r>
              <w:rPr>
                <w:rFonts w:ascii="Calibri" w:eastAsia="Calibri"/>
                <w:b/>
                <w:sz w:val="22"/>
              </w:rPr>
              <w:t>18: 2022</w:t>
            </w:r>
            <w:r>
              <w:rPr>
                <w:rFonts w:ascii="Microsoft JhengHei" w:eastAsia="Microsoft JhengHei" w:hint="eastAsia"/>
                <w:b/>
                <w:sz w:val="22"/>
              </w:rPr>
              <w:t>年全球主要逆变器企业出货量</w:t>
            </w:r>
          </w:p>
        </w:tc>
        <w:tc>
          <w:tcPr>
            <w:tcW w:w="2978" w:type="dxa"/>
            <w:gridSpan w:val="2"/>
            <w:tcBorders>
              <w:top w:val="single" w:sz="6" w:space="0" w:color="000000"/>
              <w:bottom w:val="single" w:sz="4" w:space="0" w:color="000000"/>
            </w:tcBorders>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4167" w:type="dxa"/>
            <w:tcBorders>
              <w:top w:val="single" w:sz="4" w:space="0" w:color="000000"/>
              <w:bottom w:val="single" w:sz="4" w:space="0" w:color="000000"/>
            </w:tcBorders>
          </w:tcPr>
          <w:p>
            <w:pPr>
              <w:pStyle w:val="TableParagraph"/>
              <w:spacing w:line="244" w:lineRule="exact"/>
              <w:ind w:left="27"/>
              <w:jc w:val="left"/>
              <w:rPr>
                <w:rFonts w:ascii="Microsoft JhengHei" w:eastAsia="Microsoft JhengHei" w:hint="eastAsia"/>
                <w:b/>
                <w:sz w:val="16"/>
              </w:rPr>
            </w:pPr>
            <w:r>
              <w:rPr>
                <w:rFonts w:ascii="Microsoft JhengHei" w:eastAsia="Microsoft JhengHei" w:hint="eastAsia"/>
                <w:b/>
                <w:sz w:val="16"/>
              </w:rPr>
              <w:t>企业</w:t>
            </w:r>
          </w:p>
        </w:tc>
        <w:tc>
          <w:tcPr>
            <w:tcW w:w="1398" w:type="dxa"/>
            <w:tcBorders>
              <w:top w:val="single" w:sz="4" w:space="0" w:color="000000"/>
              <w:bottom w:val="single" w:sz="4" w:space="0" w:color="000000"/>
            </w:tcBorders>
          </w:tcPr>
          <w:p>
            <w:pPr>
              <w:pStyle w:val="TableParagraph"/>
              <w:spacing w:line="244" w:lineRule="exact"/>
              <w:ind w:right="830"/>
              <w:rPr>
                <w:rFonts w:ascii="Microsoft JhengHei" w:eastAsia="Microsoft JhengHei" w:hint="eastAsia"/>
                <w:b/>
                <w:sz w:val="16"/>
              </w:rPr>
            </w:pPr>
            <w:r>
              <w:rPr>
                <w:rFonts w:ascii="Microsoft JhengHei" w:eastAsia="Microsoft JhengHei" w:hint="eastAsia"/>
                <w:b/>
                <w:sz w:val="16"/>
              </w:rPr>
              <w:t>国别</w:t>
            </w:r>
          </w:p>
        </w:tc>
        <w:tc>
          <w:tcPr>
            <w:tcW w:w="1580" w:type="dxa"/>
            <w:tcBorders>
              <w:top w:val="single" w:sz="4" w:space="0" w:color="000000"/>
              <w:bottom w:val="single" w:sz="4" w:space="0" w:color="000000"/>
            </w:tcBorders>
          </w:tcPr>
          <w:p>
            <w:pPr>
              <w:pStyle w:val="TableParagraph"/>
              <w:spacing w:line="244" w:lineRule="exact"/>
              <w:ind w:right="28"/>
              <w:rPr>
                <w:rFonts w:ascii="Microsoft JhengHei" w:eastAsia="Microsoft JhengHei" w:hint="eastAsia"/>
                <w:b/>
                <w:sz w:val="16"/>
              </w:rPr>
            </w:pPr>
            <w:r>
              <w:rPr>
                <w:rFonts w:ascii="Microsoft JhengHei" w:eastAsia="Microsoft JhengHei" w:hint="eastAsia"/>
                <w:b/>
                <w:sz w:val="16"/>
              </w:rPr>
              <w:t>出货量</w:t>
            </w:r>
          </w:p>
        </w:tc>
      </w:tr>
      <w:tr>
        <w:tblPrEx>
          <w:tblW w:w="0" w:type="auto"/>
          <w:jc w:val="left"/>
          <w:tblInd w:w="1158" w:type="dxa"/>
          <w:tblLayout w:type="fixed"/>
          <w:tblCellMar>
            <w:top w:w="0" w:type="dxa"/>
            <w:left w:w="0" w:type="dxa"/>
            <w:bottom w:w="0" w:type="dxa"/>
            <w:right w:w="0" w:type="dxa"/>
          </w:tblCellMar>
          <w:tblLook w:val="01E0"/>
        </w:tblPrEx>
        <w:trPr>
          <w:trHeight w:val="255"/>
          <w:jc w:val="left"/>
        </w:trPr>
        <w:tc>
          <w:tcPr>
            <w:tcW w:w="4167" w:type="dxa"/>
            <w:tcBorders>
              <w:top w:val="single" w:sz="4" w:space="0" w:color="000000"/>
            </w:tcBorders>
          </w:tcPr>
          <w:p>
            <w:pPr>
              <w:pStyle w:val="TableParagraph"/>
              <w:spacing w:before="12"/>
              <w:ind w:left="27"/>
              <w:jc w:val="left"/>
              <w:rPr>
                <w:rFonts w:ascii="宋体" w:eastAsia="宋体" w:hint="eastAsia"/>
                <w:sz w:val="16"/>
              </w:rPr>
            </w:pPr>
            <w:r>
              <w:rPr>
                <w:rFonts w:ascii="宋体" w:eastAsia="宋体" w:hint="eastAsia"/>
                <w:sz w:val="16"/>
              </w:rPr>
              <w:t>阳光电源</w:t>
            </w:r>
          </w:p>
        </w:tc>
        <w:tc>
          <w:tcPr>
            <w:tcW w:w="1398" w:type="dxa"/>
            <w:tcBorders>
              <w:top w:val="single" w:sz="4" w:space="0" w:color="000000"/>
            </w:tcBorders>
          </w:tcPr>
          <w:p>
            <w:pPr>
              <w:pStyle w:val="TableParagraph"/>
              <w:spacing w:before="12"/>
              <w:ind w:right="830"/>
              <w:rPr>
                <w:rFonts w:ascii="宋体" w:eastAsia="宋体" w:hint="eastAsia"/>
                <w:sz w:val="16"/>
              </w:rPr>
            </w:pPr>
            <w:r>
              <w:rPr>
                <w:rFonts w:ascii="宋体" w:eastAsia="宋体" w:hint="eastAsia"/>
                <w:sz w:val="16"/>
              </w:rPr>
              <w:t>中国</w:t>
            </w:r>
          </w:p>
        </w:tc>
        <w:tc>
          <w:tcPr>
            <w:tcW w:w="1580" w:type="dxa"/>
            <w:tcBorders>
              <w:top w:val="single" w:sz="4" w:space="0" w:color="000000"/>
            </w:tcBorders>
          </w:tcPr>
          <w:p>
            <w:pPr>
              <w:pStyle w:val="TableParagraph"/>
              <w:spacing w:before="40"/>
              <w:ind w:right="27"/>
              <w:rPr>
                <w:sz w:val="16"/>
              </w:rPr>
            </w:pPr>
            <w:r>
              <w:rPr>
                <w:sz w:val="16"/>
              </w:rPr>
              <w:t>77GW</w:t>
            </w:r>
          </w:p>
        </w:tc>
      </w:tr>
      <w:tr>
        <w:tblPrEx>
          <w:tblW w:w="0" w:type="auto"/>
          <w:jc w:val="left"/>
          <w:tblInd w:w="1158" w:type="dxa"/>
          <w:tblLayout w:type="fixed"/>
          <w:tblCellMar>
            <w:top w:w="0" w:type="dxa"/>
            <w:left w:w="0" w:type="dxa"/>
            <w:bottom w:w="0" w:type="dxa"/>
            <w:right w:w="0" w:type="dxa"/>
          </w:tblCellMar>
          <w:tblLook w:val="01E0"/>
        </w:tblPrEx>
        <w:trPr>
          <w:trHeight w:val="255"/>
          <w:jc w:val="left"/>
        </w:trPr>
        <w:tc>
          <w:tcPr>
            <w:tcW w:w="4167" w:type="dxa"/>
          </w:tcPr>
          <w:p>
            <w:pPr>
              <w:pStyle w:val="TableParagraph"/>
              <w:spacing w:before="21"/>
              <w:ind w:left="27"/>
              <w:jc w:val="left"/>
              <w:rPr>
                <w:rFonts w:ascii="宋体" w:eastAsia="宋体" w:hint="eastAsia"/>
                <w:sz w:val="16"/>
              </w:rPr>
            </w:pPr>
            <w:r>
              <w:rPr>
                <w:rFonts w:ascii="宋体" w:eastAsia="宋体" w:hint="eastAsia"/>
                <w:sz w:val="16"/>
              </w:rPr>
              <w:t>古瑞瓦特</w:t>
            </w:r>
          </w:p>
        </w:tc>
        <w:tc>
          <w:tcPr>
            <w:tcW w:w="1398" w:type="dxa"/>
          </w:tcPr>
          <w:p>
            <w:pPr>
              <w:pStyle w:val="TableParagraph"/>
              <w:spacing w:before="21"/>
              <w:ind w:right="830"/>
              <w:rPr>
                <w:rFonts w:ascii="宋体" w:eastAsia="宋体" w:hint="eastAsia"/>
                <w:sz w:val="16"/>
              </w:rPr>
            </w:pPr>
            <w:r>
              <w:rPr>
                <w:rFonts w:ascii="宋体" w:eastAsia="宋体" w:hint="eastAsia"/>
                <w:sz w:val="16"/>
              </w:rPr>
              <w:t>中国</w:t>
            </w:r>
          </w:p>
        </w:tc>
        <w:tc>
          <w:tcPr>
            <w:tcW w:w="1580" w:type="dxa"/>
          </w:tcPr>
          <w:p>
            <w:pPr>
              <w:pStyle w:val="TableParagraph"/>
              <w:spacing w:before="21"/>
              <w:ind w:right="27"/>
              <w:rPr>
                <w:rFonts w:ascii="宋体" w:eastAsia="宋体" w:hint="eastAsia"/>
                <w:sz w:val="16"/>
              </w:rPr>
            </w:pPr>
            <w:r>
              <w:rPr>
                <w:sz w:val="16"/>
              </w:rPr>
              <w:t>128.75</w:t>
            </w:r>
            <w:r>
              <w:rPr>
                <w:rFonts w:ascii="宋体" w:eastAsia="宋体" w:hint="eastAsia"/>
                <w:sz w:val="16"/>
              </w:rPr>
              <w:t>万台</w:t>
            </w:r>
          </w:p>
        </w:tc>
      </w:tr>
      <w:tr>
        <w:tblPrEx>
          <w:tblW w:w="0" w:type="auto"/>
          <w:jc w:val="left"/>
          <w:tblInd w:w="1158" w:type="dxa"/>
          <w:tblLayout w:type="fixed"/>
          <w:tblCellMar>
            <w:top w:w="0" w:type="dxa"/>
            <w:left w:w="0" w:type="dxa"/>
            <w:bottom w:w="0" w:type="dxa"/>
            <w:right w:w="0" w:type="dxa"/>
          </w:tblCellMar>
          <w:tblLook w:val="01E0"/>
        </w:tblPrEx>
        <w:trPr>
          <w:trHeight w:val="272"/>
          <w:jc w:val="left"/>
        </w:trPr>
        <w:tc>
          <w:tcPr>
            <w:tcW w:w="4167" w:type="dxa"/>
          </w:tcPr>
          <w:p>
            <w:pPr>
              <w:pStyle w:val="TableParagraph"/>
              <w:spacing w:before="30"/>
              <w:ind w:left="27"/>
              <w:jc w:val="left"/>
              <w:rPr>
                <w:rFonts w:ascii="宋体" w:eastAsia="宋体" w:hint="eastAsia"/>
                <w:sz w:val="16"/>
              </w:rPr>
            </w:pPr>
            <w:r>
              <w:rPr>
                <w:rFonts w:ascii="宋体" w:eastAsia="宋体" w:hint="eastAsia"/>
                <w:sz w:val="16"/>
              </w:rPr>
              <w:t>锦浪</w:t>
            </w:r>
          </w:p>
        </w:tc>
        <w:tc>
          <w:tcPr>
            <w:tcW w:w="1398" w:type="dxa"/>
          </w:tcPr>
          <w:p>
            <w:pPr>
              <w:pStyle w:val="TableParagraph"/>
              <w:spacing w:before="30"/>
              <w:ind w:right="830"/>
              <w:rPr>
                <w:rFonts w:ascii="宋体" w:eastAsia="宋体" w:hint="eastAsia"/>
                <w:sz w:val="16"/>
              </w:rPr>
            </w:pPr>
            <w:r>
              <w:rPr>
                <w:rFonts w:ascii="宋体" w:eastAsia="宋体" w:hint="eastAsia"/>
                <w:sz w:val="16"/>
              </w:rPr>
              <w:t>中国</w:t>
            </w:r>
          </w:p>
        </w:tc>
        <w:tc>
          <w:tcPr>
            <w:tcW w:w="1580" w:type="dxa"/>
          </w:tcPr>
          <w:p>
            <w:pPr>
              <w:pStyle w:val="TableParagraph"/>
              <w:spacing w:before="30"/>
              <w:ind w:right="27"/>
              <w:rPr>
                <w:rFonts w:ascii="宋体" w:eastAsia="宋体" w:hint="eastAsia"/>
                <w:sz w:val="16"/>
              </w:rPr>
            </w:pPr>
            <w:r>
              <w:rPr>
                <w:sz w:val="16"/>
              </w:rPr>
              <w:t>94.23</w:t>
            </w:r>
            <w:r>
              <w:rPr>
                <w:rFonts w:ascii="宋体" w:eastAsia="宋体" w:hint="eastAsia"/>
                <w:sz w:val="16"/>
              </w:rPr>
              <w:t>万台</w:t>
            </w:r>
          </w:p>
        </w:tc>
      </w:tr>
      <w:tr>
        <w:tblPrEx>
          <w:tblW w:w="0" w:type="auto"/>
          <w:jc w:val="left"/>
          <w:tblInd w:w="1158" w:type="dxa"/>
          <w:tblLayout w:type="fixed"/>
          <w:tblCellMar>
            <w:top w:w="0" w:type="dxa"/>
            <w:left w:w="0" w:type="dxa"/>
            <w:bottom w:w="0" w:type="dxa"/>
            <w:right w:w="0" w:type="dxa"/>
          </w:tblCellMar>
          <w:tblLook w:val="01E0"/>
        </w:tblPrEx>
        <w:trPr>
          <w:trHeight w:val="272"/>
          <w:jc w:val="left"/>
        </w:trPr>
        <w:tc>
          <w:tcPr>
            <w:tcW w:w="4167" w:type="dxa"/>
          </w:tcPr>
          <w:p>
            <w:pPr>
              <w:pStyle w:val="TableParagraph"/>
              <w:spacing w:before="49"/>
              <w:ind w:left="27"/>
              <w:jc w:val="left"/>
              <w:rPr>
                <w:sz w:val="16"/>
              </w:rPr>
            </w:pPr>
            <w:r>
              <w:rPr>
                <w:sz w:val="16"/>
              </w:rPr>
              <w:t>SMA</w:t>
            </w:r>
          </w:p>
        </w:tc>
        <w:tc>
          <w:tcPr>
            <w:tcW w:w="1398" w:type="dxa"/>
          </w:tcPr>
          <w:p>
            <w:pPr>
              <w:pStyle w:val="TableParagraph"/>
              <w:spacing w:before="21"/>
              <w:ind w:right="830"/>
              <w:rPr>
                <w:rFonts w:ascii="宋体" w:eastAsia="宋体" w:hint="eastAsia"/>
                <w:sz w:val="16"/>
              </w:rPr>
            </w:pPr>
            <w:r>
              <w:rPr>
                <w:rFonts w:ascii="宋体" w:eastAsia="宋体" w:hint="eastAsia"/>
                <w:sz w:val="16"/>
              </w:rPr>
              <w:t>德国</w:t>
            </w:r>
          </w:p>
        </w:tc>
        <w:tc>
          <w:tcPr>
            <w:tcW w:w="1580" w:type="dxa"/>
          </w:tcPr>
          <w:p>
            <w:pPr>
              <w:pStyle w:val="TableParagraph"/>
              <w:spacing w:before="49"/>
              <w:ind w:right="27"/>
              <w:rPr>
                <w:sz w:val="16"/>
              </w:rPr>
            </w:pPr>
            <w:r>
              <w:rPr>
                <w:sz w:val="16"/>
              </w:rPr>
              <w:t>12.5GW</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4167" w:type="dxa"/>
          </w:tcPr>
          <w:p>
            <w:pPr>
              <w:pStyle w:val="TableParagraph"/>
              <w:spacing w:before="40"/>
              <w:ind w:left="27"/>
              <w:jc w:val="left"/>
              <w:rPr>
                <w:sz w:val="16"/>
              </w:rPr>
            </w:pPr>
            <w:r>
              <w:rPr>
                <w:sz w:val="16"/>
              </w:rPr>
              <w:t>Power Electronics</w:t>
            </w:r>
          </w:p>
        </w:tc>
        <w:tc>
          <w:tcPr>
            <w:tcW w:w="1398" w:type="dxa"/>
          </w:tcPr>
          <w:p>
            <w:pPr>
              <w:pStyle w:val="TableParagraph"/>
              <w:spacing w:before="12"/>
              <w:ind w:right="830"/>
              <w:rPr>
                <w:rFonts w:ascii="宋体" w:eastAsia="宋体" w:hint="eastAsia"/>
                <w:sz w:val="16"/>
              </w:rPr>
            </w:pPr>
            <w:r>
              <w:rPr>
                <w:rFonts w:ascii="宋体" w:eastAsia="宋体" w:hint="eastAsia"/>
                <w:sz w:val="16"/>
              </w:rPr>
              <w:t>西班牙</w:t>
            </w:r>
          </w:p>
        </w:tc>
        <w:tc>
          <w:tcPr>
            <w:tcW w:w="1580" w:type="dxa"/>
          </w:tcPr>
          <w:p>
            <w:pPr>
              <w:pStyle w:val="TableParagraph"/>
              <w:spacing w:before="40"/>
              <w:ind w:right="27"/>
              <w:rPr>
                <w:sz w:val="16"/>
              </w:rPr>
            </w:pPr>
            <w:r>
              <w:rPr>
                <w:sz w:val="16"/>
              </w:rPr>
              <w:t>11.6GW</w:t>
            </w:r>
          </w:p>
        </w:tc>
      </w:tr>
      <w:tr>
        <w:tblPrEx>
          <w:tblW w:w="0" w:type="auto"/>
          <w:jc w:val="left"/>
          <w:tblInd w:w="1158" w:type="dxa"/>
          <w:tblLayout w:type="fixed"/>
          <w:tblCellMar>
            <w:top w:w="0" w:type="dxa"/>
            <w:left w:w="0" w:type="dxa"/>
            <w:bottom w:w="0" w:type="dxa"/>
            <w:right w:w="0" w:type="dxa"/>
          </w:tblCellMar>
          <w:tblLook w:val="01E0"/>
        </w:tblPrEx>
        <w:trPr>
          <w:trHeight w:val="255"/>
          <w:jc w:val="left"/>
        </w:trPr>
        <w:tc>
          <w:tcPr>
            <w:tcW w:w="4167" w:type="dxa"/>
          </w:tcPr>
          <w:p>
            <w:pPr>
              <w:pStyle w:val="TableParagraph"/>
              <w:spacing w:before="12"/>
              <w:ind w:left="27"/>
              <w:jc w:val="left"/>
              <w:rPr>
                <w:rFonts w:ascii="宋体" w:eastAsia="宋体" w:hint="eastAsia"/>
                <w:sz w:val="16"/>
              </w:rPr>
            </w:pPr>
            <w:r>
              <w:rPr>
                <w:rFonts w:ascii="宋体" w:eastAsia="宋体" w:hint="eastAsia"/>
                <w:sz w:val="16"/>
              </w:rPr>
              <w:t>上能电气</w:t>
            </w:r>
          </w:p>
        </w:tc>
        <w:tc>
          <w:tcPr>
            <w:tcW w:w="1398" w:type="dxa"/>
          </w:tcPr>
          <w:p>
            <w:pPr>
              <w:pStyle w:val="TableParagraph"/>
              <w:spacing w:before="12"/>
              <w:ind w:right="830"/>
              <w:rPr>
                <w:rFonts w:ascii="宋体" w:eastAsia="宋体" w:hint="eastAsia"/>
                <w:sz w:val="16"/>
              </w:rPr>
            </w:pPr>
            <w:r>
              <w:rPr>
                <w:rFonts w:ascii="宋体" w:eastAsia="宋体" w:hint="eastAsia"/>
                <w:sz w:val="16"/>
              </w:rPr>
              <w:t>中国</w:t>
            </w:r>
          </w:p>
        </w:tc>
        <w:tc>
          <w:tcPr>
            <w:tcW w:w="1580" w:type="dxa"/>
          </w:tcPr>
          <w:p>
            <w:pPr>
              <w:pStyle w:val="TableParagraph"/>
              <w:spacing w:before="40"/>
              <w:ind w:right="27"/>
              <w:rPr>
                <w:sz w:val="16"/>
              </w:rPr>
            </w:pPr>
            <w:r>
              <w:rPr>
                <w:sz w:val="16"/>
              </w:rPr>
              <w:t>10.08GW</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4167" w:type="dxa"/>
          </w:tcPr>
          <w:p>
            <w:pPr>
              <w:pStyle w:val="TableParagraph"/>
              <w:spacing w:before="21"/>
              <w:ind w:left="27"/>
              <w:jc w:val="left"/>
              <w:rPr>
                <w:rFonts w:ascii="宋体" w:eastAsia="宋体" w:hint="eastAsia"/>
                <w:sz w:val="16"/>
              </w:rPr>
            </w:pPr>
            <w:r>
              <w:rPr>
                <w:rFonts w:ascii="宋体" w:eastAsia="宋体" w:hint="eastAsia"/>
                <w:sz w:val="16"/>
              </w:rPr>
              <w:t>固德威</w:t>
            </w:r>
          </w:p>
        </w:tc>
        <w:tc>
          <w:tcPr>
            <w:tcW w:w="1398" w:type="dxa"/>
          </w:tcPr>
          <w:p>
            <w:pPr>
              <w:pStyle w:val="TableParagraph"/>
              <w:spacing w:before="21"/>
              <w:ind w:right="830"/>
              <w:rPr>
                <w:rFonts w:ascii="宋体" w:eastAsia="宋体" w:hint="eastAsia"/>
                <w:sz w:val="16"/>
              </w:rPr>
            </w:pPr>
            <w:r>
              <w:rPr>
                <w:rFonts w:ascii="宋体" w:eastAsia="宋体" w:hint="eastAsia"/>
                <w:sz w:val="16"/>
              </w:rPr>
              <w:t>中国</w:t>
            </w:r>
          </w:p>
        </w:tc>
        <w:tc>
          <w:tcPr>
            <w:tcW w:w="1580" w:type="dxa"/>
          </w:tcPr>
          <w:p>
            <w:pPr>
              <w:pStyle w:val="TableParagraph"/>
              <w:spacing w:before="21"/>
              <w:ind w:right="27"/>
              <w:rPr>
                <w:rFonts w:ascii="宋体" w:eastAsia="宋体" w:hint="eastAsia"/>
                <w:sz w:val="16"/>
              </w:rPr>
            </w:pPr>
            <w:r>
              <w:rPr>
                <w:sz w:val="16"/>
              </w:rPr>
              <w:t>68.83</w:t>
            </w:r>
            <w:r>
              <w:rPr>
                <w:rFonts w:ascii="宋体" w:eastAsia="宋体" w:hint="eastAsia"/>
                <w:sz w:val="16"/>
              </w:rPr>
              <w:t>万台</w:t>
            </w:r>
          </w:p>
        </w:tc>
      </w:tr>
      <w:tr>
        <w:tblPrEx>
          <w:tblW w:w="0" w:type="auto"/>
          <w:jc w:val="left"/>
          <w:tblInd w:w="1158" w:type="dxa"/>
          <w:tblLayout w:type="fixed"/>
          <w:tblCellMar>
            <w:top w:w="0" w:type="dxa"/>
            <w:left w:w="0" w:type="dxa"/>
            <w:bottom w:w="0" w:type="dxa"/>
            <w:right w:w="0" w:type="dxa"/>
          </w:tblCellMar>
          <w:tblLook w:val="01E0"/>
        </w:tblPrEx>
        <w:trPr>
          <w:trHeight w:val="272"/>
          <w:jc w:val="left"/>
        </w:trPr>
        <w:tc>
          <w:tcPr>
            <w:tcW w:w="4167" w:type="dxa"/>
          </w:tcPr>
          <w:p>
            <w:pPr>
              <w:pStyle w:val="TableParagraph"/>
              <w:spacing w:before="49"/>
              <w:ind w:left="27"/>
              <w:jc w:val="left"/>
              <w:rPr>
                <w:sz w:val="16"/>
              </w:rPr>
            </w:pPr>
            <w:r>
              <w:rPr>
                <w:sz w:val="16"/>
              </w:rPr>
              <w:t>SolarEdge</w:t>
            </w:r>
          </w:p>
        </w:tc>
        <w:tc>
          <w:tcPr>
            <w:tcW w:w="1398" w:type="dxa"/>
          </w:tcPr>
          <w:p>
            <w:pPr>
              <w:pStyle w:val="TableParagraph"/>
              <w:spacing w:before="21"/>
              <w:ind w:right="830"/>
              <w:rPr>
                <w:rFonts w:ascii="宋体" w:eastAsia="宋体" w:hint="eastAsia"/>
                <w:sz w:val="16"/>
              </w:rPr>
            </w:pPr>
            <w:r>
              <w:rPr>
                <w:rFonts w:ascii="宋体" w:eastAsia="宋体" w:hint="eastAsia"/>
                <w:sz w:val="16"/>
              </w:rPr>
              <w:t>以色列</w:t>
            </w:r>
          </w:p>
        </w:tc>
        <w:tc>
          <w:tcPr>
            <w:tcW w:w="1580" w:type="dxa"/>
          </w:tcPr>
          <w:p>
            <w:pPr>
              <w:pStyle w:val="TableParagraph"/>
              <w:spacing w:before="49"/>
              <w:ind w:right="27"/>
              <w:rPr>
                <w:sz w:val="16"/>
              </w:rPr>
            </w:pPr>
            <w:r>
              <w:rPr>
                <w:sz w:val="16"/>
              </w:rPr>
              <w:t>10.5GW</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4167" w:type="dxa"/>
          </w:tcPr>
          <w:p>
            <w:pPr>
              <w:pStyle w:val="TableParagraph"/>
              <w:spacing w:before="40"/>
              <w:ind w:left="27"/>
              <w:jc w:val="left"/>
              <w:rPr>
                <w:sz w:val="16"/>
              </w:rPr>
            </w:pPr>
            <w:r>
              <w:rPr>
                <w:sz w:val="16"/>
              </w:rPr>
              <w:t>TMEIC</w:t>
            </w:r>
          </w:p>
        </w:tc>
        <w:tc>
          <w:tcPr>
            <w:tcW w:w="1398" w:type="dxa"/>
          </w:tcPr>
          <w:p>
            <w:pPr>
              <w:pStyle w:val="TableParagraph"/>
              <w:spacing w:before="12"/>
              <w:ind w:right="830"/>
              <w:rPr>
                <w:rFonts w:ascii="宋体" w:eastAsia="宋体" w:hint="eastAsia"/>
                <w:sz w:val="16"/>
              </w:rPr>
            </w:pPr>
            <w:r>
              <w:rPr>
                <w:rFonts w:ascii="宋体" w:eastAsia="宋体" w:hint="eastAsia"/>
                <w:sz w:val="16"/>
              </w:rPr>
              <w:t>日本</w:t>
            </w:r>
          </w:p>
        </w:tc>
        <w:tc>
          <w:tcPr>
            <w:tcW w:w="1580" w:type="dxa"/>
          </w:tcPr>
          <w:p>
            <w:pPr>
              <w:pStyle w:val="TableParagraph"/>
              <w:spacing w:before="40"/>
              <w:ind w:right="27"/>
              <w:rPr>
                <w:sz w:val="16"/>
              </w:rPr>
            </w:pPr>
            <w:r>
              <w:rPr>
                <w:sz w:val="16"/>
              </w:rPr>
              <w:t>7.7GW</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4167" w:type="dxa"/>
          </w:tcPr>
          <w:p>
            <w:pPr>
              <w:pStyle w:val="TableParagraph"/>
              <w:spacing w:before="40"/>
              <w:ind w:left="27"/>
              <w:jc w:val="left"/>
              <w:rPr>
                <w:sz w:val="16"/>
              </w:rPr>
            </w:pPr>
            <w:r>
              <w:rPr>
                <w:sz w:val="16"/>
              </w:rPr>
              <w:t>Ingeteam</w:t>
            </w:r>
          </w:p>
        </w:tc>
        <w:tc>
          <w:tcPr>
            <w:tcW w:w="1398" w:type="dxa"/>
          </w:tcPr>
          <w:p>
            <w:pPr>
              <w:pStyle w:val="TableParagraph"/>
              <w:spacing w:before="12"/>
              <w:ind w:right="830"/>
              <w:rPr>
                <w:rFonts w:ascii="宋体" w:eastAsia="宋体" w:hint="eastAsia"/>
                <w:sz w:val="16"/>
              </w:rPr>
            </w:pPr>
            <w:r>
              <w:rPr>
                <w:rFonts w:ascii="宋体" w:eastAsia="宋体" w:hint="eastAsia"/>
                <w:sz w:val="16"/>
              </w:rPr>
              <w:t>西班牙</w:t>
            </w:r>
          </w:p>
        </w:tc>
        <w:tc>
          <w:tcPr>
            <w:tcW w:w="1580" w:type="dxa"/>
          </w:tcPr>
          <w:p>
            <w:pPr>
              <w:pStyle w:val="TableParagraph"/>
              <w:spacing w:before="40"/>
              <w:ind w:right="27"/>
              <w:rPr>
                <w:sz w:val="16"/>
              </w:rPr>
            </w:pPr>
            <w:r>
              <w:rPr>
                <w:sz w:val="16"/>
              </w:rPr>
              <w:t>4GW</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4167" w:type="dxa"/>
            <w:tcBorders>
              <w:bottom w:val="single" w:sz="4" w:space="0" w:color="000000"/>
            </w:tcBorders>
          </w:tcPr>
          <w:p>
            <w:pPr>
              <w:pStyle w:val="TableParagraph"/>
              <w:spacing w:before="40"/>
              <w:ind w:left="27"/>
              <w:jc w:val="left"/>
              <w:rPr>
                <w:sz w:val="16"/>
              </w:rPr>
            </w:pPr>
            <w:r>
              <w:rPr>
                <w:sz w:val="16"/>
              </w:rPr>
              <w:t>Enphase</w:t>
            </w:r>
          </w:p>
        </w:tc>
        <w:tc>
          <w:tcPr>
            <w:tcW w:w="1398" w:type="dxa"/>
            <w:tcBorders>
              <w:bottom w:val="single" w:sz="4" w:space="0" w:color="000000"/>
            </w:tcBorders>
          </w:tcPr>
          <w:p>
            <w:pPr>
              <w:pStyle w:val="TableParagraph"/>
              <w:spacing w:before="12"/>
              <w:ind w:right="830"/>
              <w:rPr>
                <w:rFonts w:ascii="宋体" w:eastAsia="宋体" w:hint="eastAsia"/>
                <w:sz w:val="16"/>
              </w:rPr>
            </w:pPr>
            <w:r>
              <w:rPr>
                <w:rFonts w:ascii="宋体" w:eastAsia="宋体" w:hint="eastAsia"/>
                <w:sz w:val="16"/>
              </w:rPr>
              <w:t>美国</w:t>
            </w:r>
          </w:p>
        </w:tc>
        <w:tc>
          <w:tcPr>
            <w:tcW w:w="1580" w:type="dxa"/>
            <w:tcBorders>
              <w:bottom w:val="single" w:sz="4" w:space="0" w:color="000000"/>
            </w:tcBorders>
          </w:tcPr>
          <w:p>
            <w:pPr>
              <w:pStyle w:val="TableParagraph"/>
              <w:spacing w:before="40"/>
              <w:ind w:right="27"/>
              <w:rPr>
                <w:sz w:val="16"/>
              </w:rPr>
            </w:pPr>
            <w:r>
              <w:rPr>
                <w:sz w:val="16"/>
              </w:rPr>
              <w:t>5.9GW</w:t>
            </w:r>
          </w:p>
        </w:tc>
      </w:tr>
      <w:tr>
        <w:tblPrEx>
          <w:tblW w:w="0" w:type="auto"/>
          <w:jc w:val="left"/>
          <w:tblInd w:w="1158" w:type="dxa"/>
          <w:tblLayout w:type="fixed"/>
          <w:tblCellMar>
            <w:top w:w="0" w:type="dxa"/>
            <w:left w:w="0" w:type="dxa"/>
            <w:bottom w:w="0" w:type="dxa"/>
            <w:right w:w="0" w:type="dxa"/>
          </w:tblCellMar>
          <w:tblLook w:val="01E0"/>
        </w:tblPrEx>
        <w:trPr>
          <w:trHeight w:val="179"/>
          <w:jc w:val="left"/>
        </w:trPr>
        <w:tc>
          <w:tcPr>
            <w:tcW w:w="4167" w:type="dxa"/>
            <w:tcBorders>
              <w:top w:val="single" w:sz="4" w:space="0" w:color="000000"/>
            </w:tcBorders>
          </w:tcPr>
          <w:p>
            <w:pPr>
              <w:pStyle w:val="TableParagraph"/>
              <w:spacing w:line="159" w:lineRule="exact"/>
              <w:ind w:left="-1"/>
              <w:jc w:val="left"/>
              <w:rPr>
                <w:rFonts w:ascii="宋体" w:eastAsia="宋体" w:hint="eastAsia"/>
                <w:sz w:val="15"/>
              </w:rPr>
            </w:pPr>
            <w:r>
              <w:rPr>
                <w:rFonts w:ascii="宋体" w:eastAsia="宋体" w:hint="eastAsia"/>
                <w:sz w:val="15"/>
              </w:rPr>
              <w:t>资料来源：</w:t>
            </w:r>
            <w:r>
              <w:rPr>
                <w:rFonts w:ascii="Calibri" w:eastAsia="Calibri"/>
                <w:i/>
                <w:sz w:val="14"/>
              </w:rPr>
              <w:t>CPIA</w:t>
            </w:r>
            <w:r>
              <w:rPr>
                <w:rFonts w:ascii="宋体" w:eastAsia="宋体" w:hint="eastAsia"/>
                <w:sz w:val="15"/>
              </w:rPr>
              <w:t>，交银国际</w:t>
            </w:r>
          </w:p>
        </w:tc>
        <w:tc>
          <w:tcPr>
            <w:tcW w:w="1398" w:type="dxa"/>
            <w:tcBorders>
              <w:top w:val="single" w:sz="4" w:space="0" w:color="000000"/>
            </w:tcBorders>
          </w:tcPr>
          <w:p>
            <w:pPr>
              <w:pStyle w:val="TableParagraph"/>
              <w:jc w:val="left"/>
              <w:rPr>
                <w:rFonts w:ascii="Times New Roman"/>
                <w:sz w:val="12"/>
              </w:rPr>
            </w:pPr>
          </w:p>
        </w:tc>
        <w:tc>
          <w:tcPr>
            <w:tcW w:w="1580" w:type="dxa"/>
            <w:tcBorders>
              <w:top w:val="single" w:sz="4" w:space="0" w:color="000000"/>
            </w:tcBorders>
          </w:tcPr>
          <w:p>
            <w:pPr>
              <w:pStyle w:val="TableParagraph"/>
              <w:jc w:val="left"/>
              <w:rPr>
                <w:rFonts w:ascii="Times New Roman"/>
                <w:sz w:val="12"/>
              </w:rPr>
            </w:pPr>
          </w:p>
        </w:tc>
      </w:tr>
    </w:tbl>
    <w:p>
      <w:pPr>
        <w:pStyle w:val="BodyText"/>
        <w:spacing w:before="11"/>
        <w:rPr>
          <w:rFonts w:ascii="Calibri"/>
          <w:sz w:val="9"/>
        </w:rPr>
      </w:pPr>
    </w:p>
    <w:p>
      <w:pPr>
        <w:pStyle w:val="BodyText"/>
        <w:spacing w:before="64" w:line="232" w:lineRule="auto"/>
        <w:ind w:left="1151" w:right="3913"/>
        <w:jc w:val="both"/>
      </w:pPr>
      <w:r>
        <w:rPr>
          <w:color w:val="262626"/>
        </w:rPr>
        <w:t>在储能逆变器这一新兴领域，竞争格局则有所不同。尽管阳光电源、上能电气等光伏逆变器龙头出货量仍位居前列，但科华数能、盛弘股份、南瑞继保、索英电气等非传统龙头排名也较为靠前（尤其是在內地市场），我们认为部分企业有望通过储能领域弯道超车。</w:t>
      </w:r>
    </w:p>
    <w:p>
      <w:pPr>
        <w:spacing w:after="0" w:line="232" w:lineRule="auto"/>
        <w:jc w:val="both"/>
        <w:sectPr>
          <w:headerReference w:type="default" r:id="rId72"/>
          <w:footerReference w:type="default" r:id="rId73"/>
          <w:type w:val="continuous"/>
          <w:pgSz w:w="12240" w:h="15840"/>
          <w:pgMar w:top="1500" w:right="0" w:bottom="280" w:left="0" w:header="708" w:footer="708"/>
          <w:pgNumType w:start="27"/>
          <w:cols w:space="708"/>
        </w:sectPr>
      </w:pPr>
    </w:p>
    <w:p>
      <w:pPr>
        <w:pStyle w:val="BodyText"/>
        <w:rPr>
          <w:sz w:val="20"/>
        </w:rPr>
      </w:pPr>
    </w:p>
    <w:p>
      <w:pPr>
        <w:pStyle w:val="BodyText"/>
        <w:rPr>
          <w:sz w:val="20"/>
        </w:rPr>
      </w:pPr>
    </w:p>
    <w:p>
      <w:pPr>
        <w:pStyle w:val="Heading3"/>
        <w:spacing w:before="129"/>
      </w:pPr>
      <w:r>
        <w:rPr>
          <w:color w:val="262626"/>
        </w:rPr>
        <w:t>图表</w:t>
      </w:r>
      <w:r>
        <w:rPr>
          <w:rFonts w:ascii="Calibri" w:eastAsia="Calibri"/>
        </w:rPr>
        <w:t xml:space="preserve">19: </w:t>
      </w:r>
      <w:r>
        <w:rPr>
          <w:color w:val="262626"/>
        </w:rPr>
        <w:t>內地</w:t>
      </w:r>
      <w:r>
        <w:t>逆变器</w:t>
      </w:r>
      <w:r>
        <w:rPr>
          <w:color w:val="262626"/>
        </w:rPr>
        <w:t>企业</w:t>
      </w:r>
      <w:r>
        <w:rPr>
          <w:rFonts w:ascii="Calibri" w:eastAsia="Calibri"/>
          <w:color w:val="262626"/>
        </w:rPr>
        <w:t>2022</w:t>
      </w:r>
      <w:r>
        <w:rPr>
          <w:color w:val="262626"/>
        </w:rPr>
        <w:t>年全球市场储能逆变器出货量排行</w:t>
      </w:r>
    </w:p>
    <w:p>
      <w:pPr>
        <w:pStyle w:val="BodyText"/>
        <w:ind w:left="1151"/>
        <w:rPr>
          <w:rFonts w:ascii="Microsoft JhengHei"/>
          <w:sz w:val="20"/>
        </w:rPr>
      </w:pPr>
      <w:r>
        <w:rPr>
          <w:rFonts w:ascii="Microsoft JhengHei"/>
          <w:sz w:val="20"/>
        </w:rPr>
        <w:drawing>
          <wp:inline distT="0" distB="0" distL="0" distR="0">
            <wp:extent cx="4536440" cy="2133600"/>
            <wp:effectExtent l="0" t="0" r="0" b="0"/>
            <wp:docPr id="1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6.png"/>
                    <pic:cNvPicPr/>
                  </pic:nvPicPr>
                  <pic:blipFill>
                    <a:blip xmlns:r="http://schemas.openxmlformats.org/officeDocument/2006/relationships" r:embed="rId74" cstate="print"/>
                    <a:stretch>
                      <a:fillRect/>
                    </a:stretch>
                  </pic:blipFill>
                  <pic:spPr>
                    <a:xfrm>
                      <a:off x="0" y="0"/>
                      <a:ext cx="4536440" cy="2133600"/>
                    </a:xfrm>
                    <a:prstGeom prst="rect">
                      <a:avLst/>
                    </a:prstGeom>
                  </pic:spPr>
                </pic:pic>
              </a:graphicData>
            </a:graphic>
          </wp:inline>
        </w:drawing>
      </w:r>
    </w:p>
    <w:p>
      <w:pPr>
        <w:spacing w:before="0"/>
        <w:ind w:left="1150" w:right="0" w:firstLine="0"/>
        <w:jc w:val="left"/>
        <w:rPr>
          <w:rFonts w:ascii="Calibri" w:eastAsia="Calibri"/>
          <w:i/>
          <w:sz w:val="14"/>
        </w:rPr>
      </w:pPr>
      <w:r>
        <w:rPr>
          <w:sz w:val="15"/>
        </w:rPr>
        <w:t>资料来源：</w:t>
      </w:r>
      <w:r>
        <w:rPr>
          <w:rFonts w:ascii="Calibri" w:eastAsia="Calibri"/>
          <w:i/>
          <w:sz w:val="14"/>
        </w:rPr>
        <w:t>CNESA</w:t>
      </w:r>
    </w:p>
    <w:p>
      <w:pPr>
        <w:pStyle w:val="BodyText"/>
        <w:spacing w:before="9"/>
        <w:rPr>
          <w:rFonts w:ascii="Calibri"/>
          <w:i/>
          <w:sz w:val="14"/>
        </w:rPr>
      </w:pPr>
    </w:p>
    <w:p>
      <w:pPr>
        <w:pStyle w:val="Heading3"/>
        <w:spacing w:line="389" w:lineRule="exact"/>
      </w:pPr>
      <w:r>
        <w:rPr>
          <w:color w:val="262626"/>
        </w:rPr>
        <w:t>图表</w:t>
      </w:r>
      <w:r>
        <w:rPr>
          <w:rFonts w:ascii="Calibri" w:eastAsia="Calibri"/>
        </w:rPr>
        <w:t xml:space="preserve">20: </w:t>
      </w:r>
      <w:r>
        <w:rPr>
          <w:color w:val="262626"/>
        </w:rPr>
        <w:t>內地</w:t>
      </w:r>
      <w:r>
        <w:t>逆变器</w:t>
      </w:r>
      <w:r>
        <w:rPr>
          <w:color w:val="262626"/>
        </w:rPr>
        <w:t>企业</w:t>
      </w:r>
      <w:r>
        <w:rPr>
          <w:rFonts w:ascii="Calibri" w:eastAsia="Calibri"/>
          <w:color w:val="262626"/>
        </w:rPr>
        <w:t>2022</w:t>
      </w:r>
      <w:r>
        <w:rPr>
          <w:color w:val="262626"/>
        </w:rPr>
        <w:t>年內地市场储能逆变器出货量排行</w:t>
      </w:r>
    </w:p>
    <w:p>
      <w:pPr>
        <w:pStyle w:val="BodyText"/>
        <w:ind w:left="1151"/>
        <w:rPr>
          <w:rFonts w:ascii="Microsoft JhengHei"/>
          <w:sz w:val="20"/>
        </w:rPr>
      </w:pPr>
      <w:r>
        <w:rPr>
          <w:rFonts w:ascii="Microsoft JhengHei"/>
          <w:sz w:val="20"/>
        </w:rPr>
        <w:drawing>
          <wp:inline distT="0" distB="0" distL="0" distR="0">
            <wp:extent cx="4536440" cy="2133600"/>
            <wp:effectExtent l="0" t="0" r="0" b="0"/>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75" cstate="print"/>
                    <a:stretch>
                      <a:fillRect/>
                    </a:stretch>
                  </pic:blipFill>
                  <pic:spPr>
                    <a:xfrm>
                      <a:off x="0" y="0"/>
                      <a:ext cx="4536440" cy="2133600"/>
                    </a:xfrm>
                    <a:prstGeom prst="rect">
                      <a:avLst/>
                    </a:prstGeom>
                  </pic:spPr>
                </pic:pic>
              </a:graphicData>
            </a:graphic>
          </wp:inline>
        </w:drawing>
      </w:r>
    </w:p>
    <w:p>
      <w:pPr>
        <w:spacing w:before="0"/>
        <w:ind w:left="1150" w:right="0" w:firstLine="0"/>
        <w:jc w:val="left"/>
        <w:rPr>
          <w:rFonts w:ascii="Calibri" w:eastAsia="Calibri"/>
          <w:i/>
          <w:sz w:val="14"/>
        </w:rPr>
      </w:pPr>
      <w:r>
        <w:rPr>
          <w:sz w:val="15"/>
        </w:rPr>
        <w:t>资料来源：</w:t>
      </w:r>
      <w:r>
        <w:rPr>
          <w:rFonts w:ascii="Calibri" w:eastAsia="Calibri"/>
          <w:i/>
          <w:sz w:val="14"/>
        </w:rPr>
        <w:t>CNESA</w:t>
      </w:r>
    </w:p>
    <w:p>
      <w:pPr>
        <w:pStyle w:val="BodyText"/>
        <w:spacing w:before="2"/>
        <w:rPr>
          <w:rFonts w:ascii="Calibri"/>
          <w:i/>
          <w:sz w:val="14"/>
        </w:rPr>
      </w:pPr>
    </w:p>
    <w:p>
      <w:pPr>
        <w:pStyle w:val="BodyText"/>
        <w:spacing w:before="65" w:line="232" w:lineRule="auto"/>
        <w:ind w:left="1151" w:right="3910"/>
        <w:jc w:val="both"/>
      </w:pPr>
      <w:r>
        <w:rPr>
          <w:color w:val="262626"/>
        </w:rPr>
        <w:t>经过多年的市场竞争，目前內地较为活跃的在产逆变器企业数量约为</w:t>
      </w:r>
      <w:r>
        <w:rPr>
          <w:rFonts w:ascii="Calibri" w:eastAsia="Calibri"/>
          <w:color w:val="262626"/>
        </w:rPr>
        <w:t>20</w:t>
      </w:r>
      <w:r>
        <w:rPr>
          <w:color w:val="262626"/>
        </w:rPr>
        <w:t>余家， 由于长三角和珠三角地区在科研实力和制造成本方面优势突出，目前內地主流企业几乎都聚集在这两个区域。</w:t>
      </w:r>
      <w:r>
        <w:rPr>
          <w:rFonts w:ascii="Calibri" w:eastAsia="Calibri"/>
          <w:color w:val="262626"/>
        </w:rPr>
        <w:t>2022</w:t>
      </w:r>
      <w:r>
        <w:rPr>
          <w:color w:val="262626"/>
        </w:rPr>
        <w:t>年逆变器产量超过</w:t>
      </w:r>
      <w:r>
        <w:rPr>
          <w:rFonts w:ascii="Calibri" w:eastAsia="Calibri"/>
          <w:color w:val="262626"/>
        </w:rPr>
        <w:t>5GW</w:t>
      </w:r>
      <w:r>
        <w:rPr>
          <w:color w:val="262626"/>
        </w:rPr>
        <w:t>的內地企业有</w:t>
      </w:r>
      <w:r>
        <w:rPr>
          <w:rFonts w:ascii="Calibri" w:eastAsia="Calibri"/>
          <w:color w:val="262626"/>
        </w:rPr>
        <w:t>13</w:t>
      </w:r>
      <w:r>
        <w:rPr>
          <w:color w:val="262626"/>
        </w:rPr>
        <w:t>家</w:t>
      </w:r>
    </w:p>
    <w:p>
      <w:pPr>
        <w:pStyle w:val="BodyText"/>
        <w:spacing w:line="232" w:lineRule="auto"/>
        <w:ind w:left="1151" w:right="3913"/>
      </w:pPr>
      <w:r>
        <w:rPr>
          <w:color w:val="262626"/>
        </w:rPr>
        <w:t>，包括：阳光电源、华为、锦浪科技、古瑞瓦特、固德威、上能电气、科华数据、德业股份、禾望、首航新能源、特变电工、爱士惟、株洲中车。</w:t>
      </w:r>
    </w:p>
    <w:p>
      <w:pPr>
        <w:pStyle w:val="BodyText"/>
        <w:spacing w:before="175" w:line="232" w:lineRule="auto"/>
        <w:ind w:left="1151" w:right="3910"/>
        <w:jc w:val="both"/>
      </w:pPr>
      <w:r>
        <w:rPr>
          <w:color w:val="262626"/>
          <w:spacing w:val="-22"/>
        </w:rPr>
        <w:t xml:space="preserve">美国 </w:t>
      </w:r>
      <w:r>
        <w:rPr>
          <w:rFonts w:ascii="Calibri" w:eastAsia="Calibri" w:hAnsi="Calibri"/>
          <w:color w:val="262626"/>
        </w:rPr>
        <w:t xml:space="preserve">2018 </w:t>
      </w:r>
      <w:r>
        <w:rPr>
          <w:color w:val="262626"/>
          <w:spacing w:val="-13"/>
        </w:rPr>
        <w:t xml:space="preserve">年发布的 </w:t>
      </w:r>
      <w:r>
        <w:rPr>
          <w:rFonts w:ascii="Calibri" w:eastAsia="Calibri" w:hAnsi="Calibri"/>
          <w:color w:val="262626"/>
        </w:rPr>
        <w:t>“301</w:t>
      </w:r>
      <w:r>
        <w:rPr>
          <w:color w:val="262626"/>
          <w:spacing w:val="-13"/>
        </w:rPr>
        <w:t xml:space="preserve">法案”对 </w:t>
      </w:r>
      <w:r>
        <w:rPr>
          <w:rFonts w:ascii="Calibri" w:eastAsia="Calibri" w:hAnsi="Calibri"/>
          <w:color w:val="262626"/>
        </w:rPr>
        <w:t xml:space="preserve">2,000 </w:t>
      </w:r>
      <w:r>
        <w:rPr>
          <w:color w:val="262626"/>
          <w:spacing w:val="-7"/>
        </w:rPr>
        <w:t xml:space="preserve">亿美元中国商品加征 </w:t>
      </w:r>
      <w:r>
        <w:rPr>
          <w:rFonts w:ascii="Calibri" w:eastAsia="Calibri" w:hAnsi="Calibri"/>
          <w:color w:val="262626"/>
        </w:rPr>
        <w:t>10%</w:t>
      </w:r>
      <w:r>
        <w:rPr>
          <w:color w:val="262626"/>
        </w:rPr>
        <w:t>的关税，其中包括逆变器，</w:t>
      </w:r>
      <w:r>
        <w:rPr>
          <w:rFonts w:ascii="Calibri" w:eastAsia="Calibri" w:hAnsi="Calibri"/>
          <w:color w:val="262626"/>
        </w:rPr>
        <w:t>2019</w:t>
      </w:r>
      <w:r>
        <w:rPr>
          <w:color w:val="262626"/>
        </w:rPr>
        <w:t>年进一步将税率提升至</w:t>
      </w:r>
      <w:r>
        <w:rPr>
          <w:rFonts w:ascii="Calibri" w:eastAsia="Calibri" w:hAnsi="Calibri"/>
          <w:color w:val="262626"/>
        </w:rPr>
        <w:t>25%</w:t>
      </w:r>
      <w:r>
        <w:rPr>
          <w:color w:val="262626"/>
        </w:rPr>
        <w:t>。印度</w:t>
      </w:r>
      <w:r>
        <w:rPr>
          <w:rFonts w:ascii="Calibri" w:eastAsia="Calibri" w:hAnsi="Calibri"/>
          <w:color w:val="262626"/>
        </w:rPr>
        <w:t>2021</w:t>
      </w:r>
      <w:r>
        <w:rPr>
          <w:color w:val="262626"/>
        </w:rPr>
        <w:t>年将进口逆变器基本关税从</w:t>
      </w:r>
      <w:r>
        <w:rPr>
          <w:rFonts w:ascii="Calibri" w:eastAsia="Calibri" w:hAnsi="Calibri"/>
          <w:color w:val="262626"/>
        </w:rPr>
        <w:t>5%</w:t>
      </w:r>
      <w:r>
        <w:rPr>
          <w:color w:val="262626"/>
        </w:rPr>
        <w:t>调高至</w:t>
      </w:r>
      <w:r>
        <w:rPr>
          <w:rFonts w:ascii="Calibri" w:eastAsia="Calibri" w:hAnsi="Calibri"/>
          <w:color w:val="262626"/>
        </w:rPr>
        <w:t>20%</w:t>
      </w:r>
      <w:r>
        <w:rPr>
          <w:color w:val="262626"/>
        </w:rPr>
        <w:t>。这些贸易壁垒对逆变器出口美国、印度造成了一定障碍</w:t>
      </w:r>
    </w:p>
    <w:p>
      <w:pPr>
        <w:pStyle w:val="BodyText"/>
        <w:spacing w:line="260" w:lineRule="exact"/>
        <w:ind w:left="1151"/>
      </w:pPr>
      <w:r>
        <w:rPr>
          <w:color w:val="262626"/>
        </w:rPr>
        <w:t>。</w:t>
      </w:r>
    </w:p>
    <w:p>
      <w:pPr>
        <w:pStyle w:val="BodyText"/>
        <w:spacing w:before="177" w:line="232" w:lineRule="auto"/>
        <w:ind w:left="1151" w:right="3913"/>
        <w:jc w:val="both"/>
      </w:pPr>
      <w:r>
        <w:rPr>
          <w:color w:val="262626"/>
        </w:rPr>
        <w:t>为提高全球化生产和供应能力，应对贸易壁垒，更好地覆盖海外需求，內地逆变器企业开始在海外重点国家建厂，如阳光电源、上能电气、特变电工在印度建厂，锦浪科技、古瑞瓦特、科士达在越南建厂。</w:t>
      </w:r>
    </w:p>
    <w:p>
      <w:pPr>
        <w:spacing w:after="0" w:line="232" w:lineRule="auto"/>
        <w:jc w:val="both"/>
        <w:sectPr>
          <w:headerReference w:type="default" r:id="rId76"/>
          <w:footerReference w:type="default" r:id="rId77"/>
          <w:pgSz w:w="12240" w:h="15840"/>
          <w:pgMar w:top="1720" w:right="0" w:bottom="1380" w:left="0" w:header="708" w:footer="708"/>
          <w:pgNumType w:start="28"/>
          <w:cols w:space="708"/>
        </w:sectPr>
      </w:pPr>
    </w:p>
    <w:p>
      <w:pPr>
        <w:pStyle w:val="BodyText"/>
        <w:rPr>
          <w:sz w:val="20"/>
        </w:rPr>
      </w:pPr>
    </w:p>
    <w:p>
      <w:pPr>
        <w:pStyle w:val="BodyText"/>
        <w:spacing w:before="10"/>
        <w:rPr>
          <w:sz w:val="29"/>
        </w:rPr>
      </w:pPr>
    </w:p>
    <w:tbl>
      <w:tblPr>
        <w:tblStyle w:val="TableNormal3"/>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42"/>
        <w:gridCol w:w="1322"/>
        <w:gridCol w:w="2009"/>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3"/>
          <w:jc w:val="left"/>
        </w:trPr>
        <w:tc>
          <w:tcPr>
            <w:tcW w:w="3842" w:type="dxa"/>
            <w:tcBorders>
              <w:bottom w:val="single" w:sz="4" w:space="0" w:color="000000"/>
            </w:tcBorders>
          </w:tcPr>
          <w:p>
            <w:pPr>
              <w:pStyle w:val="TableParagraph"/>
              <w:spacing w:line="264" w:lineRule="exact"/>
              <w:jc w:val="left"/>
              <w:rPr>
                <w:rFonts w:ascii="Microsoft JhengHei" w:eastAsia="Microsoft JhengHei" w:hint="eastAsia"/>
                <w:b/>
                <w:sz w:val="22"/>
              </w:rPr>
            </w:pPr>
            <w:r>
              <w:rPr>
                <w:rFonts w:ascii="Microsoft JhengHei" w:eastAsia="Microsoft JhengHei" w:hint="eastAsia"/>
                <w:b/>
                <w:sz w:val="22"/>
              </w:rPr>
              <w:t>图表</w:t>
            </w:r>
            <w:r>
              <w:rPr>
                <w:rFonts w:ascii="Calibri" w:eastAsia="Calibri"/>
                <w:b/>
                <w:sz w:val="22"/>
              </w:rPr>
              <w:t>21:</w:t>
            </w:r>
            <w:r>
              <w:rPr>
                <w:rFonts w:ascii="Microsoft JhengHei" w:eastAsia="Microsoft JhengHei" w:hint="eastAsia"/>
                <w:b/>
                <w:sz w:val="22"/>
              </w:rPr>
              <w:t>内地逆变器企业海外建厂情况</w:t>
            </w:r>
          </w:p>
        </w:tc>
        <w:tc>
          <w:tcPr>
            <w:tcW w:w="3331" w:type="dxa"/>
            <w:gridSpan w:val="2"/>
            <w:tcBorders>
              <w:bottom w:val="single" w:sz="4" w:space="0" w:color="000000"/>
            </w:tcBorders>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Borders>
              <w:top w:val="single" w:sz="4" w:space="0" w:color="000000"/>
              <w:bottom w:val="single" w:sz="4" w:space="0" w:color="000000"/>
            </w:tcBorders>
          </w:tcPr>
          <w:p>
            <w:pPr>
              <w:pStyle w:val="TableParagraph"/>
              <w:spacing w:line="222" w:lineRule="exact"/>
              <w:jc w:val="left"/>
              <w:rPr>
                <w:rFonts w:ascii="Microsoft JhengHei" w:eastAsia="Microsoft JhengHei" w:hint="eastAsia"/>
                <w:b/>
                <w:sz w:val="16"/>
              </w:rPr>
            </w:pPr>
            <w:r>
              <w:rPr>
                <w:rFonts w:ascii="Microsoft JhengHei" w:eastAsia="Microsoft JhengHei" w:hint="eastAsia"/>
                <w:b/>
                <w:sz w:val="16"/>
              </w:rPr>
              <w:t>公司</w:t>
            </w:r>
          </w:p>
        </w:tc>
        <w:tc>
          <w:tcPr>
            <w:tcW w:w="1322" w:type="dxa"/>
            <w:tcBorders>
              <w:top w:val="single" w:sz="4" w:space="0" w:color="000000"/>
              <w:bottom w:val="single" w:sz="4" w:space="0" w:color="000000"/>
            </w:tcBorders>
          </w:tcPr>
          <w:p>
            <w:pPr>
              <w:pStyle w:val="TableParagraph"/>
              <w:spacing w:line="222" w:lineRule="exact"/>
              <w:ind w:right="427"/>
              <w:rPr>
                <w:b/>
                <w:sz w:val="16"/>
              </w:rPr>
            </w:pPr>
            <w:r>
              <w:rPr>
                <w:rFonts w:ascii="Microsoft JhengHei" w:eastAsia="Microsoft JhengHei" w:hint="eastAsia"/>
                <w:b/>
                <w:sz w:val="16"/>
              </w:rPr>
              <w:t>产能</w:t>
            </w:r>
            <w:r>
              <w:rPr>
                <w:b/>
                <w:sz w:val="16"/>
              </w:rPr>
              <w:t>(GW)</w:t>
            </w:r>
          </w:p>
        </w:tc>
        <w:tc>
          <w:tcPr>
            <w:tcW w:w="2009" w:type="dxa"/>
            <w:tcBorders>
              <w:top w:val="single" w:sz="4" w:space="0" w:color="000000"/>
              <w:bottom w:val="single" w:sz="4" w:space="0" w:color="000000"/>
            </w:tcBorders>
          </w:tcPr>
          <w:p>
            <w:pPr>
              <w:pStyle w:val="TableParagraph"/>
              <w:spacing w:line="222" w:lineRule="exact"/>
              <w:ind w:right="56"/>
              <w:rPr>
                <w:rFonts w:ascii="Microsoft JhengHei" w:eastAsia="Microsoft JhengHei" w:hint="eastAsia"/>
                <w:b/>
                <w:sz w:val="16"/>
              </w:rPr>
            </w:pPr>
            <w:r>
              <w:rPr>
                <w:rFonts w:ascii="Microsoft JhengHei" w:eastAsia="Microsoft JhengHei" w:hint="eastAsia"/>
                <w:b/>
                <w:sz w:val="16"/>
              </w:rPr>
              <w:t>地点</w:t>
            </w:r>
          </w:p>
        </w:tc>
      </w:tr>
      <w:tr>
        <w:tblPrEx>
          <w:tblW w:w="0" w:type="auto"/>
          <w:jc w:val="left"/>
          <w:tblInd w:w="1158" w:type="dxa"/>
          <w:tblLayout w:type="fixed"/>
          <w:tblCellMar>
            <w:top w:w="0" w:type="dxa"/>
            <w:left w:w="0" w:type="dxa"/>
            <w:bottom w:w="0" w:type="dxa"/>
            <w:right w:w="0" w:type="dxa"/>
          </w:tblCellMar>
          <w:tblLook w:val="01E0"/>
        </w:tblPrEx>
        <w:trPr>
          <w:trHeight w:val="242"/>
          <w:jc w:val="left"/>
        </w:trPr>
        <w:tc>
          <w:tcPr>
            <w:tcW w:w="3842" w:type="dxa"/>
            <w:tcBorders>
              <w:top w:val="single" w:sz="4" w:space="0" w:color="000000"/>
            </w:tcBorders>
          </w:tcPr>
          <w:p>
            <w:pPr>
              <w:pStyle w:val="TableParagraph"/>
              <w:spacing w:before="1"/>
              <w:jc w:val="left"/>
              <w:rPr>
                <w:rFonts w:ascii="宋体" w:eastAsia="宋体" w:hint="eastAsia"/>
                <w:sz w:val="16"/>
              </w:rPr>
            </w:pPr>
            <w:r>
              <w:rPr>
                <w:rFonts w:ascii="宋体" w:eastAsia="宋体" w:hint="eastAsia"/>
                <w:sz w:val="16"/>
              </w:rPr>
              <w:t>阳光电源</w:t>
            </w:r>
          </w:p>
        </w:tc>
        <w:tc>
          <w:tcPr>
            <w:tcW w:w="1322" w:type="dxa"/>
            <w:tcBorders>
              <w:top w:val="single" w:sz="4" w:space="0" w:color="000000"/>
            </w:tcBorders>
          </w:tcPr>
          <w:p>
            <w:pPr>
              <w:pStyle w:val="TableParagraph"/>
              <w:spacing w:before="29"/>
              <w:ind w:right="428"/>
              <w:rPr>
                <w:sz w:val="16"/>
              </w:rPr>
            </w:pPr>
            <w:r>
              <w:rPr>
                <w:sz w:val="16"/>
              </w:rPr>
              <w:t>25</w:t>
            </w:r>
          </w:p>
        </w:tc>
        <w:tc>
          <w:tcPr>
            <w:tcW w:w="2009" w:type="dxa"/>
            <w:tcBorders>
              <w:top w:val="single" w:sz="4" w:space="0" w:color="000000"/>
            </w:tcBorders>
          </w:tcPr>
          <w:p>
            <w:pPr>
              <w:pStyle w:val="TableParagraph"/>
              <w:spacing w:before="1"/>
              <w:ind w:right="54"/>
              <w:rPr>
                <w:sz w:val="16"/>
              </w:rPr>
            </w:pPr>
            <w:r>
              <w:rPr>
                <w:rFonts w:ascii="宋体" w:eastAsia="宋体" w:hint="eastAsia"/>
                <w:sz w:val="16"/>
              </w:rPr>
              <w:t>印度</w:t>
            </w:r>
            <w:r>
              <w:rPr>
                <w:sz w:val="16"/>
              </w:rPr>
              <w:t>10GW</w:t>
            </w:r>
            <w:r>
              <w:rPr>
                <w:rFonts w:ascii="宋体" w:eastAsia="宋体" w:hint="eastAsia"/>
                <w:sz w:val="16"/>
              </w:rPr>
              <w:t>、泰国</w:t>
            </w:r>
            <w:r>
              <w:rPr>
                <w:sz w:val="16"/>
              </w:rPr>
              <w:t>15GW</w:t>
            </w: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spacing w:before="1"/>
              <w:jc w:val="left"/>
              <w:rPr>
                <w:rFonts w:ascii="宋体" w:eastAsia="宋体" w:hint="eastAsia"/>
                <w:sz w:val="16"/>
              </w:rPr>
            </w:pPr>
            <w:r>
              <w:rPr>
                <w:rFonts w:ascii="宋体" w:eastAsia="宋体" w:hint="eastAsia"/>
                <w:sz w:val="16"/>
              </w:rPr>
              <w:t>锦浪科技</w:t>
            </w:r>
          </w:p>
        </w:tc>
        <w:tc>
          <w:tcPr>
            <w:tcW w:w="1322" w:type="dxa"/>
          </w:tcPr>
          <w:p>
            <w:pPr>
              <w:pStyle w:val="TableParagraph"/>
              <w:spacing w:before="29"/>
              <w:ind w:right="429"/>
              <w:rPr>
                <w:sz w:val="16"/>
              </w:rPr>
            </w:pPr>
            <w:r>
              <w:rPr>
                <w:sz w:val="16"/>
              </w:rPr>
              <w:t>5</w:t>
            </w:r>
          </w:p>
        </w:tc>
        <w:tc>
          <w:tcPr>
            <w:tcW w:w="2009" w:type="dxa"/>
          </w:tcPr>
          <w:p>
            <w:pPr>
              <w:pStyle w:val="TableParagraph"/>
              <w:spacing w:before="1"/>
              <w:ind w:right="56"/>
              <w:rPr>
                <w:rFonts w:ascii="宋体" w:eastAsia="宋体" w:hint="eastAsia"/>
                <w:sz w:val="16"/>
              </w:rPr>
            </w:pPr>
            <w:r>
              <w:rPr>
                <w:rFonts w:ascii="宋体" w:eastAsia="宋体" w:hint="eastAsia"/>
                <w:sz w:val="16"/>
              </w:rPr>
              <w:t>越南</w:t>
            </w:r>
          </w:p>
        </w:tc>
      </w:tr>
      <w:tr>
        <w:tblPrEx>
          <w:tblW w:w="0" w:type="auto"/>
          <w:jc w:val="left"/>
          <w:tblInd w:w="1158" w:type="dxa"/>
          <w:tblLayout w:type="fixed"/>
          <w:tblCellMar>
            <w:top w:w="0" w:type="dxa"/>
            <w:left w:w="0" w:type="dxa"/>
            <w:bottom w:w="0" w:type="dxa"/>
            <w:right w:w="0" w:type="dxa"/>
          </w:tblCellMar>
          <w:tblLook w:val="01E0"/>
        </w:tblPrEx>
        <w:trPr>
          <w:trHeight w:val="243"/>
          <w:jc w:val="left"/>
        </w:trPr>
        <w:tc>
          <w:tcPr>
            <w:tcW w:w="3842" w:type="dxa"/>
          </w:tcPr>
          <w:p>
            <w:pPr>
              <w:pStyle w:val="TableParagraph"/>
              <w:spacing w:before="1"/>
              <w:jc w:val="left"/>
              <w:rPr>
                <w:rFonts w:ascii="宋体" w:eastAsia="宋体" w:hint="eastAsia"/>
                <w:sz w:val="16"/>
              </w:rPr>
            </w:pPr>
            <w:r>
              <w:rPr>
                <w:rFonts w:ascii="宋体" w:eastAsia="宋体" w:hint="eastAsia"/>
                <w:sz w:val="16"/>
              </w:rPr>
              <w:t>科士达</w:t>
            </w:r>
          </w:p>
        </w:tc>
        <w:tc>
          <w:tcPr>
            <w:tcW w:w="1322" w:type="dxa"/>
          </w:tcPr>
          <w:p>
            <w:pPr>
              <w:pStyle w:val="TableParagraph"/>
              <w:spacing w:before="29"/>
              <w:ind w:right="429"/>
              <w:rPr>
                <w:sz w:val="16"/>
              </w:rPr>
            </w:pPr>
            <w:r>
              <w:rPr>
                <w:sz w:val="16"/>
              </w:rPr>
              <w:t>1</w:t>
            </w:r>
          </w:p>
        </w:tc>
        <w:tc>
          <w:tcPr>
            <w:tcW w:w="2009" w:type="dxa"/>
          </w:tcPr>
          <w:p>
            <w:pPr>
              <w:pStyle w:val="TableParagraph"/>
              <w:spacing w:before="1"/>
              <w:ind w:right="56"/>
              <w:rPr>
                <w:rFonts w:ascii="宋体" w:eastAsia="宋体" w:hint="eastAsia"/>
                <w:sz w:val="16"/>
              </w:rPr>
            </w:pPr>
            <w:r>
              <w:rPr>
                <w:rFonts w:ascii="宋体" w:eastAsia="宋体" w:hint="eastAsia"/>
                <w:sz w:val="16"/>
              </w:rPr>
              <w:t>越南</w:t>
            </w:r>
          </w:p>
        </w:tc>
      </w:tr>
      <w:tr>
        <w:tblPrEx>
          <w:tblW w:w="0" w:type="auto"/>
          <w:jc w:val="left"/>
          <w:tblInd w:w="1158" w:type="dxa"/>
          <w:tblLayout w:type="fixed"/>
          <w:tblCellMar>
            <w:top w:w="0" w:type="dxa"/>
            <w:left w:w="0" w:type="dxa"/>
            <w:bottom w:w="0" w:type="dxa"/>
            <w:right w:w="0" w:type="dxa"/>
          </w:tblCellMar>
          <w:tblLook w:val="01E0"/>
        </w:tblPrEx>
        <w:trPr>
          <w:trHeight w:val="230"/>
          <w:jc w:val="left"/>
        </w:trPr>
        <w:tc>
          <w:tcPr>
            <w:tcW w:w="3842" w:type="dxa"/>
          </w:tcPr>
          <w:p>
            <w:pPr>
              <w:pStyle w:val="TableParagraph"/>
              <w:spacing w:line="204" w:lineRule="exact"/>
              <w:jc w:val="left"/>
              <w:rPr>
                <w:rFonts w:ascii="宋体" w:eastAsia="宋体" w:hint="eastAsia"/>
                <w:sz w:val="16"/>
              </w:rPr>
            </w:pPr>
            <w:r>
              <w:rPr>
                <w:rFonts w:ascii="宋体" w:eastAsia="宋体" w:hint="eastAsia"/>
                <w:sz w:val="16"/>
              </w:rPr>
              <w:t>古瑞瓦特</w:t>
            </w:r>
          </w:p>
        </w:tc>
        <w:tc>
          <w:tcPr>
            <w:tcW w:w="1322" w:type="dxa"/>
          </w:tcPr>
          <w:p>
            <w:pPr>
              <w:pStyle w:val="TableParagraph"/>
              <w:spacing w:line="204" w:lineRule="exact"/>
              <w:ind w:right="429"/>
              <w:rPr>
                <w:rFonts w:ascii="宋体" w:eastAsia="宋体" w:hint="eastAsia"/>
                <w:sz w:val="16"/>
              </w:rPr>
            </w:pPr>
            <w:r>
              <w:rPr>
                <w:rFonts w:ascii="宋体" w:eastAsia="宋体" w:hint="eastAsia"/>
                <w:sz w:val="16"/>
              </w:rPr>
              <w:t>未披露</w:t>
            </w:r>
          </w:p>
        </w:tc>
        <w:tc>
          <w:tcPr>
            <w:tcW w:w="2009" w:type="dxa"/>
          </w:tcPr>
          <w:p>
            <w:pPr>
              <w:pStyle w:val="TableParagraph"/>
              <w:spacing w:line="204" w:lineRule="exact"/>
              <w:ind w:right="56"/>
              <w:rPr>
                <w:rFonts w:ascii="宋体" w:eastAsia="宋体" w:hint="eastAsia"/>
                <w:sz w:val="16"/>
              </w:rPr>
            </w:pPr>
            <w:r>
              <w:rPr>
                <w:rFonts w:ascii="宋体" w:eastAsia="宋体" w:hint="eastAsia"/>
                <w:sz w:val="16"/>
              </w:rPr>
              <w:t>越南</w:t>
            </w: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3842" w:type="dxa"/>
          </w:tcPr>
          <w:p>
            <w:pPr>
              <w:pStyle w:val="TableParagraph"/>
              <w:spacing w:before="11"/>
              <w:jc w:val="left"/>
              <w:rPr>
                <w:rFonts w:ascii="宋体" w:eastAsia="宋体" w:hint="eastAsia"/>
                <w:sz w:val="16"/>
              </w:rPr>
            </w:pPr>
            <w:r>
              <w:rPr>
                <w:rFonts w:ascii="宋体" w:eastAsia="宋体" w:hint="eastAsia"/>
                <w:sz w:val="16"/>
              </w:rPr>
              <w:t>上能电气</w:t>
            </w:r>
          </w:p>
        </w:tc>
        <w:tc>
          <w:tcPr>
            <w:tcW w:w="1322" w:type="dxa"/>
          </w:tcPr>
          <w:p>
            <w:pPr>
              <w:pStyle w:val="TableParagraph"/>
              <w:spacing w:before="39"/>
              <w:ind w:right="428"/>
              <w:rPr>
                <w:sz w:val="16"/>
              </w:rPr>
            </w:pPr>
            <w:r>
              <w:rPr>
                <w:sz w:val="16"/>
              </w:rPr>
              <w:t>10</w:t>
            </w:r>
          </w:p>
        </w:tc>
        <w:tc>
          <w:tcPr>
            <w:tcW w:w="2009" w:type="dxa"/>
          </w:tcPr>
          <w:p>
            <w:pPr>
              <w:pStyle w:val="TableParagraph"/>
              <w:spacing w:before="11"/>
              <w:ind w:right="56"/>
              <w:rPr>
                <w:rFonts w:ascii="宋体" w:eastAsia="宋体" w:hint="eastAsia"/>
                <w:sz w:val="16"/>
              </w:rPr>
            </w:pPr>
            <w:r>
              <w:rPr>
                <w:rFonts w:ascii="宋体" w:eastAsia="宋体" w:hint="eastAsia"/>
                <w:sz w:val="16"/>
              </w:rPr>
              <w:t>印度</w:t>
            </w: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Borders>
              <w:bottom w:val="single" w:sz="4" w:space="0" w:color="000000"/>
            </w:tcBorders>
          </w:tcPr>
          <w:p>
            <w:pPr>
              <w:pStyle w:val="TableParagraph"/>
              <w:spacing w:before="1"/>
              <w:jc w:val="left"/>
              <w:rPr>
                <w:rFonts w:ascii="宋体" w:eastAsia="宋体" w:hint="eastAsia"/>
                <w:sz w:val="16"/>
              </w:rPr>
            </w:pPr>
            <w:r>
              <w:rPr>
                <w:rFonts w:ascii="宋体" w:eastAsia="宋体" w:hint="eastAsia"/>
                <w:sz w:val="16"/>
              </w:rPr>
              <w:t>特变电工</w:t>
            </w:r>
          </w:p>
        </w:tc>
        <w:tc>
          <w:tcPr>
            <w:tcW w:w="1322" w:type="dxa"/>
            <w:tcBorders>
              <w:bottom w:val="single" w:sz="4" w:space="0" w:color="000000"/>
            </w:tcBorders>
          </w:tcPr>
          <w:p>
            <w:pPr>
              <w:pStyle w:val="TableParagraph"/>
              <w:spacing w:before="29"/>
              <w:ind w:right="429"/>
              <w:rPr>
                <w:sz w:val="16"/>
              </w:rPr>
            </w:pPr>
            <w:r>
              <w:rPr>
                <w:sz w:val="16"/>
              </w:rPr>
              <w:t>3</w:t>
            </w:r>
          </w:p>
        </w:tc>
        <w:tc>
          <w:tcPr>
            <w:tcW w:w="2009" w:type="dxa"/>
            <w:tcBorders>
              <w:bottom w:val="single" w:sz="4" w:space="0" w:color="000000"/>
            </w:tcBorders>
          </w:tcPr>
          <w:p>
            <w:pPr>
              <w:pStyle w:val="TableParagraph"/>
              <w:spacing w:before="1"/>
              <w:ind w:right="56"/>
              <w:rPr>
                <w:rFonts w:ascii="宋体" w:eastAsia="宋体" w:hint="eastAsia"/>
                <w:sz w:val="16"/>
              </w:rPr>
            </w:pPr>
            <w:r>
              <w:rPr>
                <w:rFonts w:ascii="宋体" w:eastAsia="宋体" w:hint="eastAsia"/>
                <w:sz w:val="16"/>
              </w:rPr>
              <w:t>印度</w:t>
            </w:r>
          </w:p>
        </w:tc>
      </w:tr>
      <w:tr>
        <w:tblPrEx>
          <w:tblW w:w="0" w:type="auto"/>
          <w:jc w:val="left"/>
          <w:tblInd w:w="1158" w:type="dxa"/>
          <w:tblLayout w:type="fixed"/>
          <w:tblCellMar>
            <w:top w:w="0" w:type="dxa"/>
            <w:left w:w="0" w:type="dxa"/>
            <w:bottom w:w="0" w:type="dxa"/>
            <w:right w:w="0" w:type="dxa"/>
          </w:tblCellMar>
          <w:tblLook w:val="01E0"/>
        </w:tblPrEx>
        <w:trPr>
          <w:trHeight w:val="277"/>
          <w:jc w:val="left"/>
        </w:trPr>
        <w:tc>
          <w:tcPr>
            <w:tcW w:w="3842" w:type="dxa"/>
            <w:tcBorders>
              <w:top w:val="single" w:sz="4" w:space="0" w:color="000000"/>
            </w:tcBorders>
          </w:tcPr>
          <w:p>
            <w:pPr>
              <w:pStyle w:val="TableParagraph"/>
              <w:spacing w:line="186" w:lineRule="exact"/>
              <w:ind w:left="-1"/>
              <w:jc w:val="left"/>
              <w:rPr>
                <w:rFonts w:ascii="宋体" w:eastAsia="宋体" w:hint="eastAsia"/>
                <w:sz w:val="15"/>
              </w:rPr>
            </w:pPr>
            <w:r>
              <w:rPr>
                <w:rFonts w:ascii="宋体" w:eastAsia="宋体" w:hint="eastAsia"/>
                <w:sz w:val="15"/>
              </w:rPr>
              <w:t>资料来源：各公司资料，交银国际</w:t>
            </w:r>
          </w:p>
        </w:tc>
        <w:tc>
          <w:tcPr>
            <w:tcW w:w="1322" w:type="dxa"/>
            <w:tcBorders>
              <w:top w:val="single" w:sz="4" w:space="0" w:color="000000"/>
            </w:tcBorders>
          </w:tcPr>
          <w:p>
            <w:pPr>
              <w:pStyle w:val="TableParagraph"/>
              <w:jc w:val="left"/>
              <w:rPr>
                <w:rFonts w:ascii="Times New Roman"/>
                <w:sz w:val="18"/>
              </w:rPr>
            </w:pPr>
          </w:p>
        </w:tc>
        <w:tc>
          <w:tcPr>
            <w:tcW w:w="2009" w:type="dxa"/>
            <w:tcBorders>
              <w:top w:val="single" w:sz="4" w:space="0" w:color="000000"/>
            </w:tcBorders>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388"/>
          <w:jc w:val="left"/>
        </w:trPr>
        <w:tc>
          <w:tcPr>
            <w:tcW w:w="3842" w:type="dxa"/>
            <w:tcBorders>
              <w:bottom w:val="single" w:sz="4" w:space="0" w:color="000000"/>
            </w:tcBorders>
          </w:tcPr>
          <w:p>
            <w:pPr>
              <w:pStyle w:val="TableParagraph"/>
              <w:spacing w:line="368" w:lineRule="exact"/>
              <w:jc w:val="left"/>
              <w:rPr>
                <w:rFonts w:ascii="Microsoft JhengHei" w:eastAsia="Microsoft JhengHei" w:hint="eastAsia"/>
                <w:b/>
                <w:sz w:val="22"/>
              </w:rPr>
            </w:pPr>
            <w:r>
              <w:rPr>
                <w:rFonts w:ascii="Microsoft JhengHei" w:eastAsia="Microsoft JhengHei" w:hint="eastAsia"/>
                <w:b/>
                <w:sz w:val="22"/>
              </w:rPr>
              <w:t>图表</w:t>
            </w:r>
            <w:r>
              <w:rPr>
                <w:rFonts w:ascii="Calibri" w:eastAsia="Calibri"/>
                <w:b/>
                <w:sz w:val="22"/>
              </w:rPr>
              <w:t xml:space="preserve">22: </w:t>
            </w:r>
            <w:r>
              <w:rPr>
                <w:rFonts w:ascii="Microsoft JhengHei" w:eastAsia="Microsoft JhengHei" w:hint="eastAsia"/>
                <w:b/>
                <w:sz w:val="22"/>
              </w:rPr>
              <w:t>內地逆变器企业地区分布</w:t>
            </w:r>
          </w:p>
        </w:tc>
        <w:tc>
          <w:tcPr>
            <w:tcW w:w="1322" w:type="dxa"/>
            <w:tcBorders>
              <w:bottom w:val="single" w:sz="4" w:space="0" w:color="000000"/>
            </w:tcBorders>
          </w:tcPr>
          <w:p>
            <w:pPr>
              <w:pStyle w:val="TableParagraph"/>
              <w:jc w:val="left"/>
              <w:rPr>
                <w:rFonts w:ascii="Times New Roman"/>
                <w:sz w:val="18"/>
              </w:rPr>
            </w:pPr>
          </w:p>
        </w:tc>
        <w:tc>
          <w:tcPr>
            <w:tcW w:w="2009" w:type="dxa"/>
            <w:tcBorders>
              <w:bottom w:val="single" w:sz="4" w:space="0" w:color="000000"/>
            </w:tcBorders>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Borders>
              <w:top w:val="single" w:sz="4" w:space="0" w:color="000000"/>
              <w:bottom w:val="single" w:sz="4" w:space="0" w:color="000000"/>
            </w:tcBorders>
          </w:tcPr>
          <w:p>
            <w:pPr>
              <w:pStyle w:val="TableParagraph"/>
              <w:tabs>
                <w:tab w:val="left" w:pos="2043"/>
                <w:tab w:val="left" w:pos="3239"/>
              </w:tabs>
              <w:spacing w:line="222" w:lineRule="exact"/>
              <w:ind w:left="27"/>
              <w:jc w:val="left"/>
              <w:rPr>
                <w:rFonts w:ascii="Microsoft JhengHei" w:eastAsia="Microsoft JhengHei" w:hint="eastAsia"/>
                <w:b/>
                <w:sz w:val="16"/>
              </w:rPr>
            </w:pPr>
            <w:r>
              <w:rPr>
                <w:rFonts w:ascii="Microsoft JhengHei" w:eastAsia="Microsoft JhengHei" w:hint="eastAsia"/>
                <w:b/>
                <w:sz w:val="16"/>
              </w:rPr>
              <w:t>广东</w:t>
              <w:tab/>
              <w:t>安徽</w:t>
              <w:tab/>
              <w:t>浙江</w:t>
            </w:r>
          </w:p>
        </w:tc>
        <w:tc>
          <w:tcPr>
            <w:tcW w:w="1322" w:type="dxa"/>
            <w:tcBorders>
              <w:top w:val="single" w:sz="4" w:space="0" w:color="000000"/>
              <w:bottom w:val="single" w:sz="4" w:space="0" w:color="000000"/>
            </w:tcBorders>
          </w:tcPr>
          <w:p>
            <w:pPr>
              <w:pStyle w:val="TableParagraph"/>
              <w:spacing w:line="222" w:lineRule="exact"/>
              <w:ind w:right="407"/>
              <w:rPr>
                <w:rFonts w:ascii="Microsoft JhengHei" w:eastAsia="Microsoft JhengHei" w:hint="eastAsia"/>
                <w:b/>
                <w:sz w:val="16"/>
              </w:rPr>
            </w:pPr>
            <w:r>
              <w:rPr>
                <w:rFonts w:ascii="Microsoft JhengHei" w:eastAsia="Microsoft JhengHei" w:hint="eastAsia"/>
                <w:b/>
                <w:sz w:val="16"/>
              </w:rPr>
              <w:t>江苏</w:t>
            </w:r>
          </w:p>
        </w:tc>
        <w:tc>
          <w:tcPr>
            <w:tcW w:w="2009" w:type="dxa"/>
            <w:tcBorders>
              <w:top w:val="single" w:sz="4" w:space="0" w:color="000000"/>
              <w:bottom w:val="single" w:sz="4" w:space="0" w:color="000000"/>
            </w:tcBorders>
          </w:tcPr>
          <w:p>
            <w:pPr>
              <w:pStyle w:val="TableParagraph"/>
              <w:tabs>
                <w:tab w:val="left" w:pos="1196"/>
              </w:tabs>
              <w:spacing w:line="222" w:lineRule="exact"/>
              <w:ind w:right="23"/>
              <w:rPr>
                <w:rFonts w:ascii="Microsoft JhengHei" w:eastAsia="Microsoft JhengHei" w:hint="eastAsia"/>
                <w:b/>
                <w:sz w:val="16"/>
              </w:rPr>
            </w:pPr>
            <w:r>
              <w:rPr>
                <w:rFonts w:ascii="Microsoft JhengHei" w:eastAsia="Microsoft JhengHei" w:hint="eastAsia"/>
                <w:b/>
                <w:sz w:val="16"/>
              </w:rPr>
              <w:t>上海</w:t>
              <w:tab/>
              <w:t>福建</w:t>
            </w:r>
          </w:p>
        </w:tc>
      </w:tr>
      <w:tr>
        <w:tblPrEx>
          <w:tblW w:w="0" w:type="auto"/>
          <w:jc w:val="left"/>
          <w:tblInd w:w="1158" w:type="dxa"/>
          <w:tblLayout w:type="fixed"/>
          <w:tblCellMar>
            <w:top w:w="0" w:type="dxa"/>
            <w:left w:w="0" w:type="dxa"/>
            <w:bottom w:w="0" w:type="dxa"/>
            <w:right w:w="0" w:type="dxa"/>
          </w:tblCellMar>
          <w:tblLook w:val="01E0"/>
        </w:tblPrEx>
        <w:trPr>
          <w:trHeight w:val="234"/>
          <w:jc w:val="left"/>
        </w:trPr>
        <w:tc>
          <w:tcPr>
            <w:tcW w:w="3842" w:type="dxa"/>
            <w:tcBorders>
              <w:top w:val="single" w:sz="4" w:space="0" w:color="000000"/>
            </w:tcBorders>
          </w:tcPr>
          <w:p>
            <w:pPr>
              <w:pStyle w:val="TableParagraph"/>
              <w:tabs>
                <w:tab w:val="left" w:pos="1723"/>
                <w:tab w:val="left" w:pos="2919"/>
              </w:tabs>
              <w:spacing w:before="1"/>
              <w:ind w:left="27"/>
              <w:jc w:val="left"/>
              <w:rPr>
                <w:rFonts w:ascii="宋体" w:eastAsia="宋体" w:hint="eastAsia"/>
                <w:sz w:val="16"/>
              </w:rPr>
            </w:pPr>
            <w:r>
              <w:rPr>
                <w:rFonts w:ascii="宋体" w:eastAsia="宋体" w:hint="eastAsia"/>
                <w:sz w:val="16"/>
              </w:rPr>
              <w:t>华为</w:t>
              <w:tab/>
              <w:t>阳光电源</w:t>
              <w:tab/>
              <w:t>锦浪科技</w:t>
            </w:r>
          </w:p>
        </w:tc>
        <w:tc>
          <w:tcPr>
            <w:tcW w:w="1322" w:type="dxa"/>
            <w:tcBorders>
              <w:top w:val="single" w:sz="4" w:space="0" w:color="000000"/>
            </w:tcBorders>
          </w:tcPr>
          <w:p>
            <w:pPr>
              <w:pStyle w:val="TableParagraph"/>
              <w:spacing w:before="1"/>
              <w:ind w:right="407"/>
              <w:rPr>
                <w:rFonts w:ascii="宋体" w:eastAsia="宋体" w:hint="eastAsia"/>
                <w:sz w:val="16"/>
              </w:rPr>
            </w:pPr>
            <w:r>
              <w:rPr>
                <w:rFonts w:ascii="宋体" w:eastAsia="宋体" w:hint="eastAsia"/>
                <w:sz w:val="16"/>
              </w:rPr>
              <w:t>上能电气</w:t>
            </w:r>
          </w:p>
        </w:tc>
        <w:tc>
          <w:tcPr>
            <w:tcW w:w="2009" w:type="dxa"/>
            <w:tcBorders>
              <w:top w:val="single" w:sz="4" w:space="0" w:color="000000"/>
            </w:tcBorders>
          </w:tcPr>
          <w:p>
            <w:pPr>
              <w:pStyle w:val="TableParagraph"/>
              <w:tabs>
                <w:tab w:val="left" w:pos="1196"/>
              </w:tabs>
              <w:spacing w:before="1"/>
              <w:ind w:right="23"/>
              <w:rPr>
                <w:rFonts w:ascii="宋体" w:eastAsia="宋体" w:hint="eastAsia"/>
                <w:sz w:val="16"/>
              </w:rPr>
            </w:pPr>
            <w:r>
              <w:rPr>
                <w:rFonts w:ascii="宋体" w:eastAsia="宋体" w:hint="eastAsia"/>
                <w:sz w:val="16"/>
              </w:rPr>
              <w:t>正泰</w:t>
              <w:tab/>
              <w:t>科华</w:t>
            </w: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tabs>
                <w:tab w:val="left" w:pos="3239"/>
              </w:tabs>
              <w:spacing w:before="9"/>
              <w:ind w:left="27"/>
              <w:jc w:val="left"/>
              <w:rPr>
                <w:rFonts w:ascii="宋体" w:eastAsia="宋体" w:hint="eastAsia"/>
                <w:sz w:val="16"/>
              </w:rPr>
            </w:pPr>
            <w:r>
              <w:rPr>
                <w:rFonts w:ascii="宋体" w:eastAsia="宋体" w:hint="eastAsia"/>
                <w:sz w:val="16"/>
              </w:rPr>
              <w:t>古瑞瓦特</w:t>
              <w:tab/>
              <w:t>禾迈</w:t>
            </w:r>
          </w:p>
        </w:tc>
        <w:tc>
          <w:tcPr>
            <w:tcW w:w="1322" w:type="dxa"/>
          </w:tcPr>
          <w:p>
            <w:pPr>
              <w:pStyle w:val="TableParagraph"/>
              <w:spacing w:before="9"/>
              <w:ind w:right="407"/>
              <w:rPr>
                <w:rFonts w:ascii="宋体" w:eastAsia="宋体" w:hint="eastAsia"/>
                <w:sz w:val="16"/>
              </w:rPr>
            </w:pPr>
            <w:r>
              <w:rPr>
                <w:rFonts w:ascii="宋体" w:eastAsia="宋体" w:hint="eastAsia"/>
                <w:sz w:val="16"/>
              </w:rPr>
              <w:t>固德威</w:t>
            </w:r>
          </w:p>
        </w:tc>
        <w:tc>
          <w:tcPr>
            <w:tcW w:w="2009" w:type="dxa"/>
          </w:tcPr>
          <w:p>
            <w:pPr>
              <w:pStyle w:val="TableParagraph"/>
              <w:spacing w:before="9"/>
              <w:ind w:left="467"/>
              <w:jc w:val="left"/>
              <w:rPr>
                <w:rFonts w:ascii="宋体" w:eastAsia="宋体" w:hint="eastAsia"/>
                <w:sz w:val="16"/>
              </w:rPr>
            </w:pPr>
            <w:r>
              <w:rPr>
                <w:rFonts w:ascii="宋体" w:eastAsia="宋体" w:hint="eastAsia"/>
                <w:sz w:val="16"/>
              </w:rPr>
              <w:t>艾伏</w:t>
            </w: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tabs>
                <w:tab w:val="left" w:pos="3239"/>
              </w:tabs>
              <w:spacing w:before="9"/>
              <w:ind w:left="27"/>
              <w:jc w:val="left"/>
              <w:rPr>
                <w:rFonts w:ascii="宋体" w:eastAsia="宋体" w:hint="eastAsia"/>
                <w:sz w:val="16"/>
              </w:rPr>
            </w:pPr>
            <w:r>
              <w:rPr>
                <w:rFonts w:ascii="宋体" w:eastAsia="宋体" w:hint="eastAsia"/>
                <w:sz w:val="16"/>
              </w:rPr>
              <w:t>科士达</w:t>
              <w:tab/>
              <w:t>昱能</w:t>
            </w:r>
          </w:p>
        </w:tc>
        <w:tc>
          <w:tcPr>
            <w:tcW w:w="1322" w:type="dxa"/>
          </w:tcPr>
          <w:p>
            <w:pPr>
              <w:pStyle w:val="TableParagraph"/>
              <w:spacing w:before="9"/>
              <w:ind w:right="407"/>
              <w:rPr>
                <w:rFonts w:ascii="宋体" w:eastAsia="宋体" w:hint="eastAsia"/>
                <w:sz w:val="16"/>
              </w:rPr>
            </w:pPr>
            <w:r>
              <w:rPr>
                <w:rFonts w:ascii="宋体" w:eastAsia="宋体" w:hint="eastAsia"/>
                <w:sz w:val="16"/>
              </w:rPr>
              <w:t>爱士惟</w:t>
            </w:r>
          </w:p>
        </w:tc>
        <w:tc>
          <w:tcPr>
            <w:tcW w:w="2009" w:type="dxa"/>
          </w:tcPr>
          <w:p>
            <w:pPr>
              <w:pStyle w:val="TableParagraph"/>
              <w:jc w:val="left"/>
              <w:rPr>
                <w:rFonts w:ascii="Times New Roman"/>
                <w:sz w:val="16"/>
              </w:rPr>
            </w:pP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tabs>
                <w:tab w:val="left" w:pos="3239"/>
              </w:tabs>
              <w:spacing w:before="9"/>
              <w:ind w:left="27"/>
              <w:jc w:val="left"/>
              <w:rPr>
                <w:rFonts w:ascii="宋体" w:eastAsia="宋体" w:hint="eastAsia"/>
                <w:sz w:val="16"/>
              </w:rPr>
            </w:pPr>
            <w:r>
              <w:rPr>
                <w:rFonts w:ascii="宋体" w:eastAsia="宋体" w:hint="eastAsia"/>
                <w:sz w:val="16"/>
              </w:rPr>
              <w:t>禾望电气</w:t>
              <w:tab/>
              <w:t>德业</w:t>
            </w:r>
          </w:p>
        </w:tc>
        <w:tc>
          <w:tcPr>
            <w:tcW w:w="1322" w:type="dxa"/>
          </w:tcPr>
          <w:p>
            <w:pPr>
              <w:pStyle w:val="TableParagraph"/>
              <w:jc w:val="left"/>
              <w:rPr>
                <w:rFonts w:ascii="Times New Roman"/>
                <w:sz w:val="16"/>
              </w:rPr>
            </w:pPr>
          </w:p>
        </w:tc>
        <w:tc>
          <w:tcPr>
            <w:tcW w:w="2009" w:type="dxa"/>
          </w:tcPr>
          <w:p>
            <w:pPr>
              <w:pStyle w:val="TableParagraph"/>
              <w:jc w:val="left"/>
              <w:rPr>
                <w:rFonts w:ascii="Times New Roman"/>
                <w:sz w:val="16"/>
              </w:rPr>
            </w:pP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tabs>
                <w:tab w:val="left" w:pos="3239"/>
              </w:tabs>
              <w:spacing w:before="9"/>
              <w:ind w:left="27"/>
              <w:jc w:val="left"/>
              <w:rPr>
                <w:rFonts w:ascii="宋体" w:eastAsia="宋体" w:hint="eastAsia"/>
                <w:sz w:val="16"/>
              </w:rPr>
            </w:pPr>
            <w:r>
              <w:rPr>
                <w:rFonts w:ascii="宋体" w:eastAsia="宋体" w:hint="eastAsia"/>
                <w:sz w:val="16"/>
              </w:rPr>
              <w:t>首航新能</w:t>
              <w:tab/>
              <w:t>麦田</w:t>
            </w:r>
          </w:p>
        </w:tc>
        <w:tc>
          <w:tcPr>
            <w:tcW w:w="1322" w:type="dxa"/>
          </w:tcPr>
          <w:p>
            <w:pPr>
              <w:pStyle w:val="TableParagraph"/>
              <w:jc w:val="left"/>
              <w:rPr>
                <w:rFonts w:ascii="Times New Roman"/>
                <w:sz w:val="16"/>
              </w:rPr>
            </w:pPr>
          </w:p>
        </w:tc>
        <w:tc>
          <w:tcPr>
            <w:tcW w:w="2009" w:type="dxa"/>
          </w:tcPr>
          <w:p>
            <w:pPr>
              <w:pStyle w:val="TableParagraph"/>
              <w:jc w:val="left"/>
              <w:rPr>
                <w:rFonts w:ascii="Times New Roman"/>
                <w:sz w:val="16"/>
              </w:rPr>
            </w:pP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tabs>
                <w:tab w:val="left" w:pos="2919"/>
              </w:tabs>
              <w:spacing w:before="9"/>
              <w:ind w:left="27"/>
              <w:jc w:val="left"/>
              <w:rPr>
                <w:rFonts w:ascii="宋体" w:eastAsia="宋体" w:hint="eastAsia"/>
                <w:sz w:val="16"/>
              </w:rPr>
            </w:pPr>
            <w:r>
              <w:rPr>
                <w:rFonts w:ascii="宋体" w:eastAsia="宋体" w:hint="eastAsia"/>
                <w:sz w:val="16"/>
              </w:rPr>
              <w:t>三晶电气</w:t>
              <w:tab/>
              <w:t>杭州桑尼</w:t>
            </w:r>
          </w:p>
        </w:tc>
        <w:tc>
          <w:tcPr>
            <w:tcW w:w="1322" w:type="dxa"/>
          </w:tcPr>
          <w:p>
            <w:pPr>
              <w:pStyle w:val="TableParagraph"/>
              <w:jc w:val="left"/>
              <w:rPr>
                <w:rFonts w:ascii="Times New Roman"/>
                <w:sz w:val="16"/>
              </w:rPr>
            </w:pPr>
          </w:p>
        </w:tc>
        <w:tc>
          <w:tcPr>
            <w:tcW w:w="2009" w:type="dxa"/>
          </w:tcPr>
          <w:p>
            <w:pPr>
              <w:pStyle w:val="TableParagraph"/>
              <w:jc w:val="left"/>
              <w:rPr>
                <w:rFonts w:ascii="Times New Roman"/>
                <w:sz w:val="16"/>
              </w:rPr>
            </w:pP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tabs>
                <w:tab w:val="left" w:pos="3239"/>
              </w:tabs>
              <w:spacing w:before="9"/>
              <w:ind w:left="27"/>
              <w:jc w:val="left"/>
              <w:rPr>
                <w:rFonts w:ascii="宋体" w:eastAsia="宋体" w:hint="eastAsia"/>
                <w:sz w:val="16"/>
              </w:rPr>
            </w:pPr>
            <w:r>
              <w:rPr>
                <w:rFonts w:ascii="宋体" w:eastAsia="宋体" w:hint="eastAsia"/>
                <w:sz w:val="16"/>
              </w:rPr>
              <w:t>易事特</w:t>
              <w:tab/>
              <w:t>艾罗</w:t>
            </w:r>
          </w:p>
        </w:tc>
        <w:tc>
          <w:tcPr>
            <w:tcW w:w="1322" w:type="dxa"/>
          </w:tcPr>
          <w:p>
            <w:pPr>
              <w:pStyle w:val="TableParagraph"/>
              <w:jc w:val="left"/>
              <w:rPr>
                <w:rFonts w:ascii="Times New Roman"/>
                <w:sz w:val="16"/>
              </w:rPr>
            </w:pPr>
          </w:p>
        </w:tc>
        <w:tc>
          <w:tcPr>
            <w:tcW w:w="2009" w:type="dxa"/>
          </w:tcPr>
          <w:p>
            <w:pPr>
              <w:pStyle w:val="TableParagraph"/>
              <w:jc w:val="left"/>
              <w:rPr>
                <w:rFonts w:ascii="Times New Roman"/>
                <w:sz w:val="16"/>
              </w:rPr>
            </w:pPr>
          </w:p>
        </w:tc>
      </w:tr>
      <w:tr>
        <w:tblPrEx>
          <w:tblW w:w="0" w:type="auto"/>
          <w:jc w:val="left"/>
          <w:tblInd w:w="1158" w:type="dxa"/>
          <w:tblLayout w:type="fixed"/>
          <w:tblCellMar>
            <w:top w:w="0" w:type="dxa"/>
            <w:left w:w="0" w:type="dxa"/>
            <w:bottom w:w="0" w:type="dxa"/>
            <w:right w:w="0" w:type="dxa"/>
          </w:tblCellMar>
          <w:tblLook w:val="01E0"/>
        </w:tblPrEx>
        <w:trPr>
          <w:trHeight w:val="241"/>
          <w:jc w:val="left"/>
        </w:trPr>
        <w:tc>
          <w:tcPr>
            <w:tcW w:w="3842" w:type="dxa"/>
          </w:tcPr>
          <w:p>
            <w:pPr>
              <w:pStyle w:val="TableParagraph"/>
              <w:spacing w:before="9"/>
              <w:ind w:left="27"/>
              <w:jc w:val="left"/>
              <w:rPr>
                <w:rFonts w:ascii="宋体" w:eastAsia="宋体" w:hint="eastAsia"/>
                <w:sz w:val="16"/>
              </w:rPr>
            </w:pPr>
            <w:r>
              <w:rPr>
                <w:rFonts w:ascii="宋体" w:eastAsia="宋体" w:hint="eastAsia"/>
                <w:sz w:val="16"/>
              </w:rPr>
              <w:t>盛能杰</w:t>
            </w:r>
          </w:p>
        </w:tc>
        <w:tc>
          <w:tcPr>
            <w:tcW w:w="1322" w:type="dxa"/>
          </w:tcPr>
          <w:p>
            <w:pPr>
              <w:pStyle w:val="TableParagraph"/>
              <w:jc w:val="left"/>
              <w:rPr>
                <w:rFonts w:ascii="Times New Roman"/>
                <w:sz w:val="16"/>
              </w:rPr>
            </w:pPr>
          </w:p>
        </w:tc>
        <w:tc>
          <w:tcPr>
            <w:tcW w:w="2009" w:type="dxa"/>
          </w:tcPr>
          <w:p>
            <w:pPr>
              <w:pStyle w:val="TableParagraph"/>
              <w:jc w:val="left"/>
              <w:rPr>
                <w:rFonts w:ascii="Times New Roman"/>
                <w:sz w:val="16"/>
              </w:rPr>
            </w:pPr>
          </w:p>
        </w:tc>
      </w:tr>
      <w:tr>
        <w:tblPrEx>
          <w:tblW w:w="0" w:type="auto"/>
          <w:jc w:val="left"/>
          <w:tblInd w:w="1158" w:type="dxa"/>
          <w:tblLayout w:type="fixed"/>
          <w:tblCellMar>
            <w:top w:w="0" w:type="dxa"/>
            <w:left w:w="0" w:type="dxa"/>
            <w:bottom w:w="0" w:type="dxa"/>
            <w:right w:w="0" w:type="dxa"/>
          </w:tblCellMar>
          <w:tblLook w:val="01E0"/>
        </w:tblPrEx>
        <w:trPr>
          <w:trHeight w:val="249"/>
          <w:jc w:val="left"/>
        </w:trPr>
        <w:tc>
          <w:tcPr>
            <w:tcW w:w="3842" w:type="dxa"/>
            <w:tcBorders>
              <w:bottom w:val="single" w:sz="4" w:space="0" w:color="000000"/>
            </w:tcBorders>
          </w:tcPr>
          <w:p>
            <w:pPr>
              <w:pStyle w:val="TableParagraph"/>
              <w:spacing w:before="9"/>
              <w:ind w:left="27"/>
              <w:jc w:val="left"/>
              <w:rPr>
                <w:rFonts w:ascii="宋体" w:eastAsia="宋体" w:hint="eastAsia"/>
                <w:sz w:val="16"/>
              </w:rPr>
            </w:pPr>
            <w:r>
              <w:rPr>
                <w:rFonts w:ascii="宋体" w:eastAsia="宋体" w:hint="eastAsia"/>
                <w:sz w:val="16"/>
              </w:rPr>
              <w:t>英威腾</w:t>
            </w:r>
          </w:p>
        </w:tc>
        <w:tc>
          <w:tcPr>
            <w:tcW w:w="1322" w:type="dxa"/>
            <w:tcBorders>
              <w:bottom w:val="single" w:sz="4" w:space="0" w:color="000000"/>
            </w:tcBorders>
          </w:tcPr>
          <w:p>
            <w:pPr>
              <w:pStyle w:val="TableParagraph"/>
              <w:jc w:val="left"/>
              <w:rPr>
                <w:rFonts w:ascii="Times New Roman"/>
                <w:sz w:val="18"/>
              </w:rPr>
            </w:pPr>
          </w:p>
        </w:tc>
        <w:tc>
          <w:tcPr>
            <w:tcW w:w="2009" w:type="dxa"/>
            <w:tcBorders>
              <w:bottom w:val="single" w:sz="4" w:space="0" w:color="000000"/>
            </w:tcBorders>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178"/>
          <w:jc w:val="left"/>
        </w:trPr>
        <w:tc>
          <w:tcPr>
            <w:tcW w:w="3842" w:type="dxa"/>
            <w:tcBorders>
              <w:top w:val="single" w:sz="4" w:space="0" w:color="000000"/>
            </w:tcBorders>
          </w:tcPr>
          <w:p>
            <w:pPr>
              <w:pStyle w:val="TableParagraph"/>
              <w:spacing w:line="159" w:lineRule="exact"/>
              <w:ind w:left="-1"/>
              <w:jc w:val="left"/>
              <w:rPr>
                <w:rFonts w:ascii="宋体" w:eastAsia="宋体" w:hint="eastAsia"/>
                <w:sz w:val="15"/>
              </w:rPr>
            </w:pPr>
            <w:r>
              <w:rPr>
                <w:rFonts w:ascii="宋体" w:eastAsia="宋体" w:hint="eastAsia"/>
                <w:sz w:val="15"/>
              </w:rPr>
              <w:t>资料来源：</w:t>
            </w:r>
            <w:r>
              <w:rPr>
                <w:rFonts w:ascii="Calibri" w:eastAsia="Calibri"/>
                <w:i/>
                <w:sz w:val="14"/>
              </w:rPr>
              <w:t>CPIA</w:t>
            </w:r>
            <w:r>
              <w:rPr>
                <w:rFonts w:ascii="宋体" w:eastAsia="宋体" w:hint="eastAsia"/>
                <w:sz w:val="15"/>
              </w:rPr>
              <w:t>，交银国际</w:t>
            </w:r>
          </w:p>
        </w:tc>
        <w:tc>
          <w:tcPr>
            <w:tcW w:w="1322" w:type="dxa"/>
            <w:tcBorders>
              <w:top w:val="single" w:sz="4" w:space="0" w:color="000000"/>
            </w:tcBorders>
          </w:tcPr>
          <w:p>
            <w:pPr>
              <w:pStyle w:val="TableParagraph"/>
              <w:jc w:val="left"/>
              <w:rPr>
                <w:rFonts w:ascii="Times New Roman"/>
                <w:sz w:val="12"/>
              </w:rPr>
            </w:pPr>
          </w:p>
        </w:tc>
        <w:tc>
          <w:tcPr>
            <w:tcW w:w="2009" w:type="dxa"/>
            <w:tcBorders>
              <w:top w:val="single" w:sz="4" w:space="0" w:color="000000"/>
            </w:tcBorders>
          </w:tcPr>
          <w:p>
            <w:pPr>
              <w:pStyle w:val="TableParagraph"/>
              <w:jc w:val="left"/>
              <w:rPr>
                <w:rFonts w:ascii="Times New Roman"/>
                <w:sz w:val="12"/>
              </w:rPr>
            </w:pPr>
          </w:p>
        </w:tc>
      </w:tr>
    </w:tbl>
    <w:p>
      <w:pPr>
        <w:pStyle w:val="BodyText"/>
        <w:spacing w:before="5"/>
        <w:rPr>
          <w:sz w:val="9"/>
        </w:rPr>
      </w:pPr>
    </w:p>
    <w:p>
      <w:pPr>
        <w:pStyle w:val="BodyText"/>
        <w:spacing w:before="58" w:line="265" w:lineRule="exact"/>
        <w:ind w:left="1151"/>
      </w:pPr>
      <w:r>
        <w:rPr>
          <w:color w:val="262626"/>
        </w:rPr>
        <w:t>从上市公司并网逆变器收入规模来看，阳光电源遥遥领先，锦浪科技排行第二</w:t>
      </w:r>
    </w:p>
    <w:p>
      <w:pPr>
        <w:pStyle w:val="BodyText"/>
        <w:spacing w:before="2" w:line="232" w:lineRule="auto"/>
        <w:ind w:left="1151" w:right="3913"/>
        <w:jc w:val="both"/>
      </w:pPr>
      <w:r>
        <w:rPr>
          <w:color w:val="262626"/>
        </w:rPr>
        <w:t>，固德威、上能电气、首航新能较为接近。储能逆变器方面，阳光电源仅披露储能系统收入，未单独披露储能逆变器收入，其他企业中，凭借在储能领域的长期布局，固德威收入规模领先，锦浪科技则相对落后。</w:t>
      </w:r>
    </w:p>
    <w:p>
      <w:pPr>
        <w:pStyle w:val="BodyText"/>
        <w:spacing w:before="6"/>
        <w:rPr>
          <w:sz w:val="15"/>
        </w:rPr>
      </w:pPr>
    </w:p>
    <w:p>
      <w:pPr>
        <w:pStyle w:val="Heading3"/>
        <w:tabs>
          <w:tab w:val="left" w:pos="6324"/>
        </w:tabs>
        <w:rPr>
          <w:rFonts w:ascii="Calibri" w:eastAsia="Calibri"/>
        </w:rPr>
      </w:pPr>
      <w:r>
        <w:pict>
          <v:rect id="_x0000_s1303" style="width:4.36pt;height:4.34pt;margin-top:28.51pt;margin-left:113.48pt;mso-position-horizontal-relative:page;position:absolute;z-index:-251597824" filled="t" fillcolor="#59a1ae" stroked="f">
            <v:fill type="solid"/>
          </v:rect>
        </w:pict>
      </w:r>
      <w:r>
        <w:pict>
          <v:rect id="_x0000_s1304" style="width:4.24pt;height:4.34pt;margin-top:28.51pt;margin-left:159.98pt;mso-position-horizontal-relative:page;position:absolute;z-index:-251596800" filled="t" fillcolor="#417b85" stroked="f">
            <v:fill type="solid"/>
          </v:rect>
        </w:pict>
      </w:r>
      <w:r>
        <w:pict>
          <v:rect id="_x0000_s1305" style="width:4.36pt;height:4.34pt;margin-top:28.51pt;margin-left:198.48pt;mso-position-horizontal-relative:page;position:absolute;z-index:-251595776" filled="t" fillcolor="#c3bcc6" stroked="f">
            <v:fill type="solid"/>
          </v:rect>
        </w:pict>
      </w:r>
      <w:r>
        <w:pict>
          <v:rect id="_x0000_s1306" style="width:4.24pt;height:4.34pt;margin-top:28.51pt;margin-left:244.99pt;mso-position-horizontal-relative:page;position:absolute;z-index:-251594752" filled="t" fillcolor="#9c90a0" stroked="f">
            <v:fill type="solid"/>
          </v:rect>
        </w:pict>
      </w:r>
      <w:r>
        <w:t>图表</w:t>
      </w:r>
      <w:r>
        <w:rPr>
          <w:rFonts w:ascii="Calibri" w:eastAsia="Calibri"/>
        </w:rPr>
        <w:t>23:</w:t>
      </w:r>
      <w:r>
        <w:rPr>
          <w:rFonts w:ascii="Calibri" w:eastAsia="Calibri"/>
          <w:spacing w:val="-2"/>
        </w:rPr>
        <w:t xml:space="preserve"> </w:t>
      </w:r>
      <w:r>
        <w:t>內地逆变器企业并网逆变器收入</w:t>
      </w:r>
      <w:r>
        <w:rPr>
          <w:rFonts w:ascii="Calibri" w:eastAsia="Calibri"/>
        </w:rPr>
        <w:t>(</w:t>
      </w:r>
      <w:r>
        <w:t>亿元</w:t>
      </w:r>
      <w:r>
        <w:rPr>
          <w:rFonts w:ascii="Calibri" w:eastAsia="Calibri"/>
        </w:rPr>
        <w:t>)</w:t>
        <w:tab/>
      </w:r>
      <w:r>
        <w:t>图表</w:t>
      </w:r>
      <w:r>
        <w:rPr>
          <w:rFonts w:ascii="Calibri" w:eastAsia="Calibri"/>
        </w:rPr>
        <w:t>24:</w:t>
      </w:r>
      <w:r>
        <w:rPr>
          <w:rFonts w:ascii="Calibri" w:eastAsia="Calibri"/>
          <w:spacing w:val="-1"/>
        </w:rPr>
        <w:t xml:space="preserve"> </w:t>
      </w:r>
      <w:r>
        <w:t>內地逆变器企业储能逆变器收入</w:t>
      </w:r>
      <w:r>
        <w:rPr>
          <w:rFonts w:ascii="Calibri" w:eastAsia="Calibri"/>
        </w:rPr>
        <w:t>(</w:t>
      </w:r>
      <w:r>
        <w:t>亿元</w:t>
      </w:r>
      <w:r>
        <w:rPr>
          <w:rFonts w:ascii="Calibri" w:eastAsia="Calibri"/>
        </w:rPr>
        <w:t>)</w:t>
      </w:r>
    </w:p>
    <w:p>
      <w:pPr>
        <w:tabs>
          <w:tab w:val="left" w:pos="6317"/>
        </w:tabs>
        <w:spacing w:line="20" w:lineRule="exact"/>
        <w:ind w:left="1143" w:right="0" w:firstLine="0"/>
        <w:rPr>
          <w:rFonts w:ascii="Calibri"/>
          <w:sz w:val="2"/>
        </w:rPr>
      </w:pPr>
      <w:r>
        <w:rPr>
          <w:rFonts w:ascii="Calibri"/>
          <w:sz w:val="2"/>
        </w:rPr>
        <w:pict>
          <v:group id="_x0000_i1307" style="width:236.9pt;height:0.75pt;mso-position-horizontal-relative:char;mso-position-vertical-relative:line" coordorigin="0,0" coordsize="4738,15">
            <v:line id="_x0000_s1308" style="position:absolute" from="0,8" to="4738,8" stroked="t" strokecolor="black" strokeweight="0.75pt">
              <v:stroke dashstyle="solid"/>
            </v:line>
            <w10:wrap type="none"/>
          </v:group>
        </w:pict>
      </w:r>
      <w:r>
        <w:rPr>
          <w:rFonts w:ascii="Calibri"/>
          <w:sz w:val="2"/>
        </w:rPr>
        <w:tab/>
      </w:r>
      <w:r>
        <w:rPr>
          <w:rFonts w:ascii="Calibri"/>
          <w:sz w:val="2"/>
        </w:rPr>
        <w:pict>
          <v:group id="_x0000_i1309" style="width:238.55pt;height:0.75pt;mso-position-horizontal-relative:char;mso-position-vertical-relative:line" coordorigin="0,0" coordsize="4771,15">
            <v:line id="_x0000_s1310" style="position:absolute" from="0,8" to="4771,8" stroked="t" strokecolor="black" strokeweight="0.75pt">
              <v:stroke dashstyle="solid"/>
            </v:line>
            <w10:wrap type="none"/>
          </v:group>
        </w:pict>
      </w:r>
    </w:p>
    <w:p>
      <w:pPr>
        <w:spacing w:after="0" w:line="20" w:lineRule="exact"/>
        <w:rPr>
          <w:rFonts w:ascii="Calibri"/>
          <w:sz w:val="2"/>
        </w:rPr>
        <w:sectPr>
          <w:headerReference w:type="default" r:id="rId78"/>
          <w:footerReference w:type="default" r:id="rId79"/>
          <w:pgSz w:w="12240" w:h="15840"/>
          <w:pgMar w:top="1720" w:right="0" w:bottom="1380" w:left="0" w:header="708" w:footer="708"/>
          <w:pgNumType w:start="29"/>
          <w:cols w:space="708"/>
        </w:sectPr>
      </w:pPr>
    </w:p>
    <w:p>
      <w:pPr>
        <w:pStyle w:val="BodyText"/>
        <w:spacing w:before="12"/>
        <w:rPr>
          <w:rFonts w:ascii="Calibri"/>
          <w:b/>
          <w:sz w:val="11"/>
        </w:rPr>
      </w:pPr>
    </w:p>
    <w:p>
      <w:pPr>
        <w:pStyle w:val="BodyText"/>
        <w:spacing w:line="86" w:lineRule="exact"/>
        <w:ind w:left="1341" w:right="-58"/>
        <w:rPr>
          <w:rFonts w:ascii="Calibri"/>
          <w:sz w:val="8"/>
        </w:rPr>
      </w:pPr>
      <w:r>
        <w:rPr>
          <w:rFonts w:ascii="Calibri"/>
          <w:position w:val="-1"/>
          <w:sz w:val="8"/>
        </w:rPr>
        <w:pict>
          <v:group id="_x0000_i1311" style="width:4.25pt;height:4.35pt;mso-position-horizontal-relative:char;mso-position-vertical-relative:line" coordorigin="0,0" coordsize="85,87">
            <v:rect id="_x0000_s1312" style="width:85;height:87;position:absolute" filled="t" fillcolor="#bcdadf" stroked="f">
              <v:fill type="solid"/>
            </v:rect>
            <w10:wrap type="none"/>
          </v:group>
        </w:pict>
      </w:r>
    </w:p>
    <w:p>
      <w:pPr>
        <w:pStyle w:val="BodyText"/>
        <w:spacing w:before="11"/>
        <w:rPr>
          <w:rFonts w:ascii="Calibri"/>
          <w:b/>
          <w:sz w:val="12"/>
        </w:rPr>
      </w:pPr>
    </w:p>
    <w:p>
      <w:pPr>
        <w:spacing w:before="0"/>
        <w:ind w:left="0" w:right="0" w:firstLine="0"/>
        <w:jc w:val="right"/>
        <w:rPr>
          <w:rFonts w:ascii="Calibri"/>
          <w:sz w:val="15"/>
        </w:rPr>
      </w:pPr>
      <w:r>
        <w:rPr>
          <w:rFonts w:ascii="Calibri"/>
          <w:color w:val="595959"/>
          <w:w w:val="105"/>
          <w:sz w:val="15"/>
        </w:rPr>
        <w:t>180</w:t>
      </w:r>
    </w:p>
    <w:p>
      <w:pPr>
        <w:spacing w:before="32"/>
        <w:ind w:left="0" w:right="0" w:firstLine="0"/>
        <w:jc w:val="right"/>
        <w:rPr>
          <w:rFonts w:ascii="Calibri"/>
          <w:sz w:val="15"/>
        </w:rPr>
      </w:pPr>
      <w:r>
        <w:rPr>
          <w:rFonts w:ascii="Calibri"/>
          <w:color w:val="595959"/>
          <w:w w:val="105"/>
          <w:sz w:val="15"/>
        </w:rPr>
        <w:t>160</w:t>
      </w:r>
    </w:p>
    <w:p>
      <w:pPr>
        <w:spacing w:before="31"/>
        <w:ind w:left="0" w:right="0" w:firstLine="0"/>
        <w:jc w:val="right"/>
        <w:rPr>
          <w:rFonts w:ascii="Calibri"/>
          <w:sz w:val="15"/>
        </w:rPr>
      </w:pPr>
      <w:r>
        <w:rPr>
          <w:rFonts w:ascii="Calibri"/>
          <w:color w:val="595959"/>
          <w:w w:val="105"/>
          <w:sz w:val="15"/>
        </w:rPr>
        <w:t>140</w:t>
      </w:r>
    </w:p>
    <w:p>
      <w:pPr>
        <w:spacing w:before="32"/>
        <w:ind w:left="0" w:right="0" w:firstLine="0"/>
        <w:jc w:val="right"/>
        <w:rPr>
          <w:rFonts w:ascii="Calibri"/>
          <w:sz w:val="15"/>
        </w:rPr>
      </w:pPr>
      <w:r>
        <w:rPr>
          <w:rFonts w:ascii="Calibri"/>
          <w:color w:val="595959"/>
          <w:w w:val="105"/>
          <w:sz w:val="15"/>
        </w:rPr>
        <w:t>120</w:t>
      </w:r>
    </w:p>
    <w:p>
      <w:pPr>
        <w:spacing w:before="32"/>
        <w:ind w:left="0" w:right="0" w:firstLine="0"/>
        <w:jc w:val="right"/>
        <w:rPr>
          <w:rFonts w:ascii="Calibri"/>
          <w:sz w:val="15"/>
        </w:rPr>
      </w:pPr>
      <w:r>
        <w:rPr>
          <w:rFonts w:ascii="Calibri"/>
          <w:color w:val="595959"/>
          <w:w w:val="105"/>
          <w:sz w:val="15"/>
        </w:rPr>
        <w:t>100</w:t>
      </w:r>
    </w:p>
    <w:p>
      <w:pPr>
        <w:spacing w:before="31"/>
        <w:ind w:left="0" w:right="0" w:firstLine="0"/>
        <w:jc w:val="right"/>
        <w:rPr>
          <w:rFonts w:ascii="Calibri"/>
          <w:sz w:val="15"/>
        </w:rPr>
      </w:pPr>
      <w:r>
        <w:rPr>
          <w:rFonts w:ascii="Calibri"/>
          <w:color w:val="595959"/>
          <w:w w:val="105"/>
          <w:sz w:val="15"/>
        </w:rPr>
        <w:t>80</w:t>
      </w:r>
    </w:p>
    <w:p>
      <w:pPr>
        <w:spacing w:before="32"/>
        <w:ind w:left="0" w:right="0" w:firstLine="0"/>
        <w:jc w:val="right"/>
        <w:rPr>
          <w:rFonts w:ascii="Calibri"/>
          <w:sz w:val="15"/>
        </w:rPr>
      </w:pPr>
      <w:r>
        <w:rPr>
          <w:rFonts w:ascii="Calibri"/>
          <w:color w:val="595959"/>
          <w:w w:val="105"/>
          <w:sz w:val="15"/>
        </w:rPr>
        <w:t>60</w:t>
      </w:r>
    </w:p>
    <w:p>
      <w:pPr>
        <w:spacing w:before="32"/>
        <w:ind w:left="0" w:right="0" w:firstLine="0"/>
        <w:jc w:val="right"/>
        <w:rPr>
          <w:rFonts w:ascii="Calibri"/>
          <w:sz w:val="15"/>
        </w:rPr>
      </w:pPr>
      <w:r>
        <w:rPr>
          <w:rFonts w:ascii="Calibri"/>
          <w:color w:val="595959"/>
          <w:w w:val="105"/>
          <w:sz w:val="15"/>
        </w:rPr>
        <w:t>40</w:t>
      </w:r>
    </w:p>
    <w:p>
      <w:pPr>
        <w:spacing w:before="31"/>
        <w:ind w:left="0" w:right="0" w:firstLine="0"/>
        <w:jc w:val="right"/>
        <w:rPr>
          <w:rFonts w:ascii="Calibri"/>
          <w:sz w:val="15"/>
        </w:rPr>
      </w:pPr>
      <w:r>
        <w:rPr>
          <w:rFonts w:ascii="Calibri"/>
          <w:color w:val="595959"/>
          <w:w w:val="105"/>
          <w:sz w:val="15"/>
        </w:rPr>
        <w:t>20</w:t>
      </w:r>
    </w:p>
    <w:p>
      <w:pPr>
        <w:spacing w:before="32"/>
        <w:ind w:left="0" w:right="0" w:firstLine="0"/>
        <w:jc w:val="right"/>
        <w:rPr>
          <w:rFonts w:ascii="Calibri"/>
          <w:sz w:val="15"/>
        </w:rPr>
      </w:pPr>
      <w:r>
        <w:rPr>
          <w:rFonts w:ascii="Calibri"/>
          <w:color w:val="595959"/>
          <w:w w:val="105"/>
          <w:sz w:val="15"/>
        </w:rPr>
        <w:t>0</w:t>
      </w:r>
    </w:p>
    <w:p>
      <w:pPr>
        <w:tabs>
          <w:tab w:val="left" w:pos="927"/>
          <w:tab w:val="left" w:pos="1856"/>
          <w:tab w:val="left" w:pos="2628"/>
          <w:tab w:val="left" w:pos="3556"/>
        </w:tabs>
        <w:spacing w:before="76"/>
        <w:ind w:left="-2" w:right="0" w:firstLine="0"/>
        <w:jc w:val="center"/>
        <w:rPr>
          <w:sz w:val="15"/>
        </w:rPr>
      </w:pPr>
      <w:r>
        <w:br w:type="column"/>
      </w:r>
      <w:r>
        <w:rPr>
          <w:color w:val="595959"/>
          <w:w w:val="105"/>
          <w:sz w:val="15"/>
        </w:rPr>
        <w:t>阳光电源</w:t>
        <w:tab/>
        <w:t>锦浪科技</w:t>
        <w:tab/>
        <w:t>固德威</w:t>
        <w:tab/>
        <w:t>上能电气</w:t>
        <w:tab/>
        <w:t>首航新</w:t>
      </w:r>
      <w:r>
        <w:rPr>
          <w:color w:val="595959"/>
          <w:spacing w:val="-19"/>
          <w:w w:val="105"/>
          <w:sz w:val="15"/>
        </w:rPr>
        <w:t>能</w:t>
      </w:r>
    </w:p>
    <w:p>
      <w:pPr>
        <w:pStyle w:val="BodyText"/>
        <w:spacing w:before="7"/>
        <w:rPr>
          <w:sz w:val="13"/>
        </w:rPr>
      </w:pPr>
      <w:r>
        <w:pict>
          <v:group id="_x0000_s1313" style="width:205.1pt;height:99.55pt;margin-top:10.69pt;margin-left:75.92pt;mso-position-horizontal-relative:page;mso-wrap-distance-left:0;mso-wrap-distance-right:0;position:absolute;z-index:-251590656" coordorigin="1518,214" coordsize="4102,1991">
            <v:line id="_x0000_s1314" style="position:absolute" from="4448,1939" to="5613,1939" stroked="t" strokecolor="#d8d8d8" strokeweight="0.7pt">
              <v:stroke dashstyle="solid"/>
            </v:line>
            <v:line id="_x0000_s1315" style="position:absolute" from="2425,1939" to="3824,1939" stroked="t" strokecolor="#d8d8d8" strokeweight="0.7pt">
              <v:stroke dashstyle="solid"/>
            </v:line>
            <v:line id="_x0000_s1316" style="position:absolute" from="1568,1939" to="1801,1939" stroked="t" strokecolor="#d8d8d8" strokeweight="0.7pt">
              <v:stroke dashstyle="solid"/>
            </v:line>
            <v:line id="_x0000_s1317" style="position:absolute" from="2114,1725" to="3824,1725" stroked="t" strokecolor="#d8d8d8" strokeweight="0.7pt">
              <v:stroke dashstyle="solid"/>
            </v:line>
            <v:line id="_x0000_s1318" style="position:absolute" from="1568,1725" to="1801,1725" stroked="t" strokecolor="#d8d8d8" strokeweight="0.7pt">
              <v:stroke dashstyle="solid"/>
            </v:line>
            <v:line id="_x0000_s1319" style="position:absolute" from="2114,1509" to="3824,1509" stroked="t" strokecolor="#d8d8d8" strokeweight="0.7pt">
              <v:stroke dashstyle="solid"/>
            </v:line>
            <v:line id="_x0000_s1320" style="position:absolute" from="1568,1509" to="1801,1509" stroked="t" strokecolor="#d8d8d8" strokeweight="0.7pt">
              <v:stroke dashstyle="solid"/>
            </v:line>
            <v:line id="_x0000_s1321" style="position:absolute" from="2114,1296" to="3824,1296" stroked="t" strokecolor="#d8d8d8" strokeweight="0.7pt">
              <v:stroke dashstyle="solid"/>
            </v:line>
            <v:line id="_x0000_s1322" style="position:absolute" from="1568,1296" to="1801,1296" stroked="t" strokecolor="#d8d8d8" strokeweight="0.7pt">
              <v:stroke dashstyle="solid"/>
            </v:line>
            <v:line id="_x0000_s1323" style="position:absolute" from="2114,1080" to="3824,1080" stroked="t" strokecolor="#d8d8d8" strokeweight="0.7pt">
              <v:stroke dashstyle="solid"/>
            </v:line>
            <v:line id="_x0000_s1324" style="position:absolute" from="1568,1080" to="1801,1080" stroked="t" strokecolor="#d8d8d8" strokeweight="0.7pt">
              <v:stroke dashstyle="solid"/>
            </v:line>
            <v:line id="_x0000_s1325" style="position:absolute" from="2114,866" to="5613,866" stroked="t" strokecolor="#d8d8d8" strokeweight="0.7pt">
              <v:stroke dashstyle="solid"/>
            </v:line>
            <v:line id="_x0000_s1326" style="position:absolute" from="1568,866" to="1801,866" stroked="t" strokecolor="#d8d8d8" strokeweight="0.7pt">
              <v:stroke dashstyle="solid"/>
            </v:line>
            <v:line id="_x0000_s1327" style="position:absolute" from="2114,650" to="5613,650" stroked="t" strokecolor="#d8d8d8" strokeweight="0.7pt">
              <v:stroke dashstyle="solid"/>
            </v:line>
            <v:line id="_x0000_s1328" style="position:absolute" from="1568,650" to="1801,650" stroked="t" strokecolor="#d8d8d8" strokeweight="0.7pt">
              <v:stroke dashstyle="solid"/>
            </v:line>
            <v:line id="_x0000_s1329" style="position:absolute" from="1568,437" to="5613,437" stroked="t" strokecolor="#d8d8d8" strokeweight="0.7pt">
              <v:stroke dashstyle="solid"/>
            </v:line>
            <v:rect id="_x0000_s1330" style="width:314;height:1688;left:1800;position:absolute;top:467" filled="t" fillcolor="#bcdadf" stroked="f">
              <v:fill type="solid"/>
            </v:rect>
            <v:line id="_x0000_s1331" style="position:absolute" from="4134,1725" to="5613,1725" stroked="t" strokecolor="#d8d8d8" strokeweight="0.7pt">
              <v:stroke dashstyle="solid"/>
            </v:line>
            <v:line id="_x0000_s1332" style="position:absolute" from="4134,1509" to="5613,1509" stroked="t" strokecolor="#d8d8d8" strokeweight="0.7pt">
              <v:stroke dashstyle="solid"/>
            </v:line>
            <v:line id="_x0000_s1333" style="position:absolute" from="4134,1296" to="5613,1296" stroked="t" strokecolor="#d8d8d8" strokeweight="0.7pt">
              <v:stroke dashstyle="solid"/>
            </v:line>
            <v:line id="_x0000_s1334" style="position:absolute" from="4134,1080" to="5613,1080" stroked="t" strokecolor="#d8d8d8" strokeweight="0.7pt">
              <v:stroke dashstyle="solid"/>
            </v:line>
            <v:rect id="_x0000_s1335" style="width:311;height:1249;left:3823;position:absolute;top:906" filled="t" fillcolor="#bcdadf" stroked="f">
              <v:fill type="solid"/>
            </v:rect>
            <v:rect id="_x0000_s1336" style="width:311;height:432;left:2114;position:absolute;top:1722" filled="t" fillcolor="#59a1ae" stroked="f">
              <v:fill type="solid"/>
            </v:rect>
            <v:rect id="_x0000_s1337" style="width:314;height:240;left:4134;position:absolute;top:1915" filled="t" fillcolor="#59a1ae" stroked="f">
              <v:fill type="solid"/>
            </v:rect>
            <v:rect id="_x0000_s1338" style="width:311;height:216;left:2424;position:absolute;top:1938" filled="t" fillcolor="#417b85" stroked="f">
              <v:fill type="solid"/>
            </v:rect>
            <v:rect id="_x0000_s1339" style="width:311;height:165;left:4447;position:absolute;top:1990" filled="t" fillcolor="#417b85" stroked="f">
              <v:fill type="solid"/>
            </v:rect>
            <v:line id="_x0000_s1340" style="position:absolute" from="2736,2089" to="3047,2089" stroked="t" strokecolor="#c3bcc6" strokeweight="6.57pt">
              <v:stroke dashstyle="solid"/>
            </v:line>
            <v:rect id="_x0000_s1341" style="width:311;height:141;left:4758;position:absolute;top:2014" filled="t" fillcolor="#c3bcc6" stroked="f">
              <v:fill type="solid"/>
            </v:rect>
            <v:rect id="_x0000_s1342" style="width:311;height:198;left:3046;position:absolute;top:1957" filled="t" fillcolor="#9c90a0" stroked="f">
              <v:fill type="solid"/>
            </v:rect>
            <v:line id="_x0000_s1343" style="position:absolute" from="5069,2091" to="5380,2091" stroked="t" strokecolor="#9c90a0" strokeweight="6.34pt">
              <v:stroke dashstyle="solid"/>
            </v:line>
            <v:line id="_x0000_s1344" style="position:absolute" from="1568,221" to="5613,221" stroked="t" strokecolor="#d8d8d8" strokeweight="0.7pt">
              <v:stroke dashstyle="solid"/>
            </v:line>
            <v:line id="_x0000_s1345" style="position:absolute" from="1568,2155" to="1568,221" stroked="t" strokecolor="#a5a5a5" strokeweight="0.71pt">
              <v:stroke dashstyle="solid"/>
            </v:line>
            <v:line id="_x0000_s1346" style="position:absolute" from="1518,2155" to="1568,2155" stroked="t" strokecolor="#a5a5a5" strokeweight="0.7pt">
              <v:stroke dashstyle="solid"/>
            </v:line>
            <v:line id="_x0000_s1347" style="position:absolute" from="1518,1939" to="1568,1939" stroked="t" strokecolor="#a5a5a5" strokeweight="0.7pt">
              <v:stroke dashstyle="solid"/>
            </v:line>
            <v:line id="_x0000_s1348" style="position:absolute" from="1518,1725" to="1568,1725" stroked="t" strokecolor="#a5a5a5" strokeweight="0.7pt">
              <v:stroke dashstyle="solid"/>
            </v:line>
            <v:line id="_x0000_s1349" style="position:absolute" from="1518,1509" to="1568,1509" stroked="t" strokecolor="#a5a5a5" strokeweight="0.7pt">
              <v:stroke dashstyle="solid"/>
            </v:line>
            <v:line id="_x0000_s1350" style="position:absolute" from="1518,1296" to="1568,1296" stroked="t" strokecolor="#a5a5a5" strokeweight="0.7pt">
              <v:stroke dashstyle="solid"/>
            </v:line>
            <v:line id="_x0000_s1351" style="position:absolute" from="1518,1080" to="1568,1080" stroked="t" strokecolor="#a5a5a5" strokeweight="0.7pt">
              <v:stroke dashstyle="solid"/>
            </v:line>
            <v:line id="_x0000_s1352" style="position:absolute" from="1518,866" to="1568,866" stroked="t" strokecolor="#a5a5a5" strokeweight="0.7pt">
              <v:stroke dashstyle="solid"/>
            </v:line>
            <v:line id="_x0000_s1353" style="position:absolute" from="1518,650" to="1568,650" stroked="t" strokecolor="#a5a5a5" strokeweight="0.7pt">
              <v:stroke dashstyle="solid"/>
            </v:line>
            <v:line id="_x0000_s1354" style="position:absolute" from="1518,437" to="1568,437" stroked="t" strokecolor="#a5a5a5" strokeweight="0.7pt">
              <v:stroke dashstyle="solid"/>
            </v:line>
            <v:line id="_x0000_s1355" style="position:absolute" from="1518,221" to="1568,221" stroked="t" strokecolor="#a5a5a5" strokeweight="0.7pt">
              <v:stroke dashstyle="solid"/>
            </v:line>
            <v:line id="_x0000_s1356" style="position:absolute" from="1568,2155" to="5613,2155" stroked="t" strokecolor="#a5a5a5" strokeweight="0.7pt">
              <v:stroke dashstyle="solid"/>
            </v:line>
            <v:line id="_x0000_s1357" style="position:absolute" from="1568,2155" to="1568,2204" stroked="t" strokecolor="#a5a5a5" strokeweight="0.71pt">
              <v:stroke dashstyle="solid"/>
            </v:line>
            <v:line id="_x0000_s1358" style="position:absolute" from="3591,2155" to="3591,2204" stroked="t" strokecolor="#a5a5a5" strokeweight="0.71pt">
              <v:stroke dashstyle="solid"/>
            </v:line>
            <v:line id="_x0000_s1359" style="position:absolute" from="5613,2155" to="5613,2204" stroked="t" strokecolor="#a5a5a5" strokeweight="0.71pt">
              <v:stroke dashstyle="solid"/>
            </v:line>
            <w10:wrap type="topAndBottom"/>
          </v:group>
        </w:pict>
      </w:r>
    </w:p>
    <w:p>
      <w:pPr>
        <w:tabs>
          <w:tab w:val="left" w:pos="2087"/>
        </w:tabs>
        <w:spacing w:before="17"/>
        <w:ind w:left="74" w:right="0" w:firstLine="0"/>
        <w:jc w:val="center"/>
        <w:rPr>
          <w:rFonts w:ascii="Calibri"/>
          <w:sz w:val="15"/>
        </w:rPr>
      </w:pPr>
      <w:r>
        <w:rPr>
          <w:rFonts w:ascii="Calibri"/>
          <w:color w:val="595959"/>
          <w:w w:val="105"/>
          <w:sz w:val="15"/>
        </w:rPr>
        <w:t>2022</w:t>
        <w:tab/>
        <w:t>1H23</w:t>
      </w:r>
    </w:p>
    <w:p>
      <w:pPr>
        <w:tabs>
          <w:tab w:val="left" w:pos="1140"/>
          <w:tab w:val="left" w:pos="2120"/>
          <w:tab w:val="left" w:pos="3260"/>
        </w:tabs>
        <w:spacing w:before="73" w:line="195" w:lineRule="exact"/>
        <w:ind w:left="0" w:right="355" w:firstLine="0"/>
        <w:jc w:val="center"/>
        <w:rPr>
          <w:sz w:val="16"/>
        </w:rPr>
      </w:pPr>
      <w:r>
        <w:br w:type="column"/>
      </w:r>
      <w:r>
        <w:rPr>
          <w:color w:val="595959"/>
          <w:sz w:val="16"/>
        </w:rPr>
        <w:t>锦浪科技</w:t>
        <w:tab/>
        <w:t>固德威</w:t>
        <w:tab/>
        <w:t>上能电气</w:t>
        <w:tab/>
        <w:t>首航新能</w:t>
      </w:r>
    </w:p>
    <w:p>
      <w:pPr>
        <w:spacing w:before="0" w:line="185" w:lineRule="exact"/>
        <w:ind w:left="668" w:right="0" w:firstLine="0"/>
        <w:jc w:val="left"/>
        <w:rPr>
          <w:rFonts w:ascii="Calibri"/>
          <w:sz w:val="16"/>
        </w:rPr>
      </w:pPr>
      <w:r>
        <w:pict>
          <v:group id="_x0000_s1360" style="width:213.95pt;height:110pt;margin-top:4.49pt;margin-left:331.02pt;mso-position-horizontal-relative:page;position:absolute;z-index:251726848" coordorigin="6620,90" coordsize="4279,2200">
            <v:shape id="_x0000_s1361" style="width:4222;height:535;left:6670;position:absolute;top:1166" coordorigin="6671,1167" coordsize="4222,535" path="m10542,1702l10892,1702m8431,1702l9485,1702m6671,1702l7024,1702m6671,1167l7024,1167e" filled="f" stroked="t" strokecolor="#d8d8d8" strokeweight="0.72pt">
              <v:stroke dashstyle="solid"/>
              <v:path arrowok="t"/>
            </v:shape>
            <v:rect id="_x0000_s1362" style="width:351;height:1142;left:7023;position:absolute;top:1094" filled="t" fillcolor="#bcdadf" stroked="f">
              <v:fill type="solid"/>
            </v:rect>
            <v:shape id="_x0000_s1363" style="width:4222;height:2;left:6670;position:absolute;top:631" coordorigin="6671,632" coordsize="4222,0" path="m7727,632l10892,632m6671,632l7374,632e" filled="f" stroked="t" strokecolor="#d8d8d8" strokeweight="0.72pt">
              <v:stroke dashstyle="solid"/>
              <v:path arrowok="t"/>
            </v:shape>
            <v:rect id="_x0000_s1364" style="width:353;height:1759;left:7374;position:absolute;top:478" filled="t" fillcolor="#59a1ae" stroked="f">
              <v:fill type="solid"/>
            </v:rect>
            <v:shape id="_x0000_s1365" style="width:2462;height:2;left:8430;position:absolute;top:1166" coordorigin="8431,1167" coordsize="2462,0" path="m9838,1167l10892,1167m8431,1167l9485,1167e" filled="f" stroked="t" strokecolor="#d8d8d8" strokeweight="0.72pt">
              <v:stroke dashstyle="solid"/>
              <v:path arrowok="t"/>
            </v:shape>
            <v:rect id="_x0000_s1366" style="width:351;height:334;left:9134;position:absolute;top:1903" filled="t" fillcolor="#bcdadf" stroked="f">
              <v:fill type="solid"/>
            </v:rect>
            <v:rect id="_x0000_s1367" style="width:353;height:1219;left:9485;position:absolute;top:1018" filled="t" fillcolor="#59a1ae" stroked="f">
              <v:fill type="solid"/>
            </v:rect>
            <v:shape id="_x0000_s1368" style="width:2462;height:1092;left:7727;position:absolute;top:1145" coordorigin="7727,1145" coordsize="2462,1092" path="m8078,1145l7727,1145,7727,2237,8078,2237,8078,1145m10189,1363l9838,1363,9838,2237,10189,2237,10189,1363e" filled="t" fillcolor="#417b85" stroked="f">
              <v:fill type="solid"/>
              <v:path arrowok="t"/>
            </v:shape>
            <v:shape id="_x0000_s1369" style="width:2464;height:1468;left:8077;position:absolute;top:768" coordorigin="8078,769" coordsize="2464,1468" path="m8431,769l8078,769,8078,2237,8431,2237,8431,769m10542,1673l10189,1673,10189,2237,10542,2237,10542,1673e" filled="t" fillcolor="#c3bcc6" stroked="f">
              <v:fill type="solid"/>
              <v:path arrowok="t"/>
            </v:shape>
            <v:line id="_x0000_s1370" style="position:absolute" from="6671,97" to="10892,97" stroked="t" strokecolor="#d8d8d8" strokeweight="0.72pt">
              <v:stroke dashstyle="solid"/>
            </v:line>
            <v:line id="_x0000_s1371" style="position:absolute" from="6671,2236" to="6671,97" stroked="t" strokecolor="#a5a5a5" strokeweight="0.72pt">
              <v:stroke dashstyle="solid"/>
            </v:line>
            <v:shape id="_x0000_s1372" style="width:213414;height:9065040;position:absolute;top:-9058985" coordorigin="0,-9058985" coordsize="213414,9065040" path="m6620,2236l6671,2236m6620,1701l6671,1701m6620,1167l6671,1167m6620,632l6671,632m6620,97l6671,97e" filled="f" stroked="t" strokecolor="#a5a5a5" strokeweight="0.72pt">
              <v:stroke dashstyle="solid"/>
              <v:path arrowok="t"/>
            </v:shape>
            <v:shape id="_x0000_s1373" style="width:17865840;height:223578;position:absolute;top:-217523" coordorigin="0,-217522" coordsize="17865840,223578" path="m6671,2236l10892,2236m6671,2236l6671,2289m8781,2236l8781,2289m10892,2236l10892,2289e" filled="f" stroked="t" strokecolor="#a5a5a5" strokeweight="0.72pt">
              <v:stroke dashstyle="solid"/>
              <v:path arrowok="t"/>
            </v:shape>
          </v:group>
        </w:pict>
      </w:r>
      <w:r>
        <w:pict>
          <v:rect id="_x0000_s1374" style="width:4.32pt;height:4.32pt;margin-top:-5.82pt;margin-left:335.58pt;mso-position-horizontal-relative:page;position:absolute;z-index:251727872" filled="t" fillcolor="#bcdadf" stroked="f">
            <v:fill type="solid"/>
          </v:rect>
        </w:pict>
      </w:r>
      <w:r>
        <w:pict>
          <v:rect id="_x0000_s1375" style="width:4.32pt;height:4.32pt;margin-top:-5.82pt;margin-left:392.61pt;mso-position-horizontal-relative:page;position:absolute;z-index:-251593728" filled="t" fillcolor="#59a1ae" stroked="f">
            <v:fill type="solid"/>
          </v:rect>
        </w:pict>
      </w:r>
      <w:r>
        <w:pict>
          <v:rect id="_x0000_s1376" style="width:4.32pt;height:4.32pt;margin-top:-5.82pt;margin-left:441.59pt;mso-position-horizontal-relative:page;position:absolute;z-index:-251592704" filled="t" fillcolor="#417b85" stroked="f">
            <v:fill type="solid"/>
          </v:rect>
        </w:pict>
      </w:r>
      <w:r>
        <w:pict>
          <v:rect id="_x0000_s1377" style="width:4.32pt;height:4.32pt;margin-top:-5.82pt;margin-left:498.62pt;mso-position-horizontal-relative:page;position:absolute;z-index:-251591680" filled="t" fillcolor="#c3bcc6" stroked="f">
            <v:fill type="solid"/>
          </v:rect>
        </w:pict>
      </w:r>
      <w:r>
        <w:rPr>
          <w:rFonts w:ascii="Calibri"/>
          <w:color w:val="595959"/>
          <w:sz w:val="16"/>
        </w:rPr>
        <w:t>20</w:t>
      </w:r>
    </w:p>
    <w:p>
      <w:pPr>
        <w:pStyle w:val="BodyText"/>
        <w:rPr>
          <w:rFonts w:ascii="Calibri"/>
          <w:sz w:val="16"/>
        </w:rPr>
      </w:pPr>
    </w:p>
    <w:p>
      <w:pPr>
        <w:pStyle w:val="BodyText"/>
        <w:spacing w:before="10"/>
        <w:rPr>
          <w:rFonts w:ascii="Calibri"/>
          <w:sz w:val="11"/>
        </w:rPr>
      </w:pPr>
    </w:p>
    <w:p>
      <w:pPr>
        <w:spacing w:before="0"/>
        <w:ind w:left="668" w:right="0" w:firstLine="0"/>
        <w:jc w:val="left"/>
        <w:rPr>
          <w:rFonts w:ascii="Calibri"/>
          <w:sz w:val="16"/>
        </w:rPr>
      </w:pPr>
      <w:r>
        <w:rPr>
          <w:rFonts w:ascii="Calibri"/>
          <w:color w:val="595959"/>
          <w:sz w:val="16"/>
        </w:rPr>
        <w:t>15</w:t>
      </w:r>
    </w:p>
    <w:p>
      <w:pPr>
        <w:pStyle w:val="BodyText"/>
        <w:rPr>
          <w:rFonts w:ascii="Calibri"/>
          <w:sz w:val="16"/>
        </w:rPr>
      </w:pPr>
    </w:p>
    <w:p>
      <w:pPr>
        <w:pStyle w:val="BodyText"/>
        <w:spacing w:before="10"/>
        <w:rPr>
          <w:rFonts w:ascii="Calibri"/>
          <w:sz w:val="11"/>
        </w:rPr>
      </w:pPr>
    </w:p>
    <w:p>
      <w:pPr>
        <w:spacing w:before="1"/>
        <w:ind w:left="668" w:right="0" w:firstLine="0"/>
        <w:jc w:val="left"/>
        <w:rPr>
          <w:rFonts w:ascii="Calibri"/>
          <w:sz w:val="16"/>
        </w:rPr>
      </w:pPr>
      <w:r>
        <w:rPr>
          <w:rFonts w:ascii="Calibri"/>
          <w:color w:val="595959"/>
          <w:sz w:val="16"/>
        </w:rPr>
        <w:t>10</w:t>
      </w:r>
    </w:p>
    <w:p>
      <w:pPr>
        <w:pStyle w:val="BodyText"/>
        <w:rPr>
          <w:rFonts w:ascii="Calibri"/>
          <w:sz w:val="16"/>
        </w:rPr>
      </w:pPr>
    </w:p>
    <w:p>
      <w:pPr>
        <w:pStyle w:val="BodyText"/>
        <w:spacing w:before="9"/>
        <w:rPr>
          <w:rFonts w:ascii="Calibri"/>
          <w:sz w:val="11"/>
        </w:rPr>
      </w:pPr>
    </w:p>
    <w:p>
      <w:pPr>
        <w:spacing w:before="1"/>
        <w:ind w:left="749" w:right="0" w:firstLine="0"/>
        <w:jc w:val="left"/>
        <w:rPr>
          <w:rFonts w:ascii="Calibri"/>
          <w:sz w:val="16"/>
        </w:rPr>
      </w:pPr>
      <w:r>
        <w:rPr>
          <w:rFonts w:ascii="Calibri"/>
          <w:color w:val="595959"/>
          <w:w w:val="100"/>
          <w:sz w:val="16"/>
        </w:rPr>
        <w:t>5</w:t>
      </w:r>
    </w:p>
    <w:p>
      <w:pPr>
        <w:pStyle w:val="BodyText"/>
        <w:rPr>
          <w:rFonts w:ascii="Calibri"/>
          <w:sz w:val="16"/>
        </w:rPr>
      </w:pPr>
    </w:p>
    <w:p>
      <w:pPr>
        <w:pStyle w:val="BodyText"/>
        <w:spacing w:before="10"/>
        <w:rPr>
          <w:rFonts w:ascii="Calibri"/>
          <w:sz w:val="11"/>
        </w:rPr>
      </w:pPr>
    </w:p>
    <w:p>
      <w:pPr>
        <w:spacing w:before="0"/>
        <w:ind w:left="749" w:right="0" w:firstLine="0"/>
        <w:jc w:val="left"/>
        <w:rPr>
          <w:rFonts w:ascii="Calibri"/>
          <w:sz w:val="16"/>
        </w:rPr>
      </w:pPr>
      <w:r>
        <w:rPr>
          <w:rFonts w:ascii="Calibri"/>
          <w:color w:val="595959"/>
          <w:w w:val="100"/>
          <w:sz w:val="16"/>
        </w:rPr>
        <w:t>0</w:t>
      </w:r>
    </w:p>
    <w:p>
      <w:pPr>
        <w:tabs>
          <w:tab w:val="left" w:pos="2100"/>
        </w:tabs>
        <w:spacing w:before="12"/>
        <w:ind w:left="0" w:right="357" w:firstLine="0"/>
        <w:jc w:val="center"/>
        <w:rPr>
          <w:rFonts w:ascii="Calibri"/>
          <w:sz w:val="16"/>
        </w:rPr>
      </w:pPr>
      <w:r>
        <w:rPr>
          <w:rFonts w:ascii="Calibri"/>
          <w:color w:val="595959"/>
          <w:sz w:val="16"/>
        </w:rPr>
        <w:t>2022</w:t>
        <w:tab/>
        <w:t>1H23</w:t>
      </w:r>
    </w:p>
    <w:p>
      <w:pPr>
        <w:spacing w:after="0"/>
        <w:jc w:val="center"/>
        <w:rPr>
          <w:rFonts w:ascii="Calibri"/>
          <w:sz w:val="16"/>
        </w:rPr>
        <w:sectPr>
          <w:headerReference w:type="default" r:id="rId80"/>
          <w:footerReference w:type="default" r:id="rId81"/>
          <w:type w:val="continuous"/>
          <w:pgSz w:w="12240" w:h="15840"/>
          <w:pgMar w:top="1500" w:right="0" w:bottom="280" w:left="0" w:header="708" w:footer="708"/>
          <w:pgNumType w:start="30"/>
          <w:cols w:num="3" w:space="708" w:equalWidth="0">
            <w:col w:w="1425" w:space="40"/>
            <w:col w:w="4189" w:space="39"/>
            <w:col w:w="6547" w:space="0"/>
          </w:cols>
        </w:sectPr>
      </w:pPr>
    </w:p>
    <w:p>
      <w:pPr>
        <w:pStyle w:val="BodyText"/>
        <w:spacing w:before="3"/>
        <w:rPr>
          <w:rFonts w:ascii="Calibri"/>
          <w:sz w:val="3"/>
        </w:rPr>
      </w:pPr>
    </w:p>
    <w:p>
      <w:pPr>
        <w:tabs>
          <w:tab w:val="left" w:pos="6317"/>
        </w:tabs>
        <w:spacing w:line="20" w:lineRule="exact"/>
        <w:ind w:left="1143" w:right="0" w:firstLine="0"/>
        <w:rPr>
          <w:rFonts w:ascii="Calibri"/>
          <w:sz w:val="2"/>
        </w:rPr>
      </w:pPr>
      <w:r>
        <w:rPr>
          <w:rFonts w:ascii="Calibri"/>
          <w:sz w:val="2"/>
        </w:rPr>
        <w:pict>
          <v:group id="_x0000_i1378" style="width:236.9pt;height:0.75pt;mso-position-horizontal-relative:char;mso-position-vertical-relative:line" coordorigin="0,0" coordsize="4738,15">
            <v:line id="_x0000_s1379" style="position:absolute" from="0,8" to="4738,8" stroked="t" strokecolor="black" strokeweight="0.75pt">
              <v:stroke dashstyle="solid"/>
            </v:line>
            <w10:wrap type="none"/>
          </v:group>
        </w:pict>
      </w:r>
      <w:r>
        <w:rPr>
          <w:rFonts w:ascii="Calibri"/>
          <w:sz w:val="2"/>
        </w:rPr>
        <w:tab/>
      </w:r>
      <w:r>
        <w:rPr>
          <w:rFonts w:ascii="Calibri"/>
          <w:sz w:val="2"/>
        </w:rPr>
        <w:pict>
          <v:group id="_x0000_i1380" style="width:238.55pt;height:0.75pt;mso-position-horizontal-relative:char;mso-position-vertical-relative:line" coordorigin="0,0" coordsize="4771,15">
            <v:line id="_x0000_s1381" style="position:absolute" from="0,8" to="4771,8" stroked="t" strokecolor="black" strokeweight="0.75pt">
              <v:stroke dashstyle="solid"/>
            </v:line>
            <w10:wrap type="none"/>
          </v:group>
        </w:pict>
      </w:r>
    </w:p>
    <w:p>
      <w:pPr>
        <w:tabs>
          <w:tab w:val="left" w:pos="6324"/>
        </w:tabs>
        <w:spacing w:before="0"/>
        <w:ind w:left="1150" w:right="0" w:firstLine="0"/>
        <w:jc w:val="left"/>
        <w:rPr>
          <w:sz w:val="15"/>
        </w:rPr>
      </w:pPr>
      <w:r>
        <w:t xml:space="preserve">资料来源: 各公司资料， </w:t>
        <w:tab/>
        <w:t xml:space="preserve">资料来源: 各公司资料， </w:t>
      </w:r>
    </w:p>
    <w:p>
      <w:pPr>
        <w:spacing w:after="0"/>
        <w:jc w:val="left"/>
        <w:rPr>
          <w:sz w:val="15"/>
        </w:rPr>
        <w:sectPr>
          <w:headerReference w:type="default" r:id="rId82"/>
          <w:footerReference w:type="default" r:id="rId83"/>
          <w:type w:val="continuous"/>
          <w:pgSz w:w="12240" w:h="15840"/>
          <w:pgMar w:top="1500" w:right="0" w:bottom="280" w:left="0" w:header="708" w:footer="708"/>
          <w:pgNumType w:start="31"/>
          <w:cols w:space="708"/>
        </w:sectPr>
      </w:pPr>
    </w:p>
    <w:p>
      <w:pPr>
        <w:pStyle w:val="BodyText"/>
        <w:rPr>
          <w:sz w:val="20"/>
        </w:rPr>
      </w:pPr>
    </w:p>
    <w:p>
      <w:pPr>
        <w:pStyle w:val="BodyText"/>
        <w:spacing w:before="10"/>
        <w:rPr>
          <w:sz w:val="22"/>
        </w:rPr>
      </w:pPr>
    </w:p>
    <w:p>
      <w:pPr>
        <w:pStyle w:val="Heading1"/>
        <w:spacing w:before="54" w:line="170" w:lineRule="auto"/>
        <w:ind w:right="3910"/>
      </w:pPr>
      <w:bookmarkStart w:id="8" w:name="_TOC_250010"/>
      <w:r>
        <w:rPr>
          <w:color w:val="59A1AE"/>
        </w:rPr>
        <w:t>欧洲库存高企导致出口短期下滑但拐点已现，</w:t>
      </w:r>
      <w:r>
        <w:rPr>
          <w:rFonts w:ascii="Calibri" w:eastAsia="Calibri"/>
          <w:color w:val="59A1AE"/>
        </w:rPr>
        <w:t xml:space="preserve">2024 </w:t>
      </w:r>
      <w:bookmarkEnd w:id="8"/>
      <w:r>
        <w:rPr>
          <w:color w:val="59A1AE"/>
        </w:rPr>
        <w:t>年将重回增长</w:t>
      </w:r>
    </w:p>
    <w:p>
      <w:pPr>
        <w:pStyle w:val="BodyText"/>
        <w:spacing w:before="134" w:line="232" w:lineRule="auto"/>
        <w:ind w:left="1151" w:right="3913"/>
        <w:jc w:val="both"/>
      </w:pPr>
      <w:r>
        <w:rPr>
          <w:color w:val="262626"/>
        </w:rPr>
        <w:t>海外市场占全球光伏新增装机约一半，且户储、微型逆变器等高利润产品的市场基本均在海外，相同产品的价格也明显高于內地，因此是逆变器厂商的主要利润来源。</w:t>
      </w:r>
    </w:p>
    <w:p>
      <w:pPr>
        <w:pStyle w:val="BodyText"/>
        <w:spacing w:before="177" w:line="232" w:lineRule="auto"/>
        <w:ind w:left="1151" w:right="3910"/>
        <w:jc w:val="both"/>
      </w:pPr>
      <w:r>
        <w:rPr>
          <w:color w:val="262626"/>
        </w:rPr>
        <w:t>中国逆变器出口金额</w:t>
      </w:r>
      <w:r>
        <w:rPr>
          <w:rFonts w:ascii="Calibri" w:eastAsia="Calibri"/>
          <w:color w:val="262626"/>
        </w:rPr>
        <w:t>2022</w:t>
      </w:r>
      <w:r>
        <w:rPr>
          <w:color w:val="262626"/>
        </w:rPr>
        <w:t>年大增</w:t>
      </w:r>
      <w:r>
        <w:rPr>
          <w:rFonts w:ascii="Calibri" w:eastAsia="Calibri"/>
          <w:color w:val="262626"/>
        </w:rPr>
        <w:t>75%</w:t>
      </w:r>
      <w:r>
        <w:rPr>
          <w:color w:val="262626"/>
        </w:rPr>
        <w:t>至</w:t>
      </w:r>
      <w:r>
        <w:rPr>
          <w:rFonts w:ascii="Calibri" w:eastAsia="Calibri"/>
          <w:color w:val="262626"/>
        </w:rPr>
        <w:t>89.5</w:t>
      </w:r>
      <w:r>
        <w:rPr>
          <w:color w:val="262626"/>
        </w:rPr>
        <w:t>亿美元，</w:t>
      </w:r>
      <w:r>
        <w:rPr>
          <w:rFonts w:ascii="Calibri" w:eastAsia="Calibri"/>
          <w:color w:val="262626"/>
        </w:rPr>
        <w:t>2023</w:t>
      </w:r>
      <w:r>
        <w:rPr>
          <w:color w:val="262626"/>
        </w:rPr>
        <w:t>年上半年大增</w:t>
      </w:r>
      <w:r>
        <w:rPr>
          <w:rFonts w:ascii="Calibri" w:eastAsia="Calibri"/>
          <w:color w:val="262626"/>
        </w:rPr>
        <w:t>95%</w:t>
      </w:r>
      <w:r>
        <w:rPr>
          <w:color w:val="262626"/>
        </w:rPr>
        <w:t>至</w:t>
      </w:r>
      <w:r>
        <w:rPr>
          <w:rFonts w:ascii="Calibri" w:eastAsia="Calibri"/>
          <w:color w:val="262626"/>
        </w:rPr>
        <w:t>61.6</w:t>
      </w:r>
      <w:r>
        <w:rPr>
          <w:color w:val="262626"/>
        </w:rPr>
        <w:t>亿美元，除因海外光伏及储能装机快速增长外，因地缘政治原因欧洲恐慌式进口逆变器尤其是户储逆变器远超实际装机需求也是重要原因。</w:t>
      </w:r>
    </w:p>
    <w:p>
      <w:pPr>
        <w:pStyle w:val="BodyText"/>
        <w:spacing w:before="171" w:line="265" w:lineRule="exact"/>
        <w:ind w:left="1151"/>
      </w:pPr>
      <w:r>
        <w:rPr>
          <w:color w:val="262626"/>
          <w:spacing w:val="14"/>
        </w:rPr>
        <w:t>根据</w:t>
      </w:r>
      <w:r>
        <w:rPr>
          <w:rFonts w:ascii="Calibri" w:eastAsia="Calibri"/>
          <w:color w:val="262626"/>
          <w:spacing w:val="3"/>
        </w:rPr>
        <w:t>EESA</w:t>
      </w:r>
      <w:r>
        <w:rPr>
          <w:color w:val="262626"/>
          <w:spacing w:val="10"/>
        </w:rPr>
        <w:t>统计，</w:t>
      </w:r>
      <w:r>
        <w:rPr>
          <w:rFonts w:ascii="Calibri" w:eastAsia="Calibri"/>
          <w:color w:val="262626"/>
          <w:spacing w:val="5"/>
        </w:rPr>
        <w:t>2022</w:t>
      </w:r>
      <w:r>
        <w:rPr>
          <w:color w:val="262626"/>
          <w:spacing w:val="14"/>
        </w:rPr>
        <w:t>年欧洲户用储能系统实际装机</w:t>
      </w:r>
      <w:r>
        <w:rPr>
          <w:rFonts w:ascii="Calibri" w:eastAsia="Calibri"/>
          <w:color w:val="262626"/>
          <w:spacing w:val="3"/>
        </w:rPr>
        <w:t>4.6GWh</w:t>
      </w:r>
      <w:r>
        <w:rPr>
          <w:color w:val="262626"/>
          <w:spacing w:val="9"/>
        </w:rPr>
        <w:t>，但出货量高达</w:t>
      </w:r>
    </w:p>
    <w:p>
      <w:pPr>
        <w:pStyle w:val="BodyText"/>
        <w:spacing w:line="260" w:lineRule="exact"/>
        <w:ind w:left="1151"/>
      </w:pPr>
      <w:r>
        <w:rPr>
          <w:rFonts w:ascii="Calibri" w:eastAsia="Calibri"/>
          <w:color w:val="262626"/>
        </w:rPr>
        <w:t>9.8GWh</w:t>
      </w:r>
      <w:r>
        <w:rPr>
          <w:color w:val="262626"/>
          <w:spacing w:val="5"/>
        </w:rPr>
        <w:t>，为前者</w:t>
      </w:r>
      <w:r>
        <w:rPr>
          <w:rFonts w:ascii="Calibri" w:eastAsia="Calibri"/>
          <w:color w:val="262626"/>
          <w:spacing w:val="8"/>
        </w:rPr>
        <w:t>2</w:t>
      </w:r>
      <w:r>
        <w:rPr>
          <w:color w:val="262626"/>
          <w:spacing w:val="7"/>
        </w:rPr>
        <w:t>倍以上，导致期末库存增至</w:t>
      </w:r>
      <w:r>
        <w:rPr>
          <w:rFonts w:ascii="Calibri" w:eastAsia="Calibri"/>
          <w:color w:val="262626"/>
        </w:rPr>
        <w:t>5.2GWh</w:t>
      </w:r>
      <w:r>
        <w:rPr>
          <w:color w:val="262626"/>
        </w:rPr>
        <w:t>，</w:t>
      </w:r>
      <w:r>
        <w:rPr>
          <w:rFonts w:ascii="Calibri" w:eastAsia="Calibri"/>
          <w:color w:val="262626"/>
        </w:rPr>
        <w:t>2023</w:t>
      </w:r>
      <w:r>
        <w:rPr>
          <w:color w:val="262626"/>
          <w:spacing w:val="6"/>
        </w:rPr>
        <w:t>上半年实际装机</w:t>
      </w:r>
    </w:p>
    <w:p>
      <w:pPr>
        <w:pStyle w:val="BodyText"/>
        <w:spacing w:line="260" w:lineRule="exact"/>
        <w:ind w:left="1151"/>
      </w:pPr>
      <w:r>
        <w:rPr>
          <w:rFonts w:ascii="Calibri" w:eastAsia="Calibri"/>
          <w:color w:val="262626"/>
        </w:rPr>
        <w:t>5.1GWh</w:t>
      </w:r>
      <w:r>
        <w:rPr>
          <w:color w:val="262626"/>
          <w:spacing w:val="2"/>
        </w:rPr>
        <w:t>，已超</w:t>
      </w:r>
      <w:r>
        <w:rPr>
          <w:rFonts w:ascii="Calibri" w:eastAsia="Calibri"/>
          <w:color w:val="262626"/>
        </w:rPr>
        <w:t>2022</w:t>
      </w:r>
      <w:r>
        <w:rPr>
          <w:color w:val="262626"/>
          <w:spacing w:val="3"/>
        </w:rPr>
        <w:t>年全年，但仍低于</w:t>
      </w:r>
      <w:r>
        <w:rPr>
          <w:rFonts w:ascii="Calibri" w:eastAsia="Calibri"/>
          <w:color w:val="262626"/>
        </w:rPr>
        <w:t>6.3GWh</w:t>
      </w:r>
      <w:r>
        <w:rPr>
          <w:color w:val="262626"/>
          <w:spacing w:val="2"/>
        </w:rPr>
        <w:t>的出货量，期末库存进一步增至</w:t>
      </w:r>
    </w:p>
    <w:p>
      <w:pPr>
        <w:pStyle w:val="BodyText"/>
        <w:spacing w:line="265" w:lineRule="exact"/>
        <w:ind w:left="1151"/>
      </w:pPr>
      <w:r>
        <w:rPr>
          <w:rFonts w:ascii="Calibri" w:eastAsia="Calibri"/>
          <w:color w:val="262626"/>
        </w:rPr>
        <w:t>6.4GWh</w:t>
      </w:r>
      <w:r>
        <w:rPr>
          <w:color w:val="262626"/>
        </w:rPr>
        <w:t>，约为</w:t>
      </w:r>
      <w:r>
        <w:rPr>
          <w:rFonts w:ascii="Calibri" w:eastAsia="Calibri"/>
          <w:color w:val="262626"/>
        </w:rPr>
        <w:t>8</w:t>
      </w:r>
      <w:r>
        <w:rPr>
          <w:color w:val="262626"/>
        </w:rPr>
        <w:t>个月装机量，远超</w:t>
      </w:r>
      <w:r>
        <w:rPr>
          <w:rFonts w:ascii="Calibri" w:eastAsia="Calibri"/>
          <w:color w:val="262626"/>
        </w:rPr>
        <w:t>3-6</w:t>
      </w:r>
      <w:r>
        <w:rPr>
          <w:color w:val="262626"/>
        </w:rPr>
        <w:t>个月的正常水平。</w:t>
      </w:r>
    </w:p>
    <w:p>
      <w:pPr>
        <w:pStyle w:val="BodyText"/>
        <w:spacing w:before="6"/>
        <w:rPr>
          <w:sz w:val="15"/>
        </w:rPr>
      </w:pPr>
    </w:p>
    <w:p>
      <w:pPr>
        <w:pStyle w:val="Heading3"/>
        <w:spacing w:before="1"/>
      </w:pPr>
      <w:r>
        <w:rPr>
          <w:color w:val="262626"/>
        </w:rPr>
        <w:t>图表</w:t>
      </w:r>
      <w:r>
        <w:rPr>
          <w:rFonts w:ascii="Calibri" w:eastAsia="Calibri"/>
        </w:rPr>
        <w:t xml:space="preserve">25: </w:t>
      </w:r>
      <w:r>
        <w:rPr>
          <w:color w:val="262626"/>
        </w:rPr>
        <w:t>欧洲户用储能系统库存状况（</w:t>
      </w:r>
      <w:r>
        <w:rPr>
          <w:rFonts w:ascii="Calibri" w:eastAsia="Calibri"/>
          <w:color w:val="262626"/>
        </w:rPr>
        <w:t>GWh</w:t>
      </w:r>
      <w:r>
        <w:rPr>
          <w:color w:val="262626"/>
        </w:rPr>
        <w:t>）</w:t>
      </w:r>
    </w:p>
    <w:p>
      <w:pPr>
        <w:pStyle w:val="BodyText"/>
        <w:spacing w:line="20" w:lineRule="exact"/>
        <w:ind w:left="1143"/>
        <w:rPr>
          <w:rFonts w:ascii="Microsoft JhengHei"/>
          <w:sz w:val="2"/>
        </w:rPr>
      </w:pPr>
      <w:r>
        <w:rPr>
          <w:rFonts w:ascii="Microsoft JhengHei"/>
          <w:sz w:val="2"/>
        </w:rPr>
        <w:pict>
          <v:group id="_x0000_i1382" style="width:357.2pt;height:0.75pt;mso-position-horizontal-relative:char;mso-position-vertical-relative:line" coordorigin="0,0" coordsize="7144,15">
            <v:line id="_x0000_s1383" style="position:absolute" from="0,8" to="7144,8" stroked="t" strokecolor="black" strokeweight="0.75pt">
              <v:stroke dashstyle="solid"/>
            </v:line>
            <w10:wrap type="none"/>
          </v:group>
        </w:pict>
      </w:r>
    </w:p>
    <w:p>
      <w:pPr>
        <w:tabs>
          <w:tab w:val="left" w:pos="4580"/>
          <w:tab w:val="left" w:pos="5847"/>
        </w:tabs>
        <w:spacing w:before="28"/>
        <w:ind w:left="3152" w:right="0" w:firstLine="0"/>
        <w:jc w:val="left"/>
        <w:rPr>
          <w:sz w:val="16"/>
        </w:rPr>
      </w:pPr>
      <w:r>
        <w:pict>
          <v:rect id="_x0000_s1384" style="width:4.44pt;height:4.44pt;margin-top:5.25pt;margin-left:151.37pt;mso-position-horizontal-relative:page;position:absolute;z-index:251731968" filled="t" fillcolor="#bcdadf" stroked="f">
            <v:fill type="solid"/>
          </v:rect>
        </w:pict>
      </w:r>
      <w:r>
        <w:pict>
          <v:rect id="_x0000_s1385" style="width:4.44pt;height:4.44pt;margin-top:5.25pt;margin-left:222.77pt;mso-position-horizontal-relative:page;position:absolute;z-index:-251587584" filled="t" fillcolor="#59a1ae" stroked="f">
            <v:fill type="solid"/>
          </v:rect>
        </w:pict>
      </w:r>
      <w:r>
        <w:pict>
          <v:rect id="_x0000_s1386" style="width:4.44pt;height:4.44pt;margin-top:5.25pt;margin-left:286.13pt;mso-position-horizontal-relative:page;position:absolute;z-index:-251586560" filled="t" fillcolor="#c3bcc6" stroked="f">
            <v:fill type="solid"/>
          </v:rect>
        </w:pict>
      </w:r>
      <w:r>
        <w:rPr>
          <w:sz w:val="16"/>
        </w:rPr>
        <w:t>实际装机</w:t>
        <w:tab/>
        <w:t>出货量</w:t>
        <w:tab/>
        <w:t>期末库存</w:t>
      </w:r>
    </w:p>
    <w:p>
      <w:pPr>
        <w:spacing w:before="45"/>
        <w:ind w:left="2446" w:right="0" w:firstLine="0"/>
        <w:jc w:val="left"/>
        <w:rPr>
          <w:rFonts w:ascii="Calibri"/>
          <w:sz w:val="16"/>
        </w:rPr>
      </w:pPr>
      <w:r>
        <w:pict>
          <v:group id="_x0000_s1387" style="width:211.95pt;height:108.8pt;margin-top:7.29pt;margin-left:135.29pt;mso-position-horizontal-relative:page;position:absolute;z-index:251730944" coordorigin="2706,146" coordsize="4239,2176">
            <v:shape id="_x0000_s1388" style="width:2564;height:355;left:4373;position:absolute;top:1572" coordorigin="4374,1573" coordsize="2564,355" path="m6462,1928l6937,1928m4374,1928l5322,1928m4374,1573l5322,1573e" filled="f" stroked="t" strokecolor="#d8d8d8" strokeweight="0.72pt">
              <v:stroke dashstyle="solid"/>
              <v:path arrowok="t"/>
            </v:shape>
            <v:rect id="_x0000_s1389" style="width:382;height:905;left:5321;position:absolute;top:1378" filled="t" fillcolor="#bcdadf" stroked="f">
              <v:fill type="solid"/>
            </v:rect>
            <v:shape id="_x0000_s1390" style="width:476;height:355;left:2758;position:absolute;top:1572" coordorigin="2759,1573" coordsize="476,355" path="m2759,1928l3234,1928m2759,1573l3234,1573e" filled="f" stroked="t" strokecolor="#d8d8d8" strokeweight="0.72pt">
              <v:stroke dashstyle="solid"/>
              <v:path arrowok="t"/>
            </v:shape>
            <v:rect id="_x0000_s1391" style="width:380;height:816;left:3233;position:absolute;top:1467" filled="t" fillcolor="#bcdadf" stroked="f">
              <v:fill type="solid"/>
            </v:rect>
            <v:shape id="_x0000_s1392" style="width:4179;height:355;left:2758;position:absolute;top:862" coordorigin="2759,863" coordsize="4179,355" path="m3992,1218l5703,1218m2759,1218l3613,1218m3992,863l6937,863m2759,863l3613,863e" filled="f" stroked="t" strokecolor="#d8d8d8" strokeweight="0.72pt">
              <v:stroke dashstyle="solid"/>
              <v:path arrowok="t"/>
            </v:shape>
            <v:line id="_x0000_s1393" style="position:absolute" from="2759,508" to="6937,508" stroked="t" strokecolor="#d8d8d8" strokeweight="0.72pt">
              <v:stroke dashstyle="solid"/>
            </v:line>
            <v:shape id="_x0000_s1394" style="width:2470;height:1739;left:3613;position:absolute;top:543" coordorigin="3613,544" coordsize="2470,1739" path="m3992,544l3613,544,3613,2283,3992,2283,3992,544m6083,1165l5703,1165,5703,2283,6083,2283,6083,1165e" filled="t" fillcolor="#59a1ae" stroked="f">
              <v:fill type="solid"/>
              <v:path arrowok="t"/>
            </v:shape>
            <v:rect id="_x0000_s1395" style="width:382;height:924;left:3992;position:absolute;top:1359" filled="t" fillcolor="#c3bcc6" stroked="f">
              <v:fill type="solid"/>
            </v:rect>
            <v:shape id="_x0000_s1396" style="width:476;height:355;left:6461;position:absolute;top:1217" coordorigin="6462,1218" coordsize="476,355" path="m6462,1573l6937,1573m6462,1218l6937,1218e" filled="f" stroked="t" strokecolor="#d8d8d8" strokeweight="0.72pt">
              <v:stroke dashstyle="solid"/>
              <v:path arrowok="t"/>
            </v:shape>
            <v:rect id="_x0000_s1397" style="width:380;height:1135;left:6082;position:absolute;top:1148" filled="t" fillcolor="#c3bcc6" stroked="f">
              <v:fill type="solid"/>
            </v:rect>
            <v:line id="_x0000_s1398" style="position:absolute" from="2759,153" to="6937,153" stroked="t" strokecolor="#d8d8d8" strokeweight="0.72pt">
              <v:stroke dashstyle="solid"/>
            </v:line>
            <v:line id="_x0000_s1399" style="position:absolute" from="2759,2283" to="2759,153" stroked="t" strokecolor="#7e7e7e" strokeweight="0.72pt">
              <v:stroke dashstyle="solid"/>
            </v:line>
            <v:shape id="_x0000_s1400" style="width:223010;height:9001520;position:absolute;top:-8992797" coordorigin="0,-8992797" coordsize="223010,9001520" path="m2706,2283l2759,2283m2706,1928l2759,1928m2706,1573l2759,1573m2706,1218l2759,1218m2706,863l2759,863m2706,508l2759,508m2706,153l2759,153e" filled="f" stroked="t" strokecolor="#7e7e7e" strokeweight="0.72pt">
              <v:stroke dashstyle="solid"/>
              <v:path arrowok="t"/>
            </v:shape>
            <v:shape id="_x0000_s1401" style="width:17648240;height:162190;position:absolute;top:-153467" coordorigin="0,-153466" coordsize="17648240,162190" path="m2759,2283l6937,2283m2759,2283l2759,2321m4847,2283l4847,2321m6937,2283l6937,2321e" filled="f" stroked="t" strokecolor="#7e7e7e" strokeweight="0.72pt">
              <v:stroke dashstyle="solid"/>
              <v:path arrowok="t"/>
            </v:shape>
          </v:group>
        </w:pict>
      </w:r>
      <w:r>
        <w:rPr>
          <w:rFonts w:ascii="Calibri"/>
          <w:sz w:val="16"/>
        </w:rPr>
        <w:t>12</w:t>
      </w:r>
    </w:p>
    <w:p>
      <w:pPr>
        <w:pStyle w:val="BodyText"/>
        <w:spacing w:before="1"/>
        <w:rPr>
          <w:rFonts w:ascii="Calibri"/>
          <w:sz w:val="13"/>
        </w:rPr>
      </w:pPr>
    </w:p>
    <w:p>
      <w:pPr>
        <w:spacing w:before="0"/>
        <w:ind w:left="2446" w:right="0" w:firstLine="0"/>
        <w:jc w:val="left"/>
        <w:rPr>
          <w:rFonts w:ascii="Calibri"/>
          <w:sz w:val="16"/>
        </w:rPr>
      </w:pPr>
      <w:r>
        <w:rPr>
          <w:rFonts w:ascii="Calibri"/>
          <w:sz w:val="16"/>
        </w:rPr>
        <w:t>10</w:t>
      </w:r>
    </w:p>
    <w:p>
      <w:pPr>
        <w:pStyle w:val="BodyText"/>
        <w:spacing w:before="1"/>
        <w:rPr>
          <w:rFonts w:ascii="Calibri"/>
          <w:sz w:val="13"/>
        </w:rPr>
      </w:pPr>
    </w:p>
    <w:p>
      <w:pPr>
        <w:spacing w:before="0"/>
        <w:ind w:left="2528" w:right="0" w:firstLine="0"/>
        <w:jc w:val="left"/>
        <w:rPr>
          <w:rFonts w:ascii="Calibri"/>
          <w:sz w:val="16"/>
        </w:rPr>
      </w:pPr>
      <w:r>
        <w:rPr>
          <w:rFonts w:ascii="Calibri"/>
          <w:w w:val="100"/>
          <w:sz w:val="16"/>
        </w:rPr>
        <w:t>8</w:t>
      </w:r>
    </w:p>
    <w:p>
      <w:pPr>
        <w:pStyle w:val="BodyText"/>
        <w:spacing w:before="1"/>
        <w:rPr>
          <w:rFonts w:ascii="Calibri"/>
          <w:sz w:val="13"/>
        </w:rPr>
      </w:pPr>
    </w:p>
    <w:p>
      <w:pPr>
        <w:spacing w:before="1"/>
        <w:ind w:left="2528" w:right="0" w:firstLine="0"/>
        <w:jc w:val="left"/>
        <w:rPr>
          <w:rFonts w:ascii="Calibri"/>
          <w:sz w:val="16"/>
        </w:rPr>
      </w:pPr>
      <w:r>
        <w:rPr>
          <w:rFonts w:ascii="Calibri"/>
          <w:w w:val="100"/>
          <w:sz w:val="16"/>
        </w:rPr>
        <w:t>6</w:t>
      </w:r>
    </w:p>
    <w:p>
      <w:pPr>
        <w:pStyle w:val="BodyText"/>
        <w:spacing w:before="1"/>
        <w:rPr>
          <w:rFonts w:ascii="Calibri"/>
          <w:sz w:val="13"/>
        </w:rPr>
      </w:pPr>
    </w:p>
    <w:p>
      <w:pPr>
        <w:spacing w:before="0"/>
        <w:ind w:left="2528" w:right="0" w:firstLine="0"/>
        <w:jc w:val="left"/>
        <w:rPr>
          <w:rFonts w:ascii="Calibri"/>
          <w:sz w:val="16"/>
        </w:rPr>
      </w:pPr>
      <w:r>
        <w:rPr>
          <w:rFonts w:ascii="Calibri"/>
          <w:w w:val="100"/>
          <w:sz w:val="16"/>
        </w:rPr>
        <w:t>4</w:t>
      </w:r>
    </w:p>
    <w:p>
      <w:pPr>
        <w:pStyle w:val="BodyText"/>
        <w:spacing w:before="1"/>
        <w:rPr>
          <w:rFonts w:ascii="Calibri"/>
          <w:sz w:val="13"/>
        </w:rPr>
      </w:pPr>
    </w:p>
    <w:p>
      <w:pPr>
        <w:spacing w:before="0"/>
        <w:ind w:left="2528" w:right="0" w:firstLine="0"/>
        <w:jc w:val="left"/>
        <w:rPr>
          <w:rFonts w:ascii="Calibri"/>
          <w:sz w:val="16"/>
        </w:rPr>
      </w:pPr>
      <w:r>
        <w:rPr>
          <w:rFonts w:ascii="Calibri"/>
          <w:w w:val="100"/>
          <w:sz w:val="16"/>
        </w:rPr>
        <w:t>2</w:t>
      </w:r>
    </w:p>
    <w:p>
      <w:pPr>
        <w:spacing w:after="0"/>
        <w:jc w:val="left"/>
        <w:rPr>
          <w:rFonts w:ascii="Calibri"/>
          <w:sz w:val="16"/>
        </w:rPr>
        <w:sectPr>
          <w:headerReference w:type="default" r:id="rId84"/>
          <w:footerReference w:type="default" r:id="rId85"/>
          <w:pgSz w:w="12240" w:h="15840"/>
          <w:pgMar w:top="1720" w:right="0" w:bottom="1380" w:left="0" w:header="708" w:footer="708"/>
          <w:pgNumType w:start="32"/>
          <w:cols w:space="708"/>
        </w:sectPr>
      </w:pPr>
    </w:p>
    <w:p>
      <w:pPr>
        <w:pStyle w:val="BodyText"/>
        <w:spacing w:before="1"/>
        <w:rPr>
          <w:rFonts w:ascii="Calibri"/>
          <w:sz w:val="13"/>
        </w:rPr>
      </w:pPr>
    </w:p>
    <w:p>
      <w:pPr>
        <w:spacing w:before="0"/>
        <w:ind w:left="0" w:right="220" w:firstLine="0"/>
        <w:jc w:val="right"/>
        <w:rPr>
          <w:rFonts w:ascii="Calibri"/>
          <w:sz w:val="16"/>
        </w:rPr>
      </w:pPr>
      <w:r>
        <w:rPr>
          <w:rFonts w:ascii="Calibri"/>
          <w:w w:val="100"/>
          <w:sz w:val="16"/>
        </w:rPr>
        <w:t>0</w:t>
      </w:r>
    </w:p>
    <w:p>
      <w:pPr>
        <w:pStyle w:val="BodyText"/>
        <w:spacing w:before="1"/>
        <w:rPr>
          <w:rFonts w:ascii="Calibri"/>
          <w:sz w:val="20"/>
        </w:rPr>
      </w:pPr>
    </w:p>
    <w:p>
      <w:pPr>
        <w:spacing w:before="0"/>
        <w:ind w:left="1150" w:right="0" w:firstLine="0"/>
        <w:jc w:val="left"/>
        <w:rPr>
          <w:sz w:val="15"/>
        </w:rPr>
      </w:pPr>
      <w:r>
        <w:t xml:space="preserve">资料来源：EESA， </w:t>
      </w:r>
    </w:p>
    <w:p>
      <w:pPr>
        <w:pStyle w:val="BodyText"/>
        <w:rPr>
          <w:sz w:val="12"/>
        </w:rPr>
      </w:pPr>
      <w:r>
        <w:br w:type="column"/>
      </w:r>
    </w:p>
    <w:p>
      <w:pPr>
        <w:pStyle w:val="BodyText"/>
        <w:spacing w:before="11"/>
        <w:rPr>
          <w:sz w:val="14"/>
        </w:rPr>
      </w:pPr>
    </w:p>
    <w:p>
      <w:pPr>
        <w:tabs>
          <w:tab w:val="left" w:pos="2892"/>
        </w:tabs>
        <w:spacing w:before="0"/>
        <w:ind w:left="809" w:right="0" w:firstLine="0"/>
        <w:jc w:val="left"/>
        <w:rPr>
          <w:rFonts w:ascii="Calibri"/>
          <w:sz w:val="12"/>
        </w:rPr>
      </w:pPr>
      <w:r>
        <w:rPr>
          <w:rFonts w:ascii="Calibri"/>
          <w:sz w:val="12"/>
        </w:rPr>
        <w:t>2022</w:t>
        <w:tab/>
        <w:t>1H23</w:t>
      </w:r>
    </w:p>
    <w:p>
      <w:pPr>
        <w:spacing w:after="0"/>
        <w:jc w:val="left"/>
        <w:rPr>
          <w:rFonts w:ascii="Calibri"/>
          <w:sz w:val="12"/>
        </w:rPr>
        <w:sectPr>
          <w:headerReference w:type="default" r:id="rId86"/>
          <w:footerReference w:type="default" r:id="rId87"/>
          <w:type w:val="continuous"/>
          <w:pgSz w:w="12240" w:h="15840"/>
          <w:pgMar w:top="1500" w:right="0" w:bottom="280" w:left="0" w:header="708" w:footer="708"/>
          <w:pgNumType w:start="33"/>
          <w:cols w:num="2" w:space="708" w:equalWidth="0">
            <w:col w:w="2833" w:space="40"/>
            <w:col w:w="9367" w:space="0"/>
          </w:cols>
        </w:sectPr>
      </w:pPr>
    </w:p>
    <w:p>
      <w:pPr>
        <w:pStyle w:val="BodyText"/>
        <w:spacing w:before="2"/>
        <w:rPr>
          <w:rFonts w:ascii="Calibri"/>
          <w:sz w:val="14"/>
        </w:rPr>
      </w:pPr>
    </w:p>
    <w:p>
      <w:pPr>
        <w:pStyle w:val="BodyText"/>
        <w:spacing w:before="65" w:line="232" w:lineRule="auto"/>
        <w:ind w:left="1151" w:right="3910"/>
        <w:jc w:val="both"/>
      </w:pPr>
      <w:r>
        <w:rPr>
          <w:color w:val="262626"/>
        </w:rPr>
        <w:t>在高库存压力下，，从</w:t>
      </w:r>
      <w:r>
        <w:rPr>
          <w:rFonts w:ascii="Calibri" w:eastAsia="Calibri"/>
          <w:color w:val="262626"/>
        </w:rPr>
        <w:t>2023</w:t>
      </w:r>
      <w:r>
        <w:rPr>
          <w:color w:val="262626"/>
        </w:rPr>
        <w:t>年</w:t>
      </w:r>
      <w:r>
        <w:rPr>
          <w:rFonts w:ascii="Calibri" w:eastAsia="Calibri"/>
          <w:color w:val="262626"/>
        </w:rPr>
        <w:t>4</w:t>
      </w:r>
      <w:r>
        <w:rPr>
          <w:color w:val="262626"/>
        </w:rPr>
        <w:t>月开始月出口金额环比持续下降，由顶峰</w:t>
      </w:r>
      <w:r>
        <w:rPr>
          <w:rFonts w:ascii="Calibri" w:eastAsia="Calibri"/>
          <w:color w:val="262626"/>
        </w:rPr>
        <w:t>3</w:t>
      </w:r>
      <w:r>
        <w:rPr>
          <w:color w:val="262626"/>
        </w:rPr>
        <w:t>月的</w:t>
      </w:r>
      <w:r>
        <w:rPr>
          <w:rFonts w:ascii="Calibri" w:eastAsia="Calibri"/>
          <w:color w:val="262626"/>
        </w:rPr>
        <w:t>11.7</w:t>
      </w:r>
      <w:r>
        <w:rPr>
          <w:color w:val="262626"/>
          <w:spacing w:val="-2"/>
        </w:rPr>
        <w:t>亿美元下降</w:t>
      </w:r>
      <w:r>
        <w:rPr>
          <w:rFonts w:ascii="Calibri" w:eastAsia="Calibri"/>
          <w:color w:val="262626"/>
        </w:rPr>
        <w:t>53%</w:t>
      </w:r>
      <w:r>
        <w:rPr>
          <w:color w:val="262626"/>
          <w:spacing w:val="-2"/>
        </w:rPr>
        <w:t>至最低点</w:t>
      </w:r>
      <w:r>
        <w:rPr>
          <w:rFonts w:ascii="Calibri" w:eastAsia="Calibri"/>
          <w:color w:val="262626"/>
        </w:rPr>
        <w:t>10</w:t>
      </w:r>
      <w:r>
        <w:rPr>
          <w:color w:val="262626"/>
          <w:spacing w:val="-3"/>
        </w:rPr>
        <w:t>月的</w:t>
      </w:r>
      <w:r>
        <w:rPr>
          <w:rFonts w:ascii="Calibri" w:eastAsia="Calibri"/>
          <w:color w:val="262626"/>
        </w:rPr>
        <w:t>5.5</w:t>
      </w:r>
      <w:r>
        <w:rPr>
          <w:color w:val="262626"/>
          <w:spacing w:val="-2"/>
        </w:rPr>
        <w:t>亿美元，从</w:t>
      </w:r>
      <w:r>
        <w:rPr>
          <w:rFonts w:ascii="Calibri" w:eastAsia="Calibri"/>
          <w:color w:val="262626"/>
        </w:rPr>
        <w:t>7</w:t>
      </w:r>
      <w:r>
        <w:rPr>
          <w:color w:val="262626"/>
          <w:spacing w:val="-2"/>
        </w:rPr>
        <w:t xml:space="preserve">月起同比也出现明显下降， </w:t>
      </w:r>
      <w:r>
        <w:rPr>
          <w:color w:val="262626"/>
          <w:spacing w:val="-3"/>
        </w:rPr>
        <w:t>且降幅逐月扩大，并在</w:t>
      </w:r>
      <w:r>
        <w:rPr>
          <w:rFonts w:ascii="Calibri" w:eastAsia="Calibri"/>
          <w:color w:val="262626"/>
        </w:rPr>
        <w:t>11</w:t>
      </w:r>
      <w:r>
        <w:rPr>
          <w:color w:val="262626"/>
          <w:spacing w:val="-4"/>
        </w:rPr>
        <w:t>月达到最高值</w:t>
      </w:r>
      <w:r>
        <w:rPr>
          <w:rFonts w:ascii="Calibri" w:eastAsia="Calibri"/>
          <w:color w:val="262626"/>
        </w:rPr>
        <w:t>47%</w:t>
      </w:r>
      <w:r>
        <w:rPr>
          <w:color w:val="262626"/>
          <w:spacing w:val="-4"/>
        </w:rPr>
        <w:t>，全年出口金额</w:t>
      </w:r>
      <w:r>
        <w:rPr>
          <w:rFonts w:ascii="Calibri" w:eastAsia="Calibri"/>
          <w:color w:val="262626"/>
        </w:rPr>
        <w:t>99.5</w:t>
      </w:r>
      <w:r>
        <w:rPr>
          <w:color w:val="262626"/>
          <w:spacing w:val="-3"/>
        </w:rPr>
        <w:t>亿美元，同比增</w:t>
      </w:r>
      <w:r>
        <w:rPr>
          <w:color w:val="262626"/>
          <w:spacing w:val="-1"/>
        </w:rPr>
        <w:t>速收窄至</w:t>
      </w:r>
      <w:r>
        <w:rPr>
          <w:rFonts w:ascii="Calibri" w:eastAsia="Calibri"/>
          <w:color w:val="262626"/>
        </w:rPr>
        <w:t>11%</w:t>
      </w:r>
      <w:r>
        <w:rPr>
          <w:color w:val="262626"/>
          <w:spacing w:val="-1"/>
        </w:rPr>
        <w:t>，其中下半年</w:t>
      </w:r>
      <w:r>
        <w:rPr>
          <w:rFonts w:ascii="Calibri" w:eastAsia="Calibri"/>
          <w:color w:val="262626"/>
        </w:rPr>
        <w:t>38.1</w:t>
      </w:r>
      <w:r>
        <w:rPr>
          <w:color w:val="262626"/>
          <w:spacing w:val="-1"/>
        </w:rPr>
        <w:t>亿美元，同比</w:t>
      </w:r>
      <w:r>
        <w:rPr>
          <w:rFonts w:ascii="Calibri" w:eastAsia="Calibri"/>
          <w:color w:val="262626"/>
        </w:rPr>
        <w:t>/</w:t>
      </w:r>
      <w:r>
        <w:rPr>
          <w:color w:val="262626"/>
          <w:spacing w:val="-1"/>
        </w:rPr>
        <w:t>环比下降</w:t>
      </w:r>
      <w:r>
        <w:rPr>
          <w:rFonts w:ascii="Calibri" w:eastAsia="Calibri"/>
          <w:color w:val="262626"/>
        </w:rPr>
        <w:t>35%/38%</w:t>
      </w:r>
      <w:r>
        <w:rPr>
          <w:color w:val="262626"/>
          <w:spacing w:val="-1"/>
        </w:rPr>
        <w:t>。但在连续</w:t>
      </w:r>
      <w:r>
        <w:rPr>
          <w:rFonts w:ascii="Calibri" w:eastAsia="Calibri"/>
          <w:color w:val="262626"/>
        </w:rPr>
        <w:t>5</w:t>
      </w:r>
      <w:r>
        <w:rPr>
          <w:color w:val="262626"/>
          <w:spacing w:val="-12"/>
        </w:rPr>
        <w:t>个</w:t>
      </w:r>
      <w:r>
        <w:rPr>
          <w:color w:val="262626"/>
          <w:spacing w:val="3"/>
        </w:rPr>
        <w:t>月环比下降后，</w:t>
      </w:r>
      <w:r>
        <w:rPr>
          <w:rFonts w:ascii="Calibri" w:eastAsia="Calibri"/>
          <w:color w:val="262626"/>
          <w:spacing w:val="3"/>
        </w:rPr>
        <w:t>11</w:t>
      </w:r>
      <w:r>
        <w:rPr>
          <w:color w:val="262626"/>
          <w:spacing w:val="4"/>
        </w:rPr>
        <w:t>月出口金额终于环比回升</w:t>
      </w:r>
      <w:r>
        <w:rPr>
          <w:rFonts w:ascii="Calibri" w:eastAsia="Calibri"/>
          <w:color w:val="262626"/>
          <w:spacing w:val="2"/>
        </w:rPr>
        <w:t>1%</w:t>
      </w:r>
      <w:r>
        <w:rPr>
          <w:color w:val="262626"/>
          <w:spacing w:val="2"/>
        </w:rPr>
        <w:t>，</w:t>
      </w:r>
      <w:r>
        <w:rPr>
          <w:rFonts w:ascii="Calibri" w:eastAsia="Calibri"/>
          <w:color w:val="262626"/>
          <w:spacing w:val="2"/>
        </w:rPr>
        <w:t>12</w:t>
      </w:r>
      <w:r>
        <w:rPr>
          <w:color w:val="262626"/>
          <w:spacing w:val="4"/>
        </w:rPr>
        <w:t>月再度回升</w:t>
      </w:r>
      <w:r>
        <w:rPr>
          <w:rFonts w:ascii="Calibri" w:eastAsia="Calibri"/>
          <w:color w:val="262626"/>
          <w:spacing w:val="2"/>
        </w:rPr>
        <w:t>7%</w:t>
      </w:r>
      <w:r>
        <w:rPr>
          <w:color w:val="262626"/>
          <w:spacing w:val="2"/>
        </w:rPr>
        <w:t>，同比降幅也开始收窄，我们认为这表明欧洲去库存已有一定成效，出口拐点已经出现。</w:t>
      </w:r>
    </w:p>
    <w:p>
      <w:pPr>
        <w:pStyle w:val="BodyText"/>
        <w:spacing w:before="174" w:line="232" w:lineRule="auto"/>
        <w:ind w:left="1151" w:right="3910"/>
        <w:jc w:val="both"/>
      </w:pPr>
      <w:r>
        <w:rPr>
          <w:color w:val="262626"/>
          <w:spacing w:val="-1"/>
        </w:rPr>
        <w:t>我们预计欧洲去库存将持续至</w:t>
      </w:r>
      <w:r>
        <w:rPr>
          <w:rFonts w:ascii="Calibri" w:eastAsia="Calibri"/>
          <w:color w:val="262626"/>
        </w:rPr>
        <w:t>2024</w:t>
      </w:r>
      <w:r>
        <w:rPr>
          <w:color w:val="262626"/>
          <w:spacing w:val="-9"/>
        </w:rPr>
        <w:t>年</w:t>
      </w:r>
      <w:r>
        <w:rPr>
          <w:rFonts w:ascii="Calibri" w:eastAsia="Calibri"/>
          <w:color w:val="262626"/>
        </w:rPr>
        <w:t>1</w:t>
      </w:r>
      <w:r>
        <w:rPr>
          <w:color w:val="262626"/>
          <w:spacing w:val="-15"/>
        </w:rPr>
        <w:t xml:space="preserve">季度， </w:t>
      </w:r>
      <w:r>
        <w:rPr>
          <w:rFonts w:ascii="Calibri" w:eastAsia="Calibri"/>
          <w:color w:val="262626"/>
        </w:rPr>
        <w:t>2023</w:t>
      </w:r>
      <w:r>
        <w:rPr>
          <w:color w:val="262626"/>
          <w:spacing w:val="-9"/>
        </w:rPr>
        <w:t>年</w:t>
      </w:r>
      <w:r>
        <w:rPr>
          <w:rFonts w:ascii="Calibri" w:eastAsia="Calibri"/>
          <w:color w:val="262626"/>
        </w:rPr>
        <w:t>4</w:t>
      </w:r>
      <w:r>
        <w:rPr>
          <w:color w:val="262626"/>
          <w:spacing w:val="-2"/>
        </w:rPr>
        <w:t>季度出口金额仍环比下降</w:t>
      </w:r>
      <w:r>
        <w:rPr>
          <w:rFonts w:ascii="Calibri" w:eastAsia="Calibri"/>
          <w:color w:val="262626"/>
        </w:rPr>
        <w:t>19%</w:t>
      </w:r>
      <w:r>
        <w:rPr>
          <w:color w:val="262626"/>
        </w:rPr>
        <w:t>，但由于欧洲实际装机需求仍然旺盛（</w:t>
      </w:r>
      <w:r>
        <w:rPr>
          <w:rFonts w:ascii="Calibri" w:eastAsia="Calibri"/>
          <w:color w:val="262626"/>
        </w:rPr>
        <w:t>EESA</w:t>
      </w:r>
      <w:r>
        <w:rPr>
          <w:color w:val="262626"/>
        </w:rPr>
        <w:t>预计欧洲户储</w:t>
      </w:r>
      <w:r>
        <w:rPr>
          <w:rFonts w:ascii="Calibri" w:eastAsia="Calibri"/>
          <w:color w:val="262626"/>
        </w:rPr>
        <w:t>2023</w:t>
      </w:r>
      <w:r>
        <w:rPr>
          <w:color w:val="262626"/>
        </w:rPr>
        <w:t>年实际装机约</w:t>
      </w:r>
      <w:r>
        <w:rPr>
          <w:rFonts w:ascii="Calibri" w:eastAsia="Calibri"/>
          <w:color w:val="262626"/>
        </w:rPr>
        <w:t>10GWh</w:t>
      </w:r>
      <w:r>
        <w:rPr>
          <w:color w:val="262626"/>
        </w:rPr>
        <w:t>，下半年约</w:t>
      </w:r>
      <w:r>
        <w:rPr>
          <w:rFonts w:ascii="Calibri" w:eastAsia="Calibri"/>
          <w:color w:val="262626"/>
        </w:rPr>
        <w:t>5GWh</w:t>
      </w:r>
      <w:r>
        <w:rPr>
          <w:color w:val="262626"/>
        </w:rPr>
        <w:t>，环比基本持平），随着库存逐渐降低，</w:t>
      </w:r>
      <w:r>
        <w:rPr>
          <w:rFonts w:ascii="Calibri" w:eastAsia="Calibri"/>
          <w:color w:val="262626"/>
        </w:rPr>
        <w:t>2024</w:t>
      </w:r>
      <w:r>
        <w:rPr>
          <w:color w:val="262626"/>
        </w:rPr>
        <w:t>年</w:t>
      </w:r>
      <w:r>
        <w:rPr>
          <w:rFonts w:ascii="Calibri" w:eastAsia="Calibri"/>
          <w:color w:val="262626"/>
        </w:rPr>
        <w:t>1</w:t>
      </w:r>
      <w:r>
        <w:rPr>
          <w:color w:val="262626"/>
          <w:spacing w:val="-15"/>
        </w:rPr>
        <w:t>季</w:t>
      </w:r>
      <w:r>
        <w:rPr>
          <w:color w:val="262626"/>
          <w:spacing w:val="-1"/>
        </w:rPr>
        <w:t xml:space="preserve">度出口将环比转正，待库存降至合理水平后， </w:t>
      </w:r>
      <w:r>
        <w:rPr>
          <w:rFonts w:ascii="Calibri" w:eastAsia="Calibri"/>
          <w:color w:val="262626"/>
        </w:rPr>
        <w:t>2</w:t>
      </w:r>
      <w:r>
        <w:rPr>
          <w:color w:val="262626"/>
        </w:rPr>
        <w:t>季度出口就有望恢复至正常水平，但由于</w:t>
      </w:r>
      <w:r>
        <w:rPr>
          <w:rFonts w:ascii="Calibri" w:eastAsia="Calibri"/>
          <w:color w:val="262626"/>
        </w:rPr>
        <w:t>2023</w:t>
      </w:r>
      <w:r>
        <w:rPr>
          <w:color w:val="262626"/>
        </w:rPr>
        <w:t>年上半年的高基数，直至</w:t>
      </w:r>
      <w:r>
        <w:rPr>
          <w:rFonts w:ascii="Calibri" w:eastAsia="Calibri"/>
          <w:color w:val="262626"/>
        </w:rPr>
        <w:t>2024</w:t>
      </w:r>
      <w:r>
        <w:rPr>
          <w:color w:val="262626"/>
        </w:rPr>
        <w:t>年下半年才有望重回同比快速增长。</w:t>
      </w:r>
    </w:p>
    <w:p>
      <w:pPr>
        <w:spacing w:after="0" w:line="232" w:lineRule="auto"/>
        <w:jc w:val="both"/>
        <w:sectPr>
          <w:headerReference w:type="default" r:id="rId88"/>
          <w:footerReference w:type="default" r:id="rId89"/>
          <w:type w:val="continuous"/>
          <w:pgSz w:w="12240" w:h="15840"/>
          <w:pgMar w:top="1500" w:right="0" w:bottom="280" w:left="0" w:header="708" w:footer="708"/>
          <w:pgNumType w:start="34"/>
          <w:cols w:space="708"/>
        </w:sectPr>
      </w:pPr>
    </w:p>
    <w:p>
      <w:pPr>
        <w:pStyle w:val="BodyText"/>
        <w:rPr>
          <w:sz w:val="20"/>
        </w:rPr>
      </w:pPr>
    </w:p>
    <w:p>
      <w:pPr>
        <w:pStyle w:val="BodyText"/>
        <w:rPr>
          <w:sz w:val="20"/>
        </w:rPr>
      </w:pPr>
    </w:p>
    <w:p>
      <w:pPr>
        <w:pStyle w:val="Heading3"/>
        <w:tabs>
          <w:tab w:val="left" w:pos="6324"/>
        </w:tabs>
        <w:spacing w:before="129"/>
      </w:pPr>
      <w:r>
        <w:t>图表</w:t>
      </w:r>
      <w:r>
        <w:rPr>
          <w:rFonts w:ascii="Calibri" w:eastAsia="Calibri"/>
        </w:rPr>
        <w:t>26:</w:t>
      </w:r>
      <w:r>
        <w:t>内地逆变器出口金额</w:t>
        <w:tab/>
        <w:t>图表</w:t>
      </w:r>
      <w:r>
        <w:rPr>
          <w:rFonts w:ascii="Calibri" w:eastAsia="Calibri"/>
        </w:rPr>
        <w:t>27:</w:t>
      </w:r>
      <w:r>
        <w:t>内地逆变器月出口金额</w:t>
      </w:r>
    </w:p>
    <w:p>
      <w:pPr>
        <w:tabs>
          <w:tab w:val="left" w:pos="6317"/>
        </w:tabs>
        <w:spacing w:line="20" w:lineRule="exact"/>
        <w:ind w:left="1143" w:right="0" w:firstLine="0"/>
        <w:rPr>
          <w:rFonts w:ascii="Microsoft JhengHei"/>
          <w:sz w:val="2"/>
        </w:rPr>
      </w:pPr>
      <w:r>
        <w:rPr>
          <w:rFonts w:ascii="Microsoft JhengHei"/>
          <w:sz w:val="2"/>
        </w:rPr>
        <w:pict>
          <v:group id="_x0000_i1402" style="width:236.9pt;height:0.75pt;mso-position-horizontal-relative:char;mso-position-vertical-relative:line" coordorigin="0,0" coordsize="4738,15">
            <v:line id="_x0000_s1403" style="position:absolute" from="0,8" to="4738,8" stroked="t" strokecolor="black" strokeweight="0.75pt">
              <v:stroke dashstyle="solid"/>
            </v:line>
            <w10:wrap type="none"/>
          </v:group>
        </w:pict>
      </w:r>
      <w:r>
        <w:rPr>
          <w:rFonts w:ascii="Microsoft JhengHei"/>
          <w:sz w:val="2"/>
        </w:rPr>
        <w:tab/>
      </w:r>
      <w:r>
        <w:rPr>
          <w:rFonts w:ascii="Microsoft JhengHei"/>
          <w:sz w:val="2"/>
        </w:rPr>
        <w:pict>
          <v:group id="_x0000_i1404" style="width:238.55pt;height:0.75pt;mso-position-horizontal-relative:char;mso-position-vertical-relative:line" coordorigin="0,0" coordsize="4771,15">
            <v:line id="_x0000_s1405" style="position:absolute" from="0,8" to="4771,8" stroked="t" strokecolor="black" strokeweight="0.75pt">
              <v:stroke dashstyle="solid"/>
            </v:line>
            <w10:wrap type="none"/>
          </v:group>
        </w:pict>
      </w:r>
    </w:p>
    <w:p>
      <w:pPr>
        <w:spacing w:after="0" w:line="20" w:lineRule="exact"/>
        <w:rPr>
          <w:rFonts w:ascii="Microsoft JhengHei"/>
          <w:sz w:val="2"/>
        </w:rPr>
        <w:sectPr>
          <w:headerReference w:type="default" r:id="rId90"/>
          <w:footerReference w:type="default" r:id="rId91"/>
          <w:pgSz w:w="12240" w:h="15840"/>
          <w:pgMar w:top="1720" w:right="0" w:bottom="1380" w:left="0" w:header="708" w:footer="708"/>
          <w:pgNumType w:start="35"/>
          <w:cols w:space="708"/>
        </w:sectPr>
      </w:pPr>
    </w:p>
    <w:p>
      <w:pPr>
        <w:pStyle w:val="BodyText"/>
        <w:spacing w:before="7"/>
        <w:rPr>
          <w:rFonts w:ascii="Microsoft JhengHei"/>
          <w:b/>
          <w:sz w:val="17"/>
        </w:rPr>
      </w:pPr>
    </w:p>
    <w:p>
      <w:pPr>
        <w:spacing w:before="0"/>
        <w:ind w:left="0" w:right="0" w:firstLine="0"/>
        <w:jc w:val="right"/>
        <w:rPr>
          <w:rFonts w:ascii="Calibri"/>
          <w:sz w:val="14"/>
        </w:rPr>
      </w:pPr>
      <w:r>
        <w:rPr>
          <w:rFonts w:ascii="Calibri"/>
          <w:color w:val="595959"/>
          <w:spacing w:val="-1"/>
          <w:w w:val="105"/>
          <w:sz w:val="14"/>
        </w:rPr>
        <w:t>120</w:t>
      </w:r>
    </w:p>
    <w:p>
      <w:pPr>
        <w:pStyle w:val="BodyText"/>
        <w:spacing w:before="10"/>
        <w:rPr>
          <w:rFonts w:ascii="Calibri"/>
          <w:sz w:val="13"/>
        </w:rPr>
      </w:pPr>
    </w:p>
    <w:p>
      <w:pPr>
        <w:spacing w:before="0"/>
        <w:ind w:left="0" w:right="0" w:firstLine="0"/>
        <w:jc w:val="right"/>
        <w:rPr>
          <w:rFonts w:ascii="Calibri"/>
          <w:sz w:val="14"/>
        </w:rPr>
      </w:pPr>
      <w:r>
        <w:rPr>
          <w:rFonts w:ascii="Calibri"/>
          <w:color w:val="595959"/>
          <w:spacing w:val="-1"/>
          <w:w w:val="105"/>
          <w:sz w:val="14"/>
        </w:rPr>
        <w:t>100</w:t>
      </w:r>
    </w:p>
    <w:p>
      <w:pPr>
        <w:pStyle w:val="BodyText"/>
        <w:spacing w:before="10"/>
        <w:rPr>
          <w:rFonts w:ascii="Calibri"/>
          <w:sz w:val="13"/>
        </w:rPr>
      </w:pPr>
    </w:p>
    <w:p>
      <w:pPr>
        <w:spacing w:before="0"/>
        <w:ind w:left="0" w:right="0" w:firstLine="0"/>
        <w:jc w:val="right"/>
        <w:rPr>
          <w:rFonts w:ascii="Calibri"/>
          <w:sz w:val="14"/>
        </w:rPr>
      </w:pPr>
      <w:r>
        <w:rPr>
          <w:rFonts w:ascii="Calibri"/>
          <w:color w:val="595959"/>
          <w:sz w:val="14"/>
        </w:rPr>
        <w:t>80</w:t>
      </w:r>
    </w:p>
    <w:p>
      <w:pPr>
        <w:pStyle w:val="BodyText"/>
        <w:spacing w:before="10"/>
        <w:rPr>
          <w:rFonts w:ascii="Calibri"/>
          <w:sz w:val="13"/>
        </w:rPr>
      </w:pPr>
    </w:p>
    <w:p>
      <w:pPr>
        <w:spacing w:before="0"/>
        <w:ind w:left="0" w:right="0" w:firstLine="0"/>
        <w:jc w:val="right"/>
        <w:rPr>
          <w:rFonts w:ascii="Calibri"/>
          <w:sz w:val="14"/>
        </w:rPr>
      </w:pPr>
      <w:r>
        <w:rPr>
          <w:rFonts w:ascii="Calibri"/>
          <w:color w:val="595959"/>
          <w:sz w:val="14"/>
        </w:rPr>
        <w:t>60</w:t>
      </w:r>
    </w:p>
    <w:p>
      <w:pPr>
        <w:pStyle w:val="BodyText"/>
        <w:spacing w:before="10"/>
        <w:rPr>
          <w:rFonts w:ascii="Calibri"/>
          <w:sz w:val="13"/>
        </w:rPr>
      </w:pPr>
    </w:p>
    <w:p>
      <w:pPr>
        <w:spacing w:before="1"/>
        <w:ind w:left="0" w:right="0" w:firstLine="0"/>
        <w:jc w:val="right"/>
        <w:rPr>
          <w:rFonts w:ascii="Calibri"/>
          <w:sz w:val="14"/>
        </w:rPr>
      </w:pPr>
      <w:r>
        <w:rPr>
          <w:rFonts w:ascii="Calibri"/>
          <w:color w:val="595959"/>
          <w:sz w:val="14"/>
        </w:rPr>
        <w:t>40</w:t>
      </w:r>
    </w:p>
    <w:p>
      <w:pPr>
        <w:pStyle w:val="BodyText"/>
        <w:spacing w:before="9"/>
        <w:rPr>
          <w:rFonts w:ascii="Calibri"/>
          <w:sz w:val="13"/>
        </w:rPr>
      </w:pPr>
    </w:p>
    <w:p>
      <w:pPr>
        <w:spacing w:before="1"/>
        <w:ind w:left="0" w:right="0" w:firstLine="0"/>
        <w:jc w:val="right"/>
        <w:rPr>
          <w:rFonts w:ascii="Calibri"/>
          <w:sz w:val="14"/>
        </w:rPr>
      </w:pPr>
      <w:r>
        <w:rPr>
          <w:rFonts w:ascii="Calibri"/>
          <w:color w:val="595959"/>
          <w:sz w:val="14"/>
        </w:rPr>
        <w:t>20</w:t>
      </w:r>
    </w:p>
    <w:p>
      <w:pPr>
        <w:pStyle w:val="BodyText"/>
        <w:spacing w:before="10"/>
        <w:rPr>
          <w:rFonts w:ascii="Calibri"/>
          <w:sz w:val="13"/>
        </w:rPr>
      </w:pPr>
    </w:p>
    <w:p>
      <w:pPr>
        <w:spacing w:before="0"/>
        <w:ind w:left="0" w:right="0" w:firstLine="0"/>
        <w:jc w:val="right"/>
        <w:rPr>
          <w:rFonts w:ascii="Calibri"/>
          <w:sz w:val="14"/>
        </w:rPr>
      </w:pPr>
      <w:r>
        <w:rPr>
          <w:rFonts w:ascii="Calibri"/>
          <w:color w:val="595959"/>
          <w:w w:val="104"/>
          <w:sz w:val="14"/>
        </w:rPr>
        <w:t>0</w:t>
      </w:r>
    </w:p>
    <w:p>
      <w:pPr>
        <w:tabs>
          <w:tab w:val="left" w:pos="3366"/>
        </w:tabs>
        <w:spacing w:before="84"/>
        <w:ind w:left="866" w:right="0" w:firstLine="0"/>
        <w:jc w:val="left"/>
        <w:rPr>
          <w:sz w:val="14"/>
        </w:rPr>
      </w:pPr>
      <w:r>
        <w:br w:type="column"/>
      </w:r>
      <w:r>
        <w:rPr>
          <w:color w:val="595959"/>
          <w:w w:val="105"/>
          <w:sz w:val="14"/>
        </w:rPr>
        <w:t>出口金</w:t>
      </w:r>
      <w:r>
        <w:rPr>
          <w:color w:val="595959"/>
          <w:spacing w:val="-3"/>
          <w:w w:val="105"/>
          <w:sz w:val="14"/>
        </w:rPr>
        <w:t>额</w:t>
      </w:r>
      <w:r>
        <w:rPr>
          <w:color w:val="595959"/>
          <w:w w:val="105"/>
          <w:sz w:val="14"/>
        </w:rPr>
        <w:t>（亿</w:t>
      </w:r>
      <w:r>
        <w:rPr>
          <w:color w:val="595959"/>
          <w:spacing w:val="-3"/>
          <w:w w:val="105"/>
          <w:sz w:val="14"/>
        </w:rPr>
        <w:t>美</w:t>
      </w:r>
      <w:r>
        <w:rPr>
          <w:color w:val="595959"/>
          <w:w w:val="105"/>
          <w:sz w:val="14"/>
        </w:rPr>
        <w:t>元）</w:t>
        <w:tab/>
        <w:t>同比</w:t>
      </w: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rPr>
          <w:sz w:val="14"/>
        </w:rPr>
      </w:pPr>
    </w:p>
    <w:p>
      <w:pPr>
        <w:pStyle w:val="BodyText"/>
        <w:spacing w:before="3"/>
        <w:rPr>
          <w:sz w:val="10"/>
        </w:rPr>
      </w:pPr>
    </w:p>
    <w:p>
      <w:pPr>
        <w:tabs>
          <w:tab w:val="left" w:pos="896"/>
          <w:tab w:val="left" w:pos="1530"/>
          <w:tab w:val="left" w:pos="2156"/>
          <w:tab w:val="left" w:pos="2790"/>
          <w:tab w:val="right" w:pos="3727"/>
        </w:tabs>
        <w:spacing w:before="0"/>
        <w:ind w:left="263" w:right="0" w:firstLine="0"/>
        <w:jc w:val="left"/>
        <w:rPr>
          <w:rFonts w:ascii="Calibri"/>
          <w:sz w:val="14"/>
        </w:rPr>
      </w:pPr>
      <w:r>
        <w:pict>
          <v:group id="_x0000_s1406" style="width:194.8pt;height:104.55pt;margin-top:-107.09pt;margin-left:76.57pt;mso-position-horizontal-relative:page;position:absolute;z-index:251736064" coordorigin="1531,-2142" coordsize="3896,2091">
            <v:shape id="_x0000_s1407" style="width:3804;height:2;left:1577;position:absolute;top:-438" coordorigin="1577,-437" coordsize="3804,0" path="m5191,-437l5381,-437m4557,-437l4937,-437m3923,-437l4303,-437m3289,-437l3669,-437m2655,-437l3035,-437m2021,-437l2401,-437m1577,-437l1767,-437e" filled="f" stroked="t" strokecolor="#d8d8d8" strokeweight="0.68pt">
              <v:stroke dashstyle="solid"/>
              <v:path arrowok="t"/>
            </v:shape>
            <v:rect id="_x0000_s1408" style="width:254;height:592;left:1767;position:absolute;top:-689" filled="t" fillcolor="#bcdadf" stroked="f">
              <v:fill type="solid"/>
            </v:rect>
            <v:shape id="_x0000_s1409" style="width:1459;height:2;left:1577;position:absolute;top:-776" coordorigin="1577,-775" coordsize="1459,0" path="m2655,-775l3035,-775m1577,-775l2401,-775e" filled="f" stroked="t" strokecolor="#d8d8d8" strokeweight="0.68pt">
              <v:stroke dashstyle="solid"/>
              <v:path arrowok="t"/>
            </v:shape>
            <v:rect id="_x0000_s1410" style="width:254;height:871;left:2401;position:absolute;top:-968" filled="t" fillcolor="#bcdadf" stroked="f">
              <v:fill type="solid"/>
            </v:rect>
            <v:shape id="_x0000_s1411" style="width:3360;height:681;left:1577;position:absolute;top:-1457" coordorigin="1577,-1456" coordsize="3360,681" path="m3289,-775l3669,-775m3289,-1116l3669,-1116m1577,-1116l3035,-1116m3289,-1456l4937,-1456m1577,-1456l3035,-1456e" filled="f" stroked="t" strokecolor="#d8d8d8" strokeweight="0.68pt">
              <v:stroke dashstyle="solid"/>
              <v:path arrowok="t"/>
            </v:shape>
            <v:rect id="_x0000_s1412" style="width:254;height:1519;left:3035;position:absolute;top:-1616" filled="t" fillcolor="#bcdadf" stroked="f">
              <v:fill type="solid"/>
            </v:rect>
            <v:shape id="_x0000_s1413" style="width:1015;height:341;left:3922;position:absolute;top:-1116" coordorigin="3923,-1116" coordsize="1015,341" path="m3923,-775l4937,-775m3923,-1116l4937,-1116e" filled="f" stroked="t" strokecolor="#d8d8d8" strokeweight="0.68pt">
              <v:stroke dashstyle="solid"/>
              <v:path arrowok="t"/>
            </v:shape>
            <v:shape id="_x0000_s1414" style="width:888;height:1048;left:3669;position:absolute;top:-1145" coordorigin="3669,-1144" coordsize="888,1048" path="m3923,-1144l3669,-1144,3669,-97,3923,-97,3923,-1144m4557,-743l4303,-743,4303,-97,4557,-97,4557,-743e" filled="t" fillcolor="#bcdadf" stroked="f">
              <v:fill type="solid"/>
              <v:path arrowok="t"/>
            </v:shape>
            <v:shape id="_x0000_s1415" style="width:191;height:681;left:5190;position:absolute;top:-1457" coordorigin="5191,-1456" coordsize="191,681" path="m5191,-775l5381,-775m5191,-1116l5381,-1116m5191,-1456l5381,-1456e" filled="f" stroked="t" strokecolor="#d8d8d8" strokeweight="0.68pt">
              <v:stroke dashstyle="solid"/>
              <v:path arrowok="t"/>
            </v:shape>
            <v:line id="_x0000_s1416" style="position:absolute" from="1577,-1795" to="5381,-1795" stroked="t" strokecolor="#d8d8d8" strokeweight="0.68pt">
              <v:stroke dashstyle="solid"/>
            </v:line>
            <v:rect id="_x0000_s1417" style="width:254;height:1692;left:4937;position:absolute;top:-1789" filled="t" fillcolor="#bcdadf" stroked="f">
              <v:fill type="solid"/>
            </v:rect>
            <v:line id="_x0000_s1418" style="position:absolute" from="1577,-2135" to="5381,-2135" stroked="t" strokecolor="#d8d8d8" strokeweight="0.68pt">
              <v:stroke dashstyle="solid"/>
            </v:line>
            <v:line id="_x0000_s1419" style="position:absolute" from="5381,-97" to="5381,-2135" stroked="t" strokecolor="#a5a5a5" strokeweight="0.68pt">
              <v:stroke dashstyle="solid"/>
            </v:line>
            <v:shape id="_x0000_s1420" style="width:193996;height:8628160;position:absolute;top:-8617659" coordorigin="0,-8617658" coordsize="193996,8628160" path="m5381,-97l5427,-97m5381,-352l5427,-352m5381,-605l5427,-605m5381,-860l5427,-860m5381,-1116l5427,-1116m5381,-1371l5427,-1371m5381,-1624l5427,-1624m5381,-1880l5427,-1880m5381,-2135l5427,-2135e" filled="f" stroked="t" strokecolor="#a5a5a5" strokeweight="0.68pt">
              <v:stroke dashstyle="solid"/>
              <v:path arrowok="t"/>
            </v:shape>
            <v:line id="_x0000_s1421" style="position:absolute" from="1577,-97" to="1577,-2135" stroked="t" strokecolor="#a5a5a5" strokeweight="0.68pt">
              <v:stroke dashstyle="solid"/>
            </v:line>
            <v:shape id="_x0000_s1422" style="width:193996;height:8628160;position:absolute;top:-8617659" coordorigin="0,-8617658" coordsize="193996,8628160" path="m1531,-97l1577,-97m1531,-437l1577,-437m1531,-775l1577,-775m1531,-1116l1577,-1116m1531,-1456l1577,-1456m1531,-1795l1577,-1795m1531,-2135l1577,-2135e" filled="f" stroked="t" strokecolor="#a5a5a5" strokeweight="0.68pt">
              <v:stroke dashstyle="solid"/>
              <v:path arrowok="t"/>
            </v:shape>
            <v:shape id="_x0000_s1423" style="width:16073880;height:193996;position:absolute;top:-183494" coordorigin="0,-183493" coordsize="16073880,193996" path="m1577,-97l5381,-97m1577,-97l1577,-51m2211,-97l2211,-51m2845,-97l2845,-51m3479,-97l3479,-51m4113,-97l4113,-51m4747,-97l4747,-51m5381,-97l5381,-51e" filled="f" stroked="t" strokecolor="#a5a5a5" strokeweight="0.68pt">
              <v:stroke dashstyle="solid"/>
              <v:path arrowok="t"/>
            </v:shape>
            <v:shape id="_x0000_s1424" style="width:3170;height:1655;left:1893;position:absolute;top:-2076" coordorigin="1893,-2075" coordsize="3170,1655" path="m1893,-1193l1893,-1193,2527,-1462,3161,-1811,3795,-2075,4429,-421,5063,-1003e" filled="f" stroked="t" strokecolor="#1f5ea0" strokeweight="1.59pt">
              <v:stroke dashstyle="solid"/>
              <v:path arrowok="t"/>
            </v:shape>
          </v:group>
        </w:pict>
      </w:r>
      <w:r>
        <w:pict>
          <v:line id="_x0000_s1425" style="mso-position-horizontal-relative:page;position:absolute;z-index:251737088" from="98.1pt,-117.95pt" to="115.6pt,-117.95pt" stroked="t" strokecolor="#bcdadf" strokeweight="4.04pt">
            <v:stroke dashstyle="solid"/>
          </v:line>
        </w:pict>
      </w:r>
      <w:r>
        <w:pict>
          <v:line id="_x0000_s1426" style="mso-position-horizontal-relative:page;position:absolute;z-index:-251583488" from="223.2pt,-117.95pt" to="240.7pt,-117.95pt" stroked="t" strokecolor="#1f5ea0" strokeweight="1.59pt">
            <v:stroke dashstyle="solid"/>
          </v:line>
        </w:pict>
      </w:r>
      <w:r>
        <w:rPr>
          <w:rFonts w:ascii="Calibri"/>
          <w:color w:val="595959"/>
          <w:w w:val="105"/>
          <w:sz w:val="14"/>
        </w:rPr>
        <w:t>2020</w:t>
        <w:tab/>
        <w:t>2021</w:t>
        <w:tab/>
        <w:t>2022</w:t>
        <w:tab/>
        <w:t>1H23</w:t>
        <w:tab/>
        <w:t>2H23</w:t>
        <w:tab/>
        <w:t>2023</w:t>
      </w:r>
    </w:p>
    <w:p>
      <w:pPr>
        <w:pStyle w:val="BodyText"/>
        <w:rPr>
          <w:rFonts w:ascii="Calibri"/>
          <w:sz w:val="16"/>
        </w:rPr>
      </w:pPr>
      <w:r>
        <w:br w:type="column"/>
      </w:r>
    </w:p>
    <w:p>
      <w:pPr>
        <w:tabs>
          <w:tab w:val="left" w:pos="1104"/>
        </w:tabs>
        <w:spacing w:before="105"/>
        <w:ind w:left="264" w:right="0" w:firstLine="0"/>
        <w:jc w:val="left"/>
        <w:rPr>
          <w:rFonts w:ascii="Calibri"/>
          <w:sz w:val="15"/>
        </w:rPr>
      </w:pPr>
      <w:r>
        <w:rPr>
          <w:rFonts w:ascii="Calibri"/>
          <w:color w:val="595959"/>
          <w:sz w:val="14"/>
        </w:rPr>
        <w:t>100%</w:t>
        <w:tab/>
      </w:r>
      <w:r>
        <w:rPr>
          <w:rFonts w:ascii="Calibri"/>
          <w:spacing w:val="-10"/>
          <w:position w:val="1"/>
          <w:sz w:val="15"/>
        </w:rPr>
        <w:t>14</w:t>
      </w:r>
    </w:p>
    <w:p>
      <w:pPr>
        <w:tabs>
          <w:tab w:val="left" w:pos="1104"/>
        </w:tabs>
        <w:spacing w:before="64"/>
        <w:ind w:left="264" w:right="0" w:firstLine="0"/>
        <w:jc w:val="left"/>
        <w:rPr>
          <w:rFonts w:ascii="Calibri"/>
          <w:sz w:val="15"/>
        </w:rPr>
      </w:pPr>
      <w:r>
        <w:rPr>
          <w:rFonts w:ascii="Calibri"/>
          <w:color w:val="595959"/>
          <w:sz w:val="14"/>
        </w:rPr>
        <w:t>80%</w:t>
        <w:tab/>
      </w:r>
      <w:r>
        <w:rPr>
          <w:rFonts w:ascii="Calibri"/>
          <w:spacing w:val="-10"/>
          <w:position w:val="1"/>
          <w:sz w:val="15"/>
        </w:rPr>
        <w:t>12</w:t>
      </w:r>
    </w:p>
    <w:p>
      <w:pPr>
        <w:tabs>
          <w:tab w:val="left" w:pos="1104"/>
        </w:tabs>
        <w:spacing w:before="65"/>
        <w:ind w:left="264" w:right="0" w:firstLine="0"/>
        <w:jc w:val="left"/>
        <w:rPr>
          <w:rFonts w:ascii="Calibri"/>
          <w:sz w:val="15"/>
        </w:rPr>
      </w:pPr>
      <w:r>
        <w:rPr>
          <w:rFonts w:ascii="Calibri"/>
          <w:color w:val="595959"/>
          <w:sz w:val="14"/>
        </w:rPr>
        <w:t>60%</w:t>
        <w:tab/>
      </w:r>
      <w:r>
        <w:rPr>
          <w:rFonts w:ascii="Calibri"/>
          <w:spacing w:val="-10"/>
          <w:position w:val="1"/>
          <w:sz w:val="15"/>
        </w:rPr>
        <w:t>10</w:t>
      </w:r>
    </w:p>
    <w:p>
      <w:pPr>
        <w:tabs>
          <w:tab w:val="left" w:pos="1180"/>
        </w:tabs>
        <w:spacing w:before="74"/>
        <w:ind w:left="264" w:right="0" w:firstLine="0"/>
        <w:jc w:val="left"/>
        <w:rPr>
          <w:rFonts w:ascii="Calibri"/>
          <w:sz w:val="15"/>
        </w:rPr>
      </w:pPr>
      <w:r>
        <w:rPr>
          <w:rFonts w:ascii="Calibri"/>
          <w:color w:val="595959"/>
          <w:sz w:val="14"/>
        </w:rPr>
        <w:t>40%</w:t>
        <w:tab/>
      </w:r>
      <w:r>
        <w:rPr>
          <w:rFonts w:ascii="Calibri"/>
          <w:spacing w:val="-20"/>
          <w:sz w:val="15"/>
        </w:rPr>
        <w:t>8</w:t>
      </w:r>
    </w:p>
    <w:p>
      <w:pPr>
        <w:tabs>
          <w:tab w:val="left" w:pos="1180"/>
        </w:tabs>
        <w:spacing w:before="72"/>
        <w:ind w:left="264" w:right="0" w:firstLine="0"/>
        <w:jc w:val="left"/>
        <w:rPr>
          <w:rFonts w:ascii="Calibri"/>
          <w:sz w:val="15"/>
        </w:rPr>
      </w:pPr>
      <w:r>
        <w:rPr>
          <w:rFonts w:ascii="Calibri"/>
          <w:color w:val="595959"/>
          <w:sz w:val="14"/>
        </w:rPr>
        <w:t>20%</w:t>
        <w:tab/>
      </w:r>
      <w:r>
        <w:rPr>
          <w:rFonts w:ascii="Calibri"/>
          <w:spacing w:val="-20"/>
          <w:sz w:val="15"/>
        </w:rPr>
        <w:t>6</w:t>
      </w:r>
    </w:p>
    <w:p>
      <w:pPr>
        <w:tabs>
          <w:tab w:val="left" w:pos="1180"/>
        </w:tabs>
        <w:spacing w:before="71"/>
        <w:ind w:left="264" w:right="0" w:firstLine="0"/>
        <w:jc w:val="left"/>
        <w:rPr>
          <w:rFonts w:ascii="Calibri"/>
          <w:sz w:val="15"/>
        </w:rPr>
      </w:pPr>
      <w:r>
        <w:rPr>
          <w:rFonts w:ascii="Calibri"/>
          <w:color w:val="595959"/>
          <w:sz w:val="14"/>
        </w:rPr>
        <w:t>0%</w:t>
        <w:tab/>
      </w:r>
      <w:r>
        <w:rPr>
          <w:rFonts w:ascii="Calibri"/>
          <w:spacing w:val="-20"/>
          <w:sz w:val="15"/>
        </w:rPr>
        <w:t>4</w:t>
      </w:r>
    </w:p>
    <w:p>
      <w:pPr>
        <w:tabs>
          <w:tab w:val="left" w:pos="1180"/>
        </w:tabs>
        <w:spacing w:before="72"/>
        <w:ind w:left="264" w:right="0" w:firstLine="0"/>
        <w:jc w:val="left"/>
        <w:rPr>
          <w:rFonts w:ascii="Calibri"/>
          <w:sz w:val="15"/>
        </w:rPr>
      </w:pPr>
      <w:r>
        <w:rPr>
          <w:rFonts w:ascii="Calibri"/>
          <w:color w:val="595959"/>
          <w:sz w:val="14"/>
        </w:rPr>
        <w:t>-20%</w:t>
        <w:tab/>
      </w:r>
      <w:r>
        <w:rPr>
          <w:rFonts w:ascii="Calibri"/>
          <w:spacing w:val="-20"/>
          <w:sz w:val="15"/>
        </w:rPr>
        <w:t>2</w:t>
      </w:r>
    </w:p>
    <w:p>
      <w:pPr>
        <w:tabs>
          <w:tab w:val="left" w:pos="1180"/>
        </w:tabs>
        <w:spacing w:before="73"/>
        <w:ind w:left="264" w:right="0" w:firstLine="0"/>
        <w:jc w:val="left"/>
        <w:rPr>
          <w:rFonts w:ascii="Calibri"/>
          <w:sz w:val="15"/>
        </w:rPr>
      </w:pPr>
      <w:r>
        <w:rPr>
          <w:rFonts w:ascii="Calibri"/>
          <w:color w:val="595959"/>
          <w:sz w:val="14"/>
        </w:rPr>
        <w:t>-40%</w:t>
        <w:tab/>
      </w:r>
      <w:r>
        <w:rPr>
          <w:rFonts w:ascii="Calibri"/>
          <w:spacing w:val="-20"/>
          <w:sz w:val="15"/>
        </w:rPr>
        <w:t>0</w:t>
      </w:r>
    </w:p>
    <w:p>
      <w:pPr>
        <w:spacing w:before="80"/>
        <w:ind w:left="264" w:right="0" w:firstLine="0"/>
        <w:jc w:val="left"/>
        <w:rPr>
          <w:rFonts w:ascii="Calibri"/>
          <w:sz w:val="14"/>
        </w:rPr>
      </w:pPr>
      <w:r>
        <w:rPr>
          <w:rFonts w:ascii="Calibri"/>
          <w:color w:val="595959"/>
          <w:w w:val="105"/>
          <w:sz w:val="14"/>
        </w:rPr>
        <w:t>-60%</w:t>
      </w:r>
    </w:p>
    <w:p>
      <w:pPr>
        <w:tabs>
          <w:tab w:val="left" w:pos="2607"/>
          <w:tab w:val="left" w:pos="3638"/>
          <w:tab w:val="left" w:pos="4268"/>
        </w:tabs>
        <w:spacing w:before="55"/>
        <w:ind w:left="534" w:right="0" w:firstLine="0"/>
        <w:jc w:val="left"/>
        <w:rPr>
          <w:rFonts w:ascii="Calibri" w:eastAsia="Calibri"/>
          <w:sz w:val="15"/>
        </w:rPr>
      </w:pPr>
      <w:r>
        <w:br w:type="column"/>
      </w:r>
      <w:r>
        <w:rPr>
          <w:sz w:val="15"/>
        </w:rPr>
        <w:t>出口金</w:t>
      </w:r>
      <w:r>
        <w:rPr>
          <w:spacing w:val="-3"/>
          <w:sz w:val="15"/>
        </w:rPr>
        <w:t>额</w:t>
      </w:r>
      <w:r>
        <w:rPr>
          <w:sz w:val="15"/>
        </w:rPr>
        <w:t>（亿</w:t>
      </w:r>
      <w:r>
        <w:rPr>
          <w:spacing w:val="-3"/>
          <w:sz w:val="15"/>
        </w:rPr>
        <w:t>美</w:t>
      </w:r>
      <w:r>
        <w:rPr>
          <w:sz w:val="15"/>
        </w:rPr>
        <w:t>元）</w:t>
        <w:tab/>
        <w:t>环比</w:t>
        <w:tab/>
        <w:t>同比</w:t>
        <w:tab/>
      </w:r>
      <w:r>
        <w:rPr>
          <w:rFonts w:ascii="Calibri" w:eastAsia="Calibri"/>
          <w:position w:val="2"/>
          <w:sz w:val="15"/>
        </w:rPr>
        <w:t>(%)</w:t>
      </w:r>
    </w:p>
    <w:p>
      <w:pPr>
        <w:spacing w:before="42"/>
        <w:ind w:left="4245" w:right="0" w:firstLine="0"/>
        <w:jc w:val="left"/>
        <w:rPr>
          <w:rFonts w:ascii="Calibri"/>
          <w:sz w:val="15"/>
        </w:rPr>
      </w:pPr>
      <w:r>
        <w:pict>
          <v:group id="_x0000_s1427" style="width:205.2pt;height:92.45pt;margin-top:6.76pt;margin-left:329.87pt;mso-position-horizontal-relative:page;position:absolute;z-index:251738112" coordorigin="6597,135" coordsize="4104,1849">
            <v:shape id="_x0000_s1428" style="width:4010;height:258;left:6644;position:absolute;top:1422" coordorigin="6644,1423" coordsize="4010,258" path="m10614,1680l10654,1680m10447,1680l10529,1680m10279,1680l10362,1680m10112,1680l10194,1680m9944,1680l10029,1680m9777,1680l9862,1680m9609,1680l9694,1680m9444,1680l9527,1680m9277,1680l9359,1680m9109,1680l9192,1680m8942,1680l9027,1680m8774,1680l8859,1680m8607,1680l8692,1680m8442,1680l8524,1680m8274,1680l8357,1680m8107,1680l8189,1680m7939,1680l8022,1680m7772,1680l7857,1680m7604,1680l7689,1680m7437,1680l7522,1680m7272,1680l7354,1680m7104,1680l7187,1680m6937,1680l7019,1680m6769,1680l6854,1680m6644,1680l6687,1680m6769,1423l7019,1423m6644,1423l6687,1423e" filled="f" stroked="t" strokecolor="#d8d8d8" strokeweight="0.7pt">
              <v:stroke dashstyle="solid"/>
              <v:path arrowok="t"/>
            </v:shape>
            <v:line id="_x0000_s1429" style="position:absolute" from="6728,1304" to="6728,1937" stroked="t" strokecolor="#ddebef" strokeweight="4.13pt">
              <v:stroke dashstyle="solid"/>
            </v:line>
            <v:line id="_x0000_s1430" style="position:absolute" from="6895,1490" to="6895,1937" stroked="t" strokecolor="#ddebef" strokeweight="4.13pt">
              <v:stroke dashstyle="solid"/>
            </v:line>
            <v:line id="_x0000_s1431" style="position:absolute" from="7104,1423" to="7187,1423" stroked="t" strokecolor="#d8d8d8" strokeweight="0.7pt">
              <v:stroke dashstyle="solid"/>
            </v:line>
            <v:line id="_x0000_s1432" style="position:absolute" from="7062,1336" to="7062,1937" stroked="t" strokecolor="#ddebef" strokeweight="4.24pt">
              <v:stroke dashstyle="solid"/>
            </v:line>
            <v:line id="_x0000_s1433" style="position:absolute" from="7272,1423" to="7354,1423" stroked="t" strokecolor="#d8d8d8" strokeweight="0.7pt">
              <v:stroke dashstyle="solid"/>
            </v:line>
            <v:line id="_x0000_s1434" style="position:absolute" from="7229,1246" to="7229,1937" stroked="t" strokecolor="#ddebef" strokeweight="4.24pt">
              <v:stroke dashstyle="solid"/>
            </v:line>
            <v:shape id="_x0000_s1435" style="width:878;height:255;left:6644;position:absolute;top:1168" coordorigin="6644,1168" coordsize="878,255" path="m7437,1423l7522,1423m6644,1168l7522,1168e" filled="f" stroked="t" strokecolor="#d8d8d8" strokeweight="0.7pt">
              <v:stroke dashstyle="solid"/>
              <v:path arrowok="t"/>
            </v:shape>
            <v:line id="_x0000_s1436" style="position:absolute" from="7396,1179" to="7396,1937" stroked="t" strokecolor="#ddebef" strokeweight="4.13pt">
              <v:stroke dashstyle="solid"/>
            </v:line>
            <v:shape id="_x0000_s1437" style="width:85;height:255;left:7604;position:absolute;top:1168" coordorigin="7604,1168" coordsize="85,255" path="m7604,1423l7689,1423m7604,1168l7689,1168e" filled="f" stroked="t" strokecolor="#d8d8d8" strokeweight="0.7pt">
              <v:stroke dashstyle="solid"/>
              <v:path arrowok="t"/>
            </v:shape>
            <v:line id="_x0000_s1438" style="position:absolute" from="7563,1023" to="7563,1937" stroked="t" strokecolor="#ddebef" strokeweight="4.13pt">
              <v:stroke dashstyle="solid"/>
            </v:line>
            <v:shape id="_x0000_s1439" style="width:1213;height:512;left:6644;position:absolute;top:911" coordorigin="6644,911" coordsize="1213,512" path="m7772,1423l7857,1423m7772,1168l7857,1168m7772,911l7857,911m6644,911l7689,911e" filled="f" stroked="t" strokecolor="#d8d8d8" strokeweight="0.7pt">
              <v:stroke dashstyle="solid"/>
              <v:path arrowok="t"/>
            </v:shape>
            <v:line id="_x0000_s1440" style="position:absolute" from="7730,813" to="7730,1937" stroked="t" strokecolor="#ddebef" strokeweight="4.13pt">
              <v:stroke dashstyle="solid"/>
            </v:line>
            <v:shape id="_x0000_s1441" style="width:1713;height:767;left:6644;position:absolute;top:656" coordorigin="6644,656" coordsize="1713,767" path="m7939,1423l8022,1423m7939,1168l8022,1168m7939,911l8022,911m6644,656l8357,656e" filled="f" stroked="t" strokecolor="#d8d8d8" strokeweight="0.7pt">
              <v:stroke dashstyle="solid"/>
              <v:path arrowok="t"/>
            </v:shape>
            <v:line id="_x0000_s1442" style="position:absolute" from="7898,703" to="7898,1937" stroked="t" strokecolor="#ddebef" strokeweight="4.13pt">
              <v:stroke dashstyle="solid"/>
            </v:line>
            <v:shape id="_x0000_s1443" style="width:83;height:512;left:8106;position:absolute;top:911" coordorigin="8107,911" coordsize="83,512" path="m8107,1423l8189,1423m8107,1168l8189,1168m8107,911l8189,911e" filled="f" stroked="t" strokecolor="#d8d8d8" strokeweight="0.7pt">
              <v:stroke dashstyle="solid"/>
              <v:path arrowok="t"/>
            </v:shape>
            <v:line id="_x0000_s1444" style="position:absolute" from="8064,701" to="8064,1937" stroked="t" strokecolor="#ddebef" strokeweight="4.24pt">
              <v:stroke dashstyle="solid"/>
            </v:line>
            <v:shape id="_x0000_s1445" style="width:83;height:512;left:8274;position:absolute;top:911" coordorigin="8274,911" coordsize="83,512" path="m8274,1423l8357,1423m8274,1168l8357,1168m8274,911l8357,911e" filled="f" stroked="t" strokecolor="#d8d8d8" strokeweight="0.7pt">
              <v:stroke dashstyle="solid"/>
              <v:path arrowok="t"/>
            </v:shape>
            <v:line id="_x0000_s1446" style="position:absolute" from="8232,701" to="8232,1937" stroked="t" strokecolor="#ddebef" strokeweight="4.24pt">
              <v:stroke dashstyle="solid"/>
            </v:line>
            <v:shape id="_x0000_s1447" style="width:251;height:767;left:8441;position:absolute;top:656" coordorigin="8442,656" coordsize="251,767" path="m8442,1423l8524,1423m8442,1168l8524,1168m8442,911l8524,911m8442,656l8692,656e" filled="f" stroked="t" strokecolor="#d8d8d8" strokeweight="0.7pt">
              <v:stroke dashstyle="solid"/>
              <v:path arrowok="t"/>
            </v:shape>
            <v:line id="_x0000_s1448" style="position:absolute" from="8399,589" to="8399,1937" stroked="t" strokecolor="#ddebef" strokeweight="4.24pt">
              <v:stroke dashstyle="solid"/>
            </v:line>
            <v:shape id="_x0000_s1449" style="width:85;height:512;left:8606;position:absolute;top:911" coordorigin="8607,911" coordsize="85,512" path="m8607,1423l8692,1423m8607,1168l8692,1168m8607,911l8692,911e" filled="f" stroked="t" strokecolor="#d8d8d8" strokeweight="0.7pt">
              <v:stroke dashstyle="solid"/>
              <v:path arrowok="t"/>
            </v:shape>
            <v:line id="_x0000_s1450" style="position:absolute" from="8565,663" to="8565,1937" stroked="t" strokecolor="#ddebef" strokeweight="4.13pt">
              <v:stroke dashstyle="solid"/>
            </v:line>
            <v:shape id="_x0000_s1451" style="width:253;height:767;left:8774;position:absolute;top:656" coordorigin="8774,656" coordsize="253,767" path="m8774,1423l8859,1423m8774,1168l8859,1168m8774,911l8859,911m8774,656l9027,656e" filled="f" stroked="t" strokecolor="#d8d8d8" strokeweight="0.7pt">
              <v:stroke dashstyle="solid"/>
              <v:path arrowok="t"/>
            </v:shape>
            <v:line id="_x0000_s1452" style="position:absolute" from="8733,551" to="8733,1937" stroked="t" strokecolor="#ddebef" strokeweight="4.13pt">
              <v:stroke dashstyle="solid"/>
            </v:line>
            <v:shape id="_x0000_s1453" style="width:85;height:512;left:8941;position:absolute;top:911" coordorigin="8942,911" coordsize="85,512" path="m8942,1423l9027,1423m8942,1168l9027,1168m8942,911l9027,911e" filled="f" stroked="t" strokecolor="#d8d8d8" strokeweight="0.7pt">
              <v:stroke dashstyle="solid"/>
              <v:path arrowok="t"/>
            </v:shape>
            <v:line id="_x0000_s1454" style="position:absolute" from="8900,822" to="8900,1937" stroked="t" strokecolor="#ddebef" strokeweight="4.13pt">
              <v:stroke dashstyle="solid"/>
            </v:line>
            <v:shape id="_x0000_s1455" style="width:251;height:767;left:9109;position:absolute;top:656" coordorigin="9109,656" coordsize="251,767" path="m9109,1423l9192,1423m9109,1168l9192,1168m9109,911l9192,911m9109,656l9359,656e" filled="f" stroked="t" strokecolor="#d8d8d8" strokeweight="0.7pt">
              <v:stroke dashstyle="solid"/>
              <v:path arrowok="t"/>
            </v:shape>
            <v:line id="_x0000_s1456" style="position:absolute" from="6644,399" to="10654,399" stroked="t" strokecolor="#d8d8d8" strokeweight="0.7pt">
              <v:stroke dashstyle="solid"/>
            </v:line>
            <v:line id="_x0000_s1457" style="position:absolute" from="9068,442" to="9068,1937" stroked="t" strokecolor="#ddebef" strokeweight="4.13pt">
              <v:stroke dashstyle="solid"/>
            </v:line>
            <v:shape id="_x0000_s1458" style="width:83;height:512;left:9276;position:absolute;top:911" coordorigin="9277,911" coordsize="83,512" path="m9277,1423l9359,1423m9277,1168l9359,1168m9277,911l9359,911e" filled="f" stroked="t" strokecolor="#d8d8d8" strokeweight="0.7pt">
              <v:stroke dashstyle="solid"/>
              <v:path arrowok="t"/>
            </v:shape>
            <v:line id="_x0000_s1459" style="position:absolute" from="9234,654" to="9234,1937" stroked="t" strokecolor="#ddebef" strokeweight="4.24pt">
              <v:stroke dashstyle="solid"/>
            </v:line>
            <v:shape id="_x0000_s1460" style="width:1211;height:767;left:9444;position:absolute;top:656" coordorigin="9444,656" coordsize="1211,767" path="m9444,1423l9527,1423m9444,1168l9527,1168m9444,911l9527,911m9444,656l10654,656e" filled="f" stroked="t" strokecolor="#d8d8d8" strokeweight="0.7pt">
              <v:stroke dashstyle="solid"/>
              <v:path arrowok="t"/>
            </v:shape>
            <v:line id="_x0000_s1461" style="position:absolute" from="9402,542" to="9402,1937" stroked="t" strokecolor="#ddebef" strokeweight="4.24pt">
              <v:stroke dashstyle="solid"/>
            </v:line>
            <v:shape id="_x0000_s1462" style="width:1045;height:512;left:9609;position:absolute;top:911" coordorigin="9609,911" coordsize="1045,512" path="m9609,1423l9694,1423m9609,1168l9694,1168m9609,911l10654,911e" filled="f" stroked="t" strokecolor="#d8d8d8" strokeweight="0.7pt">
              <v:stroke dashstyle="solid"/>
              <v:path arrowok="t"/>
            </v:shape>
            <v:line id="_x0000_s1463" style="position:absolute" from="9568,712" to="9568,1937" stroked="t" strokecolor="#ddebef" strokeweight="4.13pt">
              <v:stroke dashstyle="solid"/>
            </v:line>
            <v:shape id="_x0000_s1464" style="width:85;height:255;left:9776;position:absolute;top:1168" coordorigin="9777,1168" coordsize="85,255" path="m9777,1423l9862,1423m9777,1168l9862,1168e" filled="f" stroked="t" strokecolor="#d8d8d8" strokeweight="0.7pt">
              <v:stroke dashstyle="solid"/>
              <v:path arrowok="t"/>
            </v:shape>
            <v:line id="_x0000_s1465" style="position:absolute" from="9735,958" to="9735,1937" stroked="t" strokecolor="#ddebef" strokeweight="4.13pt">
              <v:stroke dashstyle="solid"/>
            </v:line>
            <v:shape id="_x0000_s1466" style="width:85;height:255;left:9944;position:absolute;top:1168" coordorigin="9944,1168" coordsize="85,255" path="m9944,1423l10029,1423m9944,1168l10029,1168e" filled="f" stroked="t" strokecolor="#d8d8d8" strokeweight="0.7pt">
              <v:stroke dashstyle="solid"/>
              <v:path arrowok="t"/>
            </v:shape>
            <v:line id="_x0000_s1467" style="position:absolute" from="9903,1052" to="9903,1937" stroked="t" strokecolor="#ddebef" strokeweight="4.13pt">
              <v:stroke dashstyle="solid"/>
            </v:line>
            <v:shape id="_x0000_s1468" style="width:543;height:255;left:10111;position:absolute;top:1168" coordorigin="10112,1168" coordsize="543,255" path="m10112,1423l10194,1423m10112,1168l10654,1168e" filled="f" stroked="t" strokecolor="#d8d8d8" strokeweight="0.7pt">
              <v:stroke dashstyle="solid"/>
              <v:path arrowok="t"/>
            </v:shape>
            <v:line id="_x0000_s1469" style="position:absolute" from="10070,1108" to="10070,1937" stroked="t" strokecolor="#ddebef" strokeweight="4.13pt">
              <v:stroke dashstyle="solid"/>
            </v:line>
            <v:line id="_x0000_s1470" style="position:absolute" from="10279,1423" to="10362,1423" stroked="t" strokecolor="#d8d8d8" strokeweight="0.7pt">
              <v:stroke dashstyle="solid"/>
            </v:line>
            <v:line id="_x0000_s1471" style="position:absolute" from="10237,1228" to="10237,1937" stroked="t" strokecolor="#ddebef" strokeweight="4.24pt">
              <v:stroke dashstyle="solid"/>
            </v:line>
            <v:line id="_x0000_s1472" style="position:absolute" from="10447,1423" to="10529,1423" stroked="t" strokecolor="#d8d8d8" strokeweight="0.7pt">
              <v:stroke dashstyle="solid"/>
            </v:line>
            <v:line id="_x0000_s1473" style="position:absolute" from="10404,1222" to="10404,1937" stroked="t" strokecolor="#ddebef" strokeweight="4.24pt">
              <v:stroke dashstyle="solid"/>
            </v:line>
            <v:line id="_x0000_s1474" style="position:absolute" from="10614,1423" to="10654,1423" stroked="t" strokecolor="#d8d8d8" strokeweight="0.7pt">
              <v:stroke dashstyle="solid"/>
            </v:line>
            <v:line id="_x0000_s1475" style="position:absolute" from="10572,1175" to="10572,1937" stroked="t" strokecolor="#ddebef" strokeweight="4.24pt">
              <v:stroke dashstyle="solid"/>
            </v:line>
            <v:line id="_x0000_s1476" style="position:absolute" from="6644,142" to="10654,142" stroked="t" strokecolor="#d8d8d8" strokeweight="0.7pt">
              <v:stroke dashstyle="solid"/>
            </v:line>
            <v:line id="_x0000_s1477" style="position:absolute" from="10654,1937" to="10654,142" stroked="t" strokecolor="#7e7e7e" strokeweight="0.7pt">
              <v:stroke dashstyle="solid"/>
            </v:line>
            <v:shape id="_x0000_s1478" style="width:196814;height:7525760;position:absolute;top:-7512971" coordorigin="0,-7512971" coordsize="196814,7525760" path="m10654,1937l10701,1937m10654,1680l10701,1680m10654,1423l10701,1423m10654,1168l10701,1168m10654,911l10701,911m10654,656l10701,656m10654,399l10701,399m10654,142l10701,142e" filled="f" stroked="t" strokecolor="#7e7e7e" strokeweight="0.7pt">
              <v:stroke dashstyle="solid"/>
              <v:path arrowok="t"/>
            </v:shape>
            <v:line id="_x0000_s1479" style="position:absolute" from="6644,1937" to="6644,142" stroked="t" strokecolor="#7e7e7e" strokeweight="0.7pt">
              <v:stroke dashstyle="solid"/>
            </v:line>
            <v:shape id="_x0000_s1480" style="width:196814;height:7525760;position:absolute;top:-7512971" coordorigin="0,-7512971" coordsize="196814,7525760" path="m6597,1937l6644,1937m6597,1680l6644,1680m6597,1423l6644,1423m6597,1168l6644,1168m6597,911l6644,911m6597,656l6644,656m6597,399l6644,399m6597,142l6644,142e" filled="f" stroked="t" strokecolor="#7e7e7e" strokeweight="0.7pt">
              <v:stroke dashstyle="solid"/>
              <v:path arrowok="t"/>
            </v:shape>
            <v:shape id="_x0000_s1481" style="width:16832220;height:196814;position:absolute;top:-184025" coordorigin="0,-184024" coordsize="16832220,196814" path="m6644,1937l10654,1937m6644,1937l6644,1984m6812,1937l6812,1984m6979,1937l6979,1984m7144,1937l7144,1984m7312,1937l7312,1984m7479,1937l7479,1984m7647,1937l7647,1984m7814,1937l7814,1984m7982,1937l7982,1984m8149,1937l8149,1984m8314,1937l8314,1984m8482,1937l8482,1984m8649,1937l8649,1984m8817,1937l8817,1984m8984,1937l8984,1984m9152,1937l9152,1984m9319,1937l9319,1984m9484,1937l9484,1984m9652,1937l9652,1984m9819,1937l9819,1984m9987,1937l9987,1984m10154,1937l10154,1984m10321,1937l10321,1984m10487,1937l10487,1984m10654,1937l10654,1984e" filled="f" stroked="t" strokecolor="#7e7e7e" strokeweight="0.7pt">
              <v:stroke dashstyle="solid"/>
              <v:path arrowok="t"/>
            </v:shape>
            <v:shape id="_x0000_s1482" style="width:3843;height:331;left:6728;position:absolute;top:1245" coordorigin="6728,1245" coordsize="3843,331" path="m6728,1516l6895,1576,7063,1245,7063,1245,7228,1348,7396,1375,7563,1319,7730,1306,7898,1375,8065,1424,8233,1424,8398,1377,8565,1453,8733,1379,8900,1525,9068,1247,9235,1498,9401,1379,9568,1487,9735,1527,9903,1473,10070,1455,10238,1498,10405,1420,10570,1390e" filled="f" stroked="t" strokecolor="#a8cced" strokeweight="1.63pt">
              <v:stroke dashstyle="solid"/>
              <v:path arrowok="t"/>
            </v:shape>
            <v:shape id="_x0000_s1483" style="width:3843;height:1008;left:6728;position:absolute;top:657" coordorigin="6728,657" coordsize="3843,1008" path="m6728,1223l6728,1223,6895,1404,7063,1151,7228,1187,7396,1037,7563,1100,7730,821,7898,930,8065,932,8233,905,8398,897,8565,1087,8733,814,8900,657,8900,657,9068,662,9235,984,9401,993,9568,1250,9735,1491,9903,1569,10070,1594,10238,1643,10405,1665,10570,1630e" filled="f" stroked="t" strokecolor="#1f5ea0" strokeweight="1.63pt">
              <v:stroke dashstyle="solid"/>
              <v:path arrowok="t"/>
            </v:shape>
          </v:group>
        </w:pict>
      </w:r>
      <w:r>
        <w:pict>
          <v:line id="_x0000_s1484" style="mso-position-horizontal-relative:page;position:absolute;z-index:251739136" from="334.35pt,-3.9pt" to="352.2pt,-3.9pt" stroked="t" strokecolor="#ddebef" strokeweight="4.13pt">
            <v:stroke dashstyle="solid"/>
          </v:line>
        </w:pict>
      </w:r>
      <w:r>
        <w:pict>
          <v:line id="_x0000_s1485" style="mso-position-horizontal-relative:page;position:absolute;z-index:-251582464" from="438pt,-3.9pt" to="455.85pt,-3.9pt" stroked="t" strokecolor="#a8cced" strokeweight="1.63pt">
            <v:stroke dashstyle="solid"/>
          </v:line>
        </w:pict>
      </w:r>
      <w:r>
        <w:pict>
          <v:line id="_x0000_s1486" style="mso-position-horizontal-relative:page;position:absolute;z-index:-251581440" from="489.55pt,-3.9pt" to="507.4pt,-3.9pt" stroked="t" strokecolor="#1f5ea0" strokeweight="1.63pt">
            <v:stroke dashstyle="solid"/>
          </v:line>
        </w:pict>
      </w:r>
      <w:r>
        <w:rPr>
          <w:rFonts w:ascii="Calibri"/>
          <w:sz w:val="15"/>
        </w:rPr>
        <w:t>250</w:t>
      </w:r>
    </w:p>
    <w:p>
      <w:pPr>
        <w:spacing w:before="73"/>
        <w:ind w:left="4245" w:right="0" w:firstLine="0"/>
        <w:jc w:val="left"/>
        <w:rPr>
          <w:rFonts w:ascii="Calibri"/>
          <w:sz w:val="15"/>
        </w:rPr>
      </w:pPr>
      <w:r>
        <w:rPr>
          <w:rFonts w:ascii="Calibri"/>
          <w:sz w:val="15"/>
        </w:rPr>
        <w:t>200</w:t>
      </w:r>
    </w:p>
    <w:p>
      <w:pPr>
        <w:spacing w:before="73"/>
        <w:ind w:left="4245" w:right="0" w:firstLine="0"/>
        <w:jc w:val="left"/>
        <w:rPr>
          <w:rFonts w:ascii="Calibri"/>
          <w:sz w:val="15"/>
        </w:rPr>
      </w:pPr>
      <w:r>
        <w:rPr>
          <w:rFonts w:ascii="Calibri"/>
          <w:sz w:val="15"/>
        </w:rPr>
        <w:t>150</w:t>
      </w:r>
    </w:p>
    <w:p>
      <w:pPr>
        <w:spacing w:before="73"/>
        <w:ind w:left="4245" w:right="0" w:firstLine="0"/>
        <w:jc w:val="left"/>
        <w:rPr>
          <w:rFonts w:ascii="Calibri"/>
          <w:sz w:val="15"/>
        </w:rPr>
      </w:pPr>
      <w:r>
        <w:rPr>
          <w:rFonts w:ascii="Calibri"/>
          <w:sz w:val="15"/>
        </w:rPr>
        <w:t>100</w:t>
      </w:r>
    </w:p>
    <w:p>
      <w:pPr>
        <w:spacing w:before="73"/>
        <w:ind w:left="4245" w:right="0" w:firstLine="0"/>
        <w:jc w:val="left"/>
        <w:rPr>
          <w:rFonts w:ascii="Calibri"/>
          <w:sz w:val="15"/>
        </w:rPr>
      </w:pPr>
      <w:r>
        <w:rPr>
          <w:rFonts w:ascii="Calibri"/>
          <w:sz w:val="15"/>
        </w:rPr>
        <w:t>50</w:t>
      </w:r>
    </w:p>
    <w:p>
      <w:pPr>
        <w:spacing w:before="73"/>
        <w:ind w:left="4245" w:right="0" w:firstLine="0"/>
        <w:jc w:val="left"/>
        <w:rPr>
          <w:rFonts w:ascii="Calibri"/>
          <w:sz w:val="15"/>
        </w:rPr>
      </w:pPr>
      <w:r>
        <w:rPr>
          <w:rFonts w:ascii="Calibri"/>
          <w:w w:val="99"/>
          <w:sz w:val="15"/>
        </w:rPr>
        <w:t>0</w:t>
      </w:r>
    </w:p>
    <w:p>
      <w:pPr>
        <w:spacing w:before="73"/>
        <w:ind w:left="4245" w:right="0" w:firstLine="0"/>
        <w:jc w:val="left"/>
        <w:rPr>
          <w:rFonts w:ascii="Calibri"/>
          <w:sz w:val="15"/>
        </w:rPr>
      </w:pPr>
      <w:r>
        <w:rPr>
          <w:rFonts w:ascii="Calibri"/>
          <w:sz w:val="15"/>
        </w:rPr>
        <w:t>-50</w:t>
      </w:r>
    </w:p>
    <w:p>
      <w:pPr>
        <w:spacing w:before="73"/>
        <w:ind w:left="4245" w:right="0" w:firstLine="0"/>
        <w:jc w:val="left"/>
        <w:rPr>
          <w:rFonts w:ascii="Calibri"/>
          <w:sz w:val="15"/>
        </w:rPr>
      </w:pPr>
      <w:r>
        <w:pict>
          <v:shape id="_x0000_s1487" type="#_x0000_t202" style="width:201.7pt;height:26.95pt;margin-top:12.46pt;margin-left:332.27pt;mso-position-horizontal-relative:page;position:absolute;z-index:251740160" filled="f" stroked="f">
            <v:textbox style="layout-flow:vertical;mso-layout-flow-alt:bottom-to-top" inset="0,0,0,0">
              <w:txbxContent>
                <w:p>
                  <w:pPr>
                    <w:spacing w:before="0" w:line="164" w:lineRule="exact"/>
                    <w:ind w:left="20" w:right="0" w:firstLine="0"/>
                    <w:jc w:val="left"/>
                    <w:rPr>
                      <w:rFonts w:ascii="Calibri"/>
                      <w:sz w:val="15"/>
                    </w:rPr>
                  </w:pPr>
                  <w:r>
                    <w:rPr>
                      <w:rFonts w:ascii="Calibri"/>
                      <w:sz w:val="15"/>
                    </w:rPr>
                    <w:t>2022-01</w:t>
                  </w:r>
                </w:p>
                <w:p>
                  <w:pPr>
                    <w:spacing w:before="0" w:line="167" w:lineRule="exact"/>
                    <w:ind w:left="20" w:right="0" w:firstLine="0"/>
                    <w:jc w:val="left"/>
                    <w:rPr>
                      <w:rFonts w:ascii="Calibri"/>
                      <w:sz w:val="15"/>
                    </w:rPr>
                  </w:pPr>
                  <w:r>
                    <w:rPr>
                      <w:rFonts w:ascii="Calibri"/>
                      <w:sz w:val="15"/>
                    </w:rPr>
                    <w:t>2022-02</w:t>
                  </w:r>
                </w:p>
                <w:p>
                  <w:pPr>
                    <w:spacing w:before="0" w:line="167" w:lineRule="exact"/>
                    <w:ind w:left="20" w:right="0" w:firstLine="0"/>
                    <w:jc w:val="left"/>
                    <w:rPr>
                      <w:rFonts w:ascii="Calibri"/>
                      <w:sz w:val="15"/>
                    </w:rPr>
                  </w:pPr>
                  <w:r>
                    <w:rPr>
                      <w:rFonts w:ascii="Calibri"/>
                      <w:sz w:val="15"/>
                    </w:rPr>
                    <w:t>2022-03</w:t>
                  </w:r>
                </w:p>
                <w:p>
                  <w:pPr>
                    <w:spacing w:before="0" w:line="167" w:lineRule="exact"/>
                    <w:ind w:left="20" w:right="0" w:firstLine="0"/>
                    <w:jc w:val="left"/>
                    <w:rPr>
                      <w:rFonts w:ascii="Calibri"/>
                      <w:sz w:val="15"/>
                    </w:rPr>
                  </w:pPr>
                  <w:r>
                    <w:rPr>
                      <w:rFonts w:ascii="Calibri"/>
                      <w:sz w:val="15"/>
                    </w:rPr>
                    <w:t>2022-04</w:t>
                  </w:r>
                </w:p>
                <w:p>
                  <w:pPr>
                    <w:spacing w:before="0" w:line="167" w:lineRule="exact"/>
                    <w:ind w:left="20" w:right="0" w:firstLine="0"/>
                    <w:jc w:val="left"/>
                    <w:rPr>
                      <w:rFonts w:ascii="Calibri"/>
                      <w:sz w:val="15"/>
                    </w:rPr>
                  </w:pPr>
                  <w:r>
                    <w:rPr>
                      <w:rFonts w:ascii="Calibri"/>
                      <w:sz w:val="15"/>
                    </w:rPr>
                    <w:t>2022-05</w:t>
                  </w:r>
                </w:p>
                <w:p>
                  <w:pPr>
                    <w:spacing w:before="0" w:line="167" w:lineRule="exact"/>
                    <w:ind w:left="20" w:right="0" w:firstLine="0"/>
                    <w:jc w:val="left"/>
                    <w:rPr>
                      <w:rFonts w:ascii="Calibri"/>
                      <w:sz w:val="15"/>
                    </w:rPr>
                  </w:pPr>
                  <w:r>
                    <w:rPr>
                      <w:rFonts w:ascii="Calibri"/>
                      <w:sz w:val="15"/>
                    </w:rPr>
                    <w:t>2022-06</w:t>
                  </w:r>
                </w:p>
                <w:p>
                  <w:pPr>
                    <w:spacing w:before="0" w:line="167" w:lineRule="exact"/>
                    <w:ind w:left="20" w:right="0" w:firstLine="0"/>
                    <w:jc w:val="left"/>
                    <w:rPr>
                      <w:rFonts w:ascii="Calibri"/>
                      <w:sz w:val="15"/>
                    </w:rPr>
                  </w:pPr>
                  <w:r>
                    <w:rPr>
                      <w:rFonts w:ascii="Calibri"/>
                      <w:sz w:val="15"/>
                    </w:rPr>
                    <w:t>2022-07</w:t>
                  </w:r>
                </w:p>
                <w:p>
                  <w:pPr>
                    <w:spacing w:before="0" w:line="167" w:lineRule="exact"/>
                    <w:ind w:left="20" w:right="0" w:firstLine="0"/>
                    <w:jc w:val="left"/>
                    <w:rPr>
                      <w:rFonts w:ascii="Calibri"/>
                      <w:sz w:val="15"/>
                    </w:rPr>
                  </w:pPr>
                  <w:r>
                    <w:rPr>
                      <w:rFonts w:ascii="Calibri"/>
                      <w:sz w:val="15"/>
                    </w:rPr>
                    <w:t>2022-08</w:t>
                  </w:r>
                </w:p>
                <w:p>
                  <w:pPr>
                    <w:spacing w:before="0" w:line="167" w:lineRule="exact"/>
                    <w:ind w:left="20" w:right="0" w:firstLine="0"/>
                    <w:jc w:val="left"/>
                    <w:rPr>
                      <w:rFonts w:ascii="Calibri"/>
                      <w:sz w:val="15"/>
                    </w:rPr>
                  </w:pPr>
                  <w:r>
                    <w:rPr>
                      <w:rFonts w:ascii="Calibri"/>
                      <w:sz w:val="15"/>
                    </w:rPr>
                    <w:t>2022-09</w:t>
                  </w:r>
                </w:p>
                <w:p>
                  <w:pPr>
                    <w:spacing w:before="0" w:line="167" w:lineRule="exact"/>
                    <w:ind w:left="20" w:right="0" w:firstLine="0"/>
                    <w:jc w:val="left"/>
                    <w:rPr>
                      <w:rFonts w:ascii="Calibri"/>
                      <w:sz w:val="15"/>
                    </w:rPr>
                  </w:pPr>
                  <w:r>
                    <w:rPr>
                      <w:rFonts w:ascii="Calibri"/>
                      <w:sz w:val="15"/>
                    </w:rPr>
                    <w:t>2022-10</w:t>
                  </w:r>
                </w:p>
                <w:p>
                  <w:pPr>
                    <w:spacing w:before="0" w:line="167" w:lineRule="exact"/>
                    <w:ind w:left="20" w:right="0" w:firstLine="0"/>
                    <w:jc w:val="left"/>
                    <w:rPr>
                      <w:rFonts w:ascii="Calibri"/>
                      <w:sz w:val="15"/>
                    </w:rPr>
                  </w:pPr>
                  <w:r>
                    <w:rPr>
                      <w:rFonts w:ascii="Calibri"/>
                      <w:sz w:val="15"/>
                    </w:rPr>
                    <w:t>2022-11</w:t>
                  </w:r>
                </w:p>
                <w:p>
                  <w:pPr>
                    <w:spacing w:before="0" w:line="167" w:lineRule="exact"/>
                    <w:ind w:left="20" w:right="0" w:firstLine="0"/>
                    <w:jc w:val="left"/>
                    <w:rPr>
                      <w:rFonts w:ascii="Calibri"/>
                      <w:sz w:val="15"/>
                    </w:rPr>
                  </w:pPr>
                  <w:r>
                    <w:rPr>
                      <w:rFonts w:ascii="Calibri"/>
                      <w:sz w:val="15"/>
                    </w:rPr>
                    <w:t>2022-12</w:t>
                  </w:r>
                </w:p>
                <w:p>
                  <w:pPr>
                    <w:spacing w:before="0" w:line="167" w:lineRule="exact"/>
                    <w:ind w:left="20" w:right="0" w:firstLine="0"/>
                    <w:jc w:val="left"/>
                    <w:rPr>
                      <w:rFonts w:ascii="Calibri"/>
                      <w:sz w:val="15"/>
                    </w:rPr>
                  </w:pPr>
                  <w:r>
                    <w:rPr>
                      <w:rFonts w:ascii="Calibri"/>
                      <w:sz w:val="15"/>
                    </w:rPr>
                    <w:t>2023-01</w:t>
                  </w:r>
                </w:p>
                <w:p>
                  <w:pPr>
                    <w:spacing w:before="0" w:line="167" w:lineRule="exact"/>
                    <w:ind w:left="20" w:right="0" w:firstLine="0"/>
                    <w:jc w:val="left"/>
                    <w:rPr>
                      <w:rFonts w:ascii="Calibri"/>
                      <w:sz w:val="15"/>
                    </w:rPr>
                  </w:pPr>
                  <w:r>
                    <w:rPr>
                      <w:rFonts w:ascii="Calibri"/>
                      <w:sz w:val="15"/>
                    </w:rPr>
                    <w:t>2023-02</w:t>
                  </w:r>
                </w:p>
                <w:p>
                  <w:pPr>
                    <w:spacing w:before="0" w:line="167" w:lineRule="exact"/>
                    <w:ind w:left="20" w:right="0" w:firstLine="0"/>
                    <w:jc w:val="left"/>
                    <w:rPr>
                      <w:rFonts w:ascii="Calibri"/>
                      <w:sz w:val="15"/>
                    </w:rPr>
                  </w:pPr>
                  <w:r>
                    <w:rPr>
                      <w:rFonts w:ascii="Calibri"/>
                      <w:sz w:val="15"/>
                    </w:rPr>
                    <w:t>2023-03</w:t>
                  </w:r>
                </w:p>
                <w:p>
                  <w:pPr>
                    <w:spacing w:before="0" w:line="167" w:lineRule="exact"/>
                    <w:ind w:left="20" w:right="0" w:firstLine="0"/>
                    <w:jc w:val="left"/>
                    <w:rPr>
                      <w:rFonts w:ascii="Calibri"/>
                      <w:sz w:val="15"/>
                    </w:rPr>
                  </w:pPr>
                  <w:r>
                    <w:rPr>
                      <w:rFonts w:ascii="Calibri"/>
                      <w:sz w:val="15"/>
                    </w:rPr>
                    <w:t>2023-04</w:t>
                  </w:r>
                </w:p>
                <w:p>
                  <w:pPr>
                    <w:spacing w:before="0" w:line="167" w:lineRule="exact"/>
                    <w:ind w:left="20" w:right="0" w:firstLine="0"/>
                    <w:jc w:val="left"/>
                    <w:rPr>
                      <w:rFonts w:ascii="Calibri"/>
                      <w:sz w:val="15"/>
                    </w:rPr>
                  </w:pPr>
                  <w:r>
                    <w:rPr>
                      <w:rFonts w:ascii="Calibri"/>
                      <w:sz w:val="15"/>
                    </w:rPr>
                    <w:t>2023-05</w:t>
                  </w:r>
                </w:p>
                <w:p>
                  <w:pPr>
                    <w:spacing w:before="0" w:line="167" w:lineRule="exact"/>
                    <w:ind w:left="20" w:right="0" w:firstLine="0"/>
                    <w:jc w:val="left"/>
                    <w:rPr>
                      <w:rFonts w:ascii="Calibri"/>
                      <w:sz w:val="15"/>
                    </w:rPr>
                  </w:pPr>
                  <w:r>
                    <w:rPr>
                      <w:rFonts w:ascii="Calibri"/>
                      <w:sz w:val="15"/>
                    </w:rPr>
                    <w:t>2023-06</w:t>
                  </w:r>
                </w:p>
                <w:p>
                  <w:pPr>
                    <w:spacing w:before="0" w:line="167" w:lineRule="exact"/>
                    <w:ind w:left="20" w:right="0" w:firstLine="0"/>
                    <w:jc w:val="left"/>
                    <w:rPr>
                      <w:rFonts w:ascii="Calibri"/>
                      <w:sz w:val="15"/>
                    </w:rPr>
                  </w:pPr>
                  <w:r>
                    <w:rPr>
                      <w:rFonts w:ascii="Calibri"/>
                      <w:sz w:val="15"/>
                    </w:rPr>
                    <w:t>2023-07</w:t>
                  </w:r>
                </w:p>
                <w:p>
                  <w:pPr>
                    <w:spacing w:before="0" w:line="167" w:lineRule="exact"/>
                    <w:ind w:left="20" w:right="0" w:firstLine="0"/>
                    <w:jc w:val="left"/>
                    <w:rPr>
                      <w:rFonts w:ascii="Calibri"/>
                      <w:sz w:val="15"/>
                    </w:rPr>
                  </w:pPr>
                  <w:r>
                    <w:rPr>
                      <w:rFonts w:ascii="Calibri"/>
                      <w:sz w:val="15"/>
                    </w:rPr>
                    <w:t>2023-08</w:t>
                  </w:r>
                </w:p>
                <w:p>
                  <w:pPr>
                    <w:spacing w:before="0" w:line="167" w:lineRule="exact"/>
                    <w:ind w:left="20" w:right="0" w:firstLine="0"/>
                    <w:jc w:val="left"/>
                    <w:rPr>
                      <w:rFonts w:ascii="Calibri"/>
                      <w:sz w:val="15"/>
                    </w:rPr>
                  </w:pPr>
                  <w:r>
                    <w:rPr>
                      <w:rFonts w:ascii="Calibri"/>
                      <w:sz w:val="15"/>
                    </w:rPr>
                    <w:t>2023-09</w:t>
                  </w:r>
                </w:p>
                <w:p>
                  <w:pPr>
                    <w:spacing w:before="0" w:line="167" w:lineRule="exact"/>
                    <w:ind w:left="20" w:right="0" w:firstLine="0"/>
                    <w:jc w:val="left"/>
                    <w:rPr>
                      <w:rFonts w:ascii="Calibri"/>
                      <w:sz w:val="15"/>
                    </w:rPr>
                  </w:pPr>
                  <w:r>
                    <w:rPr>
                      <w:rFonts w:ascii="Calibri"/>
                      <w:sz w:val="15"/>
                    </w:rPr>
                    <w:t>2023-10</w:t>
                  </w:r>
                </w:p>
                <w:p>
                  <w:pPr>
                    <w:spacing w:before="0" w:line="167" w:lineRule="exact"/>
                    <w:ind w:left="20" w:right="0" w:firstLine="0"/>
                    <w:jc w:val="left"/>
                    <w:rPr>
                      <w:rFonts w:ascii="Calibri"/>
                      <w:sz w:val="15"/>
                    </w:rPr>
                  </w:pPr>
                  <w:r>
                    <w:rPr>
                      <w:rFonts w:ascii="Calibri"/>
                      <w:sz w:val="15"/>
                    </w:rPr>
                    <w:t>2023-11</w:t>
                  </w:r>
                </w:p>
                <w:p>
                  <w:pPr>
                    <w:spacing w:before="0" w:line="175" w:lineRule="exact"/>
                    <w:ind w:left="20" w:right="0" w:firstLine="0"/>
                    <w:jc w:val="left"/>
                    <w:rPr>
                      <w:rFonts w:ascii="Calibri"/>
                      <w:sz w:val="15"/>
                    </w:rPr>
                  </w:pPr>
                  <w:r>
                    <w:rPr>
                      <w:rFonts w:ascii="Calibri"/>
                      <w:sz w:val="15"/>
                    </w:rPr>
                    <w:t>2023-12</w:t>
                  </w:r>
                </w:p>
              </w:txbxContent>
            </v:textbox>
          </v:shape>
        </w:pict>
      </w:r>
      <w:r>
        <w:rPr>
          <w:rFonts w:ascii="Calibri"/>
          <w:sz w:val="15"/>
        </w:rPr>
        <w:t>-100</w:t>
      </w:r>
    </w:p>
    <w:p>
      <w:pPr>
        <w:spacing w:after="0"/>
        <w:jc w:val="left"/>
        <w:rPr>
          <w:rFonts w:ascii="Calibri"/>
          <w:sz w:val="15"/>
        </w:rPr>
        <w:sectPr>
          <w:headerReference w:type="default" r:id="rId92"/>
          <w:footerReference w:type="default" r:id="rId93"/>
          <w:type w:val="continuous"/>
          <w:pgSz w:w="12240" w:h="15840"/>
          <w:pgMar w:top="1500" w:right="0" w:bottom="280" w:left="0" w:header="708" w:footer="708"/>
          <w:pgNumType w:start="36"/>
          <w:cols w:num="4" w:space="708" w:equalWidth="0">
            <w:col w:w="1443" w:space="40"/>
            <w:col w:w="3728" w:space="39"/>
            <w:col w:w="1257" w:space="40"/>
            <w:col w:w="5693" w:space="0"/>
          </w:cols>
        </w:sectPr>
      </w:pPr>
    </w:p>
    <w:p>
      <w:pPr>
        <w:pStyle w:val="BodyText"/>
        <w:spacing w:before="6"/>
        <w:rPr>
          <w:rFonts w:ascii="Calibri"/>
          <w:sz w:val="13"/>
        </w:rPr>
      </w:pPr>
    </w:p>
    <w:p>
      <w:pPr>
        <w:tabs>
          <w:tab w:val="left" w:pos="6317"/>
        </w:tabs>
        <w:spacing w:line="20" w:lineRule="exact"/>
        <w:ind w:left="1143" w:right="0" w:firstLine="0"/>
        <w:rPr>
          <w:rFonts w:ascii="Calibri"/>
          <w:sz w:val="2"/>
        </w:rPr>
      </w:pPr>
      <w:r>
        <w:rPr>
          <w:rFonts w:ascii="Calibri"/>
          <w:sz w:val="2"/>
        </w:rPr>
        <w:pict>
          <v:group id="_x0000_i1488" style="width:236.9pt;height:0.75pt;mso-position-horizontal-relative:char;mso-position-vertical-relative:line" coordorigin="0,0" coordsize="4738,15">
            <v:line id="_x0000_s1489" style="position:absolute" from="0,7" to="4738,7" stroked="t" strokecolor="black" strokeweight="0.75pt">
              <v:stroke dashstyle="solid"/>
            </v:line>
            <w10:wrap type="none"/>
          </v:group>
        </w:pict>
      </w:r>
      <w:r>
        <w:rPr>
          <w:rFonts w:ascii="Calibri"/>
          <w:sz w:val="2"/>
        </w:rPr>
        <w:tab/>
      </w:r>
      <w:r>
        <w:rPr>
          <w:rFonts w:ascii="Calibri"/>
          <w:sz w:val="2"/>
        </w:rPr>
        <w:pict>
          <v:group id="_x0000_i1490" style="width:238.55pt;height:0.75pt;mso-position-horizontal-relative:char;mso-position-vertical-relative:line" coordorigin="0,0" coordsize="4771,15">
            <v:line id="_x0000_s1491" style="position:absolute" from="0,7" to="4771,7" stroked="t" strokecolor="black" strokeweight="0.75pt">
              <v:stroke dashstyle="solid"/>
            </v:line>
            <w10:wrap type="none"/>
          </v:group>
        </w:pict>
      </w:r>
    </w:p>
    <w:p>
      <w:pPr>
        <w:tabs>
          <w:tab w:val="left" w:pos="6324"/>
        </w:tabs>
        <w:spacing w:before="0" w:line="182" w:lineRule="exact"/>
        <w:ind w:left="1150" w:right="0" w:firstLine="0"/>
        <w:jc w:val="left"/>
        <w:rPr>
          <w:sz w:val="15"/>
        </w:rPr>
      </w:pPr>
      <w:r>
        <w:t xml:space="preserve">资料来源: 海关总署， </w:t>
        <w:tab/>
        <w:t xml:space="preserve">资料来源: 海关总署， </w:t>
      </w:r>
    </w:p>
    <w:p>
      <w:pPr>
        <w:pStyle w:val="BodyText"/>
        <w:spacing w:before="3"/>
        <w:rPr>
          <w:sz w:val="18"/>
        </w:rPr>
      </w:pPr>
    </w:p>
    <w:p>
      <w:pPr>
        <w:pStyle w:val="BodyText"/>
        <w:spacing w:before="64" w:line="232" w:lineRule="auto"/>
        <w:ind w:left="1151" w:right="3910"/>
        <w:jc w:val="both"/>
      </w:pPr>
      <w:r>
        <w:rPr>
          <w:color w:val="262626"/>
        </w:rPr>
        <w:t>分出口地区来看，</w:t>
      </w:r>
      <w:r>
        <w:rPr>
          <w:rFonts w:ascii="Calibri" w:eastAsia="Calibri"/>
          <w:color w:val="262626"/>
        </w:rPr>
        <w:t>2023</w:t>
      </w:r>
      <w:r>
        <w:rPr>
          <w:color w:val="262626"/>
        </w:rPr>
        <w:t>年欧洲占出口金额</w:t>
      </w:r>
      <w:r>
        <w:rPr>
          <w:rFonts w:ascii="Calibri" w:eastAsia="Calibri"/>
          <w:color w:val="262626"/>
        </w:rPr>
        <w:t>56%</w:t>
      </w:r>
      <w:r>
        <w:rPr>
          <w:color w:val="262626"/>
        </w:rPr>
        <w:t>，为主要出口市场，南非、巴西占比约</w:t>
      </w:r>
      <w:r>
        <w:rPr>
          <w:rFonts w:ascii="Calibri" w:eastAsia="Calibri"/>
          <w:color w:val="262626"/>
        </w:rPr>
        <w:t>5%</w:t>
      </w:r>
      <w:r>
        <w:rPr>
          <w:color w:val="262626"/>
        </w:rPr>
        <w:t>，美国、印度、澳大利亚、日本占比均在</w:t>
      </w:r>
      <w:r>
        <w:rPr>
          <w:rFonts w:ascii="Calibri" w:eastAsia="Calibri"/>
          <w:color w:val="262626"/>
        </w:rPr>
        <w:t>2-3%</w:t>
      </w:r>
      <w:r>
        <w:rPr>
          <w:color w:val="262626"/>
        </w:rPr>
        <w:t>，其他地区占比</w:t>
      </w:r>
      <w:r>
        <w:rPr>
          <w:rFonts w:ascii="Calibri" w:eastAsia="Calibri"/>
          <w:color w:val="262626"/>
        </w:rPr>
        <w:t>23%</w:t>
      </w:r>
      <w:r>
        <w:rPr>
          <w:color w:val="262626"/>
        </w:rPr>
        <w:t>； 欧洲出口金额增长</w:t>
      </w:r>
      <w:r>
        <w:rPr>
          <w:rFonts w:ascii="Calibri" w:eastAsia="Calibri"/>
          <w:color w:val="262626"/>
        </w:rPr>
        <w:t>11%</w:t>
      </w:r>
      <w:r>
        <w:rPr>
          <w:color w:val="262626"/>
        </w:rPr>
        <w:t>，贡献超一半增量，南非大增</w:t>
      </w:r>
      <w:r>
        <w:rPr>
          <w:rFonts w:ascii="Calibri" w:eastAsia="Calibri"/>
          <w:color w:val="262626"/>
        </w:rPr>
        <w:t>99%</w:t>
      </w:r>
      <w:r>
        <w:rPr>
          <w:color w:val="262626"/>
        </w:rPr>
        <w:t>，但近期需求已大幅衰减，巴西、美国下降</w:t>
      </w:r>
      <w:r>
        <w:rPr>
          <w:rFonts w:ascii="Calibri" w:eastAsia="Calibri"/>
          <w:color w:val="262626"/>
        </w:rPr>
        <w:t>33%</w:t>
      </w:r>
      <w:r>
        <w:rPr>
          <w:color w:val="262626"/>
        </w:rPr>
        <w:t>、</w:t>
      </w:r>
      <w:r>
        <w:rPr>
          <w:rFonts w:ascii="Calibri" w:eastAsia="Calibri"/>
          <w:color w:val="262626"/>
        </w:rPr>
        <w:t>28%</w:t>
      </w:r>
      <w:r>
        <w:rPr>
          <w:color w:val="262626"/>
        </w:rPr>
        <w:t>，印度、日本增长</w:t>
      </w:r>
      <w:r>
        <w:rPr>
          <w:rFonts w:ascii="Calibri" w:eastAsia="Calibri"/>
          <w:color w:val="262626"/>
        </w:rPr>
        <w:t>5%</w:t>
      </w:r>
      <w:r>
        <w:rPr>
          <w:color w:val="262626"/>
        </w:rPr>
        <w:t>、</w:t>
      </w:r>
      <w:r>
        <w:rPr>
          <w:rFonts w:ascii="Calibri" w:eastAsia="Calibri"/>
          <w:color w:val="262626"/>
        </w:rPr>
        <w:t>1%</w:t>
      </w:r>
      <w:r>
        <w:rPr>
          <w:color w:val="262626"/>
        </w:rPr>
        <w:t>，其他地区则增长</w:t>
      </w:r>
      <w:r>
        <w:rPr>
          <w:rFonts w:ascii="Calibri" w:eastAsia="Calibri"/>
          <w:color w:val="262626"/>
        </w:rPr>
        <w:t>31%</w:t>
      </w:r>
      <w:r>
        <w:rPr>
          <w:color w:val="262626"/>
        </w:rPr>
        <w:t>。</w:t>
      </w:r>
    </w:p>
    <w:p>
      <w:pPr>
        <w:pStyle w:val="Heading3"/>
        <w:tabs>
          <w:tab w:val="left" w:pos="6324"/>
        </w:tabs>
        <w:spacing w:before="197"/>
      </w:pPr>
      <w:r>
        <w:pict>
          <v:line id="_x0000_s1492" style="mso-position-horizontal-relative:page;position:absolute;z-index:251743232" from="57.55pt,30.25pt" to="294.45pt,30.25pt" stroked="t" strokecolor="black" strokeweight="0.75pt">
            <v:stroke dashstyle="solid"/>
          </v:line>
        </w:pict>
      </w:r>
      <w:r>
        <w:pict>
          <v:group id="_x0000_s1493" style="width:238.55pt;height:141pt;margin-top:29.86pt;margin-left:316.25pt;mso-position-horizontal-relative:page;position:absolute;z-index:251744256" coordorigin="6325,597" coordsize="4771,2820">
            <v:line id="_x0000_s1494" style="position:absolute" from="6325,605" to="11096,605" stroked="t" strokecolor="black" strokeweight="0.75pt">
              <v:stroke dashstyle="solid"/>
            </v:line>
            <v:shape id="_x0000_s1495" type="#_x0000_t75" style="width:4663;height:2805;left:6433;position:absolute;top:612" stroked="f">
              <v:imagedata r:id="rId94" o:title=""/>
            </v:shape>
          </v:group>
        </w:pict>
      </w:r>
      <w:r>
        <w:drawing>
          <wp:anchor distT="0" distB="0" distL="0" distR="0" simplePos="0" relativeHeight="251745280" behindDoc="0" locked="0" layoutInCell="1" allowOverlap="1">
            <wp:simplePos x="0" y="0"/>
            <wp:positionH relativeFrom="page">
              <wp:posOffset>903106</wp:posOffset>
            </wp:positionH>
            <wp:positionV relativeFrom="paragraph">
              <wp:posOffset>468054</wp:posOffset>
            </wp:positionV>
            <wp:extent cx="2797925" cy="1676400"/>
            <wp:effectExtent l="0" t="0" r="0" b="0"/>
            <wp:wrapNone/>
            <wp:docPr id="19"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jpeg"/>
                    <pic:cNvPicPr/>
                  </pic:nvPicPr>
                  <pic:blipFill>
                    <a:blip xmlns:r="http://schemas.openxmlformats.org/officeDocument/2006/relationships" r:embed="rId95" cstate="print"/>
                    <a:stretch>
                      <a:fillRect/>
                    </a:stretch>
                  </pic:blipFill>
                  <pic:spPr>
                    <a:xfrm>
                      <a:off x="0" y="0"/>
                      <a:ext cx="2797925" cy="1676400"/>
                    </a:xfrm>
                    <a:prstGeom prst="rect">
                      <a:avLst/>
                    </a:prstGeom>
                  </pic:spPr>
                </pic:pic>
              </a:graphicData>
            </a:graphic>
          </wp:anchor>
        </w:drawing>
      </w:r>
      <w:r>
        <w:t>图表</w:t>
      </w:r>
      <w:r>
        <w:rPr>
          <w:rFonts w:ascii="Calibri" w:eastAsia="Calibri"/>
        </w:rPr>
        <w:t>28:</w:t>
      </w:r>
      <w:r>
        <w:rPr>
          <w:rFonts w:ascii="Calibri" w:eastAsia="Calibri"/>
          <w:spacing w:val="-1"/>
        </w:rPr>
        <w:t xml:space="preserve"> </w:t>
      </w:r>
      <w:r>
        <w:rPr>
          <w:rFonts w:ascii="Calibri" w:eastAsia="Calibri"/>
        </w:rPr>
        <w:t>2023</w:t>
      </w:r>
      <w:r>
        <w:t>年内地逆变器分地区出口金额占比</w:t>
        <w:tab/>
        <w:t>图表</w:t>
      </w:r>
      <w:r>
        <w:rPr>
          <w:rFonts w:ascii="Calibri" w:eastAsia="Calibri"/>
        </w:rPr>
        <w:t>29:2023</w:t>
      </w:r>
      <w:r>
        <w:t>年内地逆变器分地区出口金额及增速</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5"/>
        <w:rPr>
          <w:rFonts w:ascii="Microsoft JhengHei"/>
          <w:b/>
          <w:sz w:val="18"/>
        </w:rPr>
      </w:pPr>
      <w:r>
        <w:pict>
          <v:shape id="_x0000_s1496" style="width:236.9pt;height:0.1pt;margin-top:19.19pt;margin-left:57.55pt;mso-position-horizontal-relative:page;mso-wrap-distance-left:0;mso-wrap-distance-right:0;position:absolute;z-index:-251575296" coordorigin="1151,384" coordsize="4738,0" path="m1151,384l5889,384e" filled="f" stroked="t" strokecolor="black" strokeweight="0.75pt">
            <v:stroke dashstyle="solid"/>
            <v:path arrowok="t"/>
            <w10:wrap type="topAndBottom"/>
          </v:shape>
        </w:pict>
      </w:r>
      <w:r>
        <w:pict>
          <v:shape id="_x0000_s1497" style="width:238.55pt;height:0.1pt;margin-top:19.19pt;margin-left:316.25pt;mso-position-horizontal-relative:page;mso-wrap-distance-left:0;mso-wrap-distance-right:0;position:absolute;z-index:-251574272" coordorigin="6325,384" coordsize="4771,0" path="m6325,384l11096,384e" filled="f" stroked="t" strokecolor="black" strokeweight="0.75pt">
            <v:stroke dashstyle="solid"/>
            <v:path arrowok="t"/>
            <w10:wrap type="topAndBottom"/>
          </v:shape>
        </w:pict>
      </w:r>
    </w:p>
    <w:p>
      <w:pPr>
        <w:tabs>
          <w:tab w:val="left" w:pos="6324"/>
        </w:tabs>
        <w:spacing w:before="0"/>
        <w:ind w:left="1150" w:right="0" w:firstLine="0"/>
        <w:jc w:val="left"/>
        <w:rPr>
          <w:sz w:val="15"/>
        </w:rPr>
      </w:pPr>
      <w:r>
        <w:t xml:space="preserve">资料来源: 海关总署， </w:t>
        <w:tab/>
        <w:t xml:space="preserve">资料来源: 海关总署， </w:t>
      </w:r>
    </w:p>
    <w:p>
      <w:pPr>
        <w:pStyle w:val="BodyText"/>
        <w:spacing w:before="3"/>
        <w:rPr>
          <w:sz w:val="18"/>
        </w:rPr>
      </w:pPr>
    </w:p>
    <w:p>
      <w:pPr>
        <w:pStyle w:val="BodyText"/>
        <w:spacing w:before="64" w:line="232" w:lineRule="auto"/>
        <w:ind w:left="1151" w:right="3910"/>
        <w:jc w:val="both"/>
        <w:rPr>
          <w:rFonts w:ascii="Calibri" w:eastAsia="Calibri"/>
        </w:rPr>
      </w:pPr>
      <w:r>
        <w:rPr>
          <w:color w:val="262626"/>
        </w:rPr>
        <w:t>分货物发出省份来看，华为所在的广东逆变器企业最多，</w:t>
      </w:r>
      <w:r>
        <w:rPr>
          <w:rFonts w:ascii="Calibri" w:eastAsia="Calibri"/>
          <w:color w:val="262626"/>
        </w:rPr>
        <w:t>2023</w:t>
      </w:r>
      <w:r>
        <w:rPr>
          <w:color w:val="262626"/>
        </w:rPr>
        <w:t>年出口金额占比高达</w:t>
      </w:r>
      <w:r>
        <w:rPr>
          <w:rFonts w:ascii="Calibri" w:eastAsia="Calibri"/>
          <w:color w:val="262626"/>
        </w:rPr>
        <w:t>40%</w:t>
      </w:r>
      <w:r>
        <w:rPr>
          <w:color w:val="262626"/>
        </w:rPr>
        <w:t>，阳光电源及固德威广德产能所在的安徽和逆变器企业也较多的浙江占比约</w:t>
      </w:r>
      <w:r>
        <w:rPr>
          <w:rFonts w:ascii="Calibri" w:eastAsia="Calibri"/>
          <w:color w:val="262626"/>
        </w:rPr>
        <w:t>19%/18%</w:t>
      </w:r>
      <w:r>
        <w:rPr>
          <w:color w:val="262626"/>
        </w:rPr>
        <w:t>，固德威、上能电气等企业所在的江苏占比</w:t>
      </w:r>
      <w:r>
        <w:rPr>
          <w:rFonts w:ascii="Calibri" w:eastAsia="Calibri"/>
          <w:color w:val="262626"/>
        </w:rPr>
        <w:t>12%</w:t>
      </w:r>
      <w:r>
        <w:rPr>
          <w:color w:val="262626"/>
        </w:rPr>
        <w:t>，这</w:t>
      </w:r>
      <w:r>
        <w:rPr>
          <w:rFonts w:ascii="Calibri" w:eastAsia="Calibri"/>
          <w:color w:val="262626"/>
        </w:rPr>
        <w:t>4</w:t>
      </w:r>
      <w:r>
        <w:rPr>
          <w:color w:val="262626"/>
        </w:rPr>
        <w:t>省为主要出口省份，合计占比高达</w:t>
      </w:r>
      <w:r>
        <w:rPr>
          <w:rFonts w:ascii="Calibri" w:eastAsia="Calibri"/>
          <w:color w:val="262626"/>
        </w:rPr>
        <w:t>89%</w:t>
      </w:r>
      <w:r>
        <w:rPr>
          <w:color w:val="262626"/>
        </w:rPr>
        <w:t>；因阳光电源出口爆发，安徽出口金额大增</w:t>
      </w:r>
      <w:r>
        <w:rPr>
          <w:rFonts w:ascii="Calibri" w:eastAsia="Calibri"/>
          <w:color w:val="262626"/>
        </w:rPr>
        <w:t>141%</w:t>
      </w:r>
    </w:p>
    <w:p>
      <w:pPr>
        <w:pStyle w:val="BodyText"/>
        <w:spacing w:line="254" w:lineRule="exact"/>
        <w:ind w:left="1151"/>
        <w:rPr>
          <w:rFonts w:ascii="Calibri" w:eastAsia="Calibri"/>
        </w:rPr>
      </w:pPr>
      <w:r>
        <w:rPr>
          <w:color w:val="262626"/>
          <w:spacing w:val="-1"/>
        </w:rPr>
        <w:t>，贡献了全国绝大部分增量，江苏也增长</w:t>
      </w:r>
      <w:r>
        <w:rPr>
          <w:rFonts w:ascii="Calibri" w:eastAsia="Calibri"/>
          <w:color w:val="262626"/>
        </w:rPr>
        <w:t>17%</w:t>
      </w:r>
      <w:r>
        <w:rPr>
          <w:color w:val="262626"/>
        </w:rPr>
        <w:t>，广东、浙江则同比下降</w:t>
      </w:r>
      <w:r>
        <w:rPr>
          <w:rFonts w:ascii="Calibri" w:eastAsia="Calibri"/>
          <w:color w:val="262626"/>
        </w:rPr>
        <w:t>5%</w:t>
      </w:r>
      <w:r>
        <w:rPr>
          <w:color w:val="262626"/>
        </w:rPr>
        <w:t>、</w:t>
      </w:r>
      <w:r>
        <w:rPr>
          <w:rFonts w:ascii="Calibri" w:eastAsia="Calibri"/>
          <w:color w:val="262626"/>
        </w:rPr>
        <w:t>7%</w:t>
      </w:r>
    </w:p>
    <w:p>
      <w:pPr>
        <w:pStyle w:val="BodyText"/>
        <w:spacing w:line="265" w:lineRule="exact"/>
        <w:ind w:left="1151"/>
      </w:pPr>
      <w:r>
        <w:rPr>
          <w:color w:val="262626"/>
        </w:rPr>
        <w:t>，拖累了全国增速。</w:t>
      </w:r>
    </w:p>
    <w:p>
      <w:pPr>
        <w:spacing w:after="0" w:line="265" w:lineRule="exact"/>
        <w:sectPr>
          <w:headerReference w:type="default" r:id="rId96"/>
          <w:footerReference w:type="default" r:id="rId97"/>
          <w:type w:val="continuous"/>
          <w:pgSz w:w="12240" w:h="15840"/>
          <w:pgMar w:top="1500" w:right="0" w:bottom="280" w:left="0" w:header="708" w:footer="708"/>
          <w:pgNumType w:start="37"/>
          <w:cols w:space="708"/>
        </w:sectPr>
      </w:pPr>
    </w:p>
    <w:p>
      <w:pPr>
        <w:pStyle w:val="BodyText"/>
        <w:rPr>
          <w:sz w:val="20"/>
        </w:rPr>
      </w:pPr>
    </w:p>
    <w:p>
      <w:pPr>
        <w:pStyle w:val="BodyText"/>
        <w:rPr>
          <w:sz w:val="20"/>
        </w:rPr>
      </w:pPr>
    </w:p>
    <w:p>
      <w:pPr>
        <w:pStyle w:val="Heading3"/>
        <w:tabs>
          <w:tab w:val="left" w:pos="6324"/>
        </w:tabs>
        <w:spacing w:before="129"/>
      </w:pPr>
      <w:r>
        <w:pict>
          <v:group id="_x0000_s1498" style="width:236.9pt;height:129.9pt;margin-top:26.46pt;margin-left:57.55pt;mso-position-horizontal-relative:page;position:absolute;z-index:251748352" coordorigin="1151,529" coordsize="4738,2598">
            <v:line id="_x0000_s1499" style="position:absolute" from="1151,537" to="5889,537" stroked="t" strokecolor="black" strokeweight="0.75pt">
              <v:stroke dashstyle="solid"/>
            </v:line>
            <v:shape id="_x0000_s1500" type="#_x0000_t75" style="width:4503;height:2526;left:1335;position:absolute;top:601" stroked="f">
              <v:imagedata r:id="rId98" o:title=""/>
            </v:shape>
          </v:group>
        </w:pict>
      </w:r>
      <w:r>
        <w:pict>
          <v:line id="_x0000_s1501" style="mso-position-horizontal-relative:page;position:absolute;z-index:251749376" from="316.25pt,26.85pt" to="554.8pt,26.85pt" stroked="t" strokecolor="black" strokeweight="0.75pt">
            <v:stroke dashstyle="solid"/>
          </v:line>
        </w:pict>
      </w:r>
      <w:r>
        <w:drawing>
          <wp:anchor distT="0" distB="0" distL="0" distR="0" simplePos="0" relativeHeight="251750400" behindDoc="0" locked="0" layoutInCell="1" allowOverlap="1">
            <wp:simplePos x="0" y="0"/>
            <wp:positionH relativeFrom="page">
              <wp:posOffset>4103245</wp:posOffset>
            </wp:positionH>
            <wp:positionV relativeFrom="paragraph">
              <wp:posOffset>400483</wp:posOffset>
            </wp:positionV>
            <wp:extent cx="2853097" cy="1664207"/>
            <wp:effectExtent l="0" t="0" r="0" b="0"/>
            <wp:wrapNone/>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99" cstate="print"/>
                    <a:stretch>
                      <a:fillRect/>
                    </a:stretch>
                  </pic:blipFill>
                  <pic:spPr>
                    <a:xfrm>
                      <a:off x="0" y="0"/>
                      <a:ext cx="2853097" cy="1664207"/>
                    </a:xfrm>
                    <a:prstGeom prst="rect">
                      <a:avLst/>
                    </a:prstGeom>
                  </pic:spPr>
                </pic:pic>
              </a:graphicData>
            </a:graphic>
          </wp:anchor>
        </w:drawing>
      </w:r>
      <w:r>
        <w:t>图表</w:t>
      </w:r>
      <w:r>
        <w:rPr>
          <w:rFonts w:ascii="Calibri" w:eastAsia="Calibri"/>
        </w:rPr>
        <w:t>30:</w:t>
      </w:r>
      <w:r>
        <w:rPr>
          <w:rFonts w:ascii="Calibri" w:eastAsia="Calibri"/>
          <w:spacing w:val="-1"/>
        </w:rPr>
        <w:t xml:space="preserve"> </w:t>
      </w:r>
      <w:r>
        <w:rPr>
          <w:rFonts w:ascii="Calibri" w:eastAsia="Calibri"/>
        </w:rPr>
        <w:t>2023</w:t>
      </w:r>
      <w:r>
        <w:t>年内地逆变器分省份出口金额占比</w:t>
        <w:tab/>
        <w:t>图表</w:t>
      </w:r>
      <w:r>
        <w:rPr>
          <w:rFonts w:ascii="Calibri" w:eastAsia="Calibri"/>
        </w:rPr>
        <w:t>31:2023</w:t>
      </w:r>
      <w:r>
        <w:t>年内地逆变器分地区出口金额及增速</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8"/>
        <w:rPr>
          <w:rFonts w:ascii="Microsoft JhengHei"/>
          <w:b/>
          <w:sz w:val="13"/>
        </w:rPr>
      </w:pPr>
      <w:r>
        <w:pict>
          <v:shape id="_x0000_s1502" style="width:236.9pt;height:0.1pt;margin-top:14.71pt;margin-left:57.55pt;mso-position-horizontal-relative:page;mso-wrap-distance-left:0;mso-wrap-distance-right:0;position:absolute;z-index:-251570176" coordorigin="1151,294" coordsize="4738,0" path="m1151,294l5889,294e" filled="f" stroked="t" strokecolor="black" strokeweight="0.75pt">
            <v:stroke dashstyle="solid"/>
            <v:path arrowok="t"/>
            <w10:wrap type="topAndBottom"/>
          </v:shape>
        </w:pict>
      </w:r>
      <w:r>
        <w:pict>
          <v:shape id="_x0000_s1503" style="width:238.55pt;height:0.1pt;margin-top:14.71pt;margin-left:316.25pt;mso-position-horizontal-relative:page;mso-wrap-distance-left:0;mso-wrap-distance-right:0;position:absolute;z-index:-251569152" coordorigin="6325,294" coordsize="4771,0" path="m6325,294l11096,294e" filled="f" stroked="t" strokecolor="black" strokeweight="0.75pt">
            <v:stroke dashstyle="solid"/>
            <v:path arrowok="t"/>
            <w10:wrap type="topAndBottom"/>
          </v:shape>
        </w:pict>
      </w:r>
    </w:p>
    <w:p>
      <w:pPr>
        <w:tabs>
          <w:tab w:val="left" w:pos="6324"/>
        </w:tabs>
        <w:spacing w:before="0"/>
        <w:ind w:left="1150" w:right="0" w:firstLine="0"/>
        <w:jc w:val="left"/>
        <w:rPr>
          <w:sz w:val="15"/>
        </w:rPr>
      </w:pPr>
      <w:r>
        <w:t xml:space="preserve">资料来源: 海关总署， </w:t>
        <w:tab/>
        <w:t xml:space="preserve">资料来源: 海关总署， </w:t>
      </w:r>
    </w:p>
    <w:p>
      <w:pPr>
        <w:spacing w:after="0"/>
        <w:jc w:val="left"/>
        <w:rPr>
          <w:sz w:val="15"/>
        </w:rPr>
        <w:sectPr>
          <w:headerReference w:type="default" r:id="rId100"/>
          <w:footerReference w:type="default" r:id="rId101"/>
          <w:pgSz w:w="12240" w:h="15840"/>
          <w:pgMar w:top="1720" w:right="0" w:bottom="1380" w:left="0" w:header="708" w:footer="708"/>
          <w:pgNumType w:start="38"/>
          <w:cols w:space="708"/>
        </w:sectPr>
      </w:pPr>
    </w:p>
    <w:p>
      <w:pPr>
        <w:pStyle w:val="BodyText"/>
        <w:rPr>
          <w:sz w:val="20"/>
        </w:rPr>
      </w:pPr>
    </w:p>
    <w:p>
      <w:pPr>
        <w:pStyle w:val="BodyText"/>
        <w:spacing w:before="10"/>
        <w:rPr>
          <w:sz w:val="22"/>
        </w:rPr>
      </w:pPr>
    </w:p>
    <w:p>
      <w:pPr>
        <w:pStyle w:val="Heading1"/>
        <w:spacing w:line="519" w:lineRule="exact"/>
      </w:pPr>
      <w:bookmarkStart w:id="9" w:name="_TOC_250009"/>
      <w:bookmarkEnd w:id="9"/>
      <w:r>
        <w:rPr>
          <w:color w:val="59A1AE"/>
        </w:rPr>
        <w:t>竞争加剧将导致利润率下行，但总体下降空间有限</w:t>
      </w:r>
    </w:p>
    <w:p>
      <w:pPr>
        <w:pStyle w:val="Heading2"/>
        <w:spacing w:before="162" w:line="240" w:lineRule="auto"/>
      </w:pPr>
      <w:bookmarkStart w:id="10" w:name="_TOC_250008"/>
      <w:bookmarkEnd w:id="10"/>
      <w:r>
        <w:rPr>
          <w:color w:val="59A1AE"/>
        </w:rPr>
        <w:t>逆变器技术含量较高，项目投资成本中占比低，降价压力相对较小</w:t>
      </w:r>
    </w:p>
    <w:p>
      <w:pPr>
        <w:pStyle w:val="BodyText"/>
        <w:spacing w:before="97" w:line="232" w:lineRule="auto"/>
        <w:ind w:left="1151" w:right="3910"/>
        <w:jc w:val="both"/>
      </w:pPr>
      <w:r>
        <w:rPr>
          <w:color w:val="262626"/>
        </w:rPr>
        <w:t>逆变器行业技术进步较快，需要大量研发投入。龙头阳光电源</w:t>
      </w:r>
      <w:r>
        <w:rPr>
          <w:rFonts w:ascii="Calibri" w:eastAsia="Calibri"/>
          <w:color w:val="262626"/>
        </w:rPr>
        <w:t>2022</w:t>
      </w:r>
      <w:r>
        <w:rPr>
          <w:color w:val="262626"/>
        </w:rPr>
        <w:t>年研发费用</w:t>
      </w:r>
      <w:r>
        <w:rPr>
          <w:color w:val="262626"/>
          <w:spacing w:val="-6"/>
        </w:rPr>
        <w:t>高达</w:t>
      </w:r>
      <w:r>
        <w:rPr>
          <w:rFonts w:ascii="Calibri" w:eastAsia="Calibri"/>
          <w:color w:val="262626"/>
        </w:rPr>
        <w:t>16.9</w:t>
      </w:r>
      <w:r>
        <w:rPr>
          <w:color w:val="262626"/>
          <w:spacing w:val="-1"/>
        </w:rPr>
        <w:t>亿元，在光伏行业内排行第二，固德威、锦浪科技也超</w:t>
      </w:r>
      <w:r>
        <w:rPr>
          <w:rFonts w:ascii="Calibri" w:eastAsia="Calibri"/>
          <w:color w:val="262626"/>
        </w:rPr>
        <w:t>3</w:t>
      </w:r>
      <w:r>
        <w:rPr>
          <w:color w:val="262626"/>
          <w:spacing w:val="-3"/>
        </w:rPr>
        <w:t>亿元。从研发</w:t>
      </w:r>
      <w:r>
        <w:rPr>
          <w:color w:val="262626"/>
          <w:spacing w:val="-1"/>
        </w:rPr>
        <w:t>费用率来看，除阳光电源由于规模效应而略低外，逆变器企业均超</w:t>
      </w:r>
      <w:r>
        <w:rPr>
          <w:rFonts w:ascii="Calibri" w:eastAsia="Calibri"/>
          <w:color w:val="262626"/>
        </w:rPr>
        <w:t>5%</w:t>
      </w:r>
      <w:r>
        <w:rPr>
          <w:color w:val="262626"/>
        </w:rPr>
        <w:t>（</w:t>
      </w:r>
      <w:r>
        <w:rPr>
          <w:color w:val="262626"/>
          <w:spacing w:val="-6"/>
        </w:rPr>
        <w:t>其中固</w:t>
      </w:r>
      <w:r>
        <w:rPr>
          <w:color w:val="262626"/>
        </w:rPr>
        <w:t>德威更高达</w:t>
      </w:r>
      <w:r>
        <w:rPr>
          <w:rFonts w:ascii="Calibri" w:eastAsia="Calibri"/>
          <w:color w:val="262626"/>
        </w:rPr>
        <w:t>7.4%</w:t>
      </w:r>
      <w:r>
        <w:rPr>
          <w:color w:val="262626"/>
        </w:rPr>
        <w:t>，为光伏行业最高），明显高于光伏其他环节。</w:t>
      </w:r>
    </w:p>
    <w:p>
      <w:pPr>
        <w:pStyle w:val="BodyText"/>
        <w:spacing w:before="5"/>
        <w:rPr>
          <w:sz w:val="15"/>
        </w:rPr>
      </w:pPr>
    </w:p>
    <w:p>
      <w:pPr>
        <w:pStyle w:val="Heading3"/>
        <w:spacing w:before="1"/>
      </w:pPr>
      <w:r>
        <w:rPr>
          <w:color w:val="262626"/>
        </w:rPr>
        <w:t>图表</w:t>
      </w:r>
      <w:r>
        <w:rPr>
          <w:rFonts w:ascii="Calibri" w:eastAsia="Calibri"/>
        </w:rPr>
        <w:t>32:2022</w:t>
      </w:r>
      <w:r>
        <w:t>年內地逆变器和光伏其他环节企业研发费用率</w:t>
      </w:r>
    </w:p>
    <w:p>
      <w:pPr>
        <w:pStyle w:val="BodyText"/>
        <w:spacing w:line="20" w:lineRule="exact"/>
        <w:ind w:left="1143"/>
        <w:rPr>
          <w:rFonts w:ascii="Microsoft JhengHei"/>
          <w:sz w:val="2"/>
        </w:rPr>
      </w:pPr>
      <w:r>
        <w:rPr>
          <w:rFonts w:ascii="Microsoft JhengHei"/>
          <w:sz w:val="2"/>
        </w:rPr>
        <w:pict>
          <v:group id="_x0000_i1504" style="width:357.2pt;height:0.75pt;mso-position-horizontal-relative:char;mso-position-vertical-relative:line" coordorigin="0,0" coordsize="7144,15">
            <v:line id="_x0000_s1505" style="position:absolute" from="0,8" to="7144,8" stroked="t" strokecolor="black" strokeweight="0.75pt">
              <v:stroke dashstyle="solid"/>
            </v:line>
            <w10:wrap type="none"/>
          </v:group>
        </w:pict>
      </w:r>
    </w:p>
    <w:p>
      <w:pPr>
        <w:tabs>
          <w:tab w:val="left" w:pos="5587"/>
        </w:tabs>
        <w:spacing w:before="45"/>
        <w:ind w:left="3252" w:right="0" w:firstLine="0"/>
        <w:jc w:val="left"/>
        <w:rPr>
          <w:sz w:val="16"/>
        </w:rPr>
      </w:pPr>
      <w:r>
        <w:pict>
          <v:group id="_x0000_s1506" style="width:357.2pt;height:133.95pt;margin-top:11.83pt;margin-left:57.55pt;mso-position-horizontal-relative:page;position:absolute;z-index:251755520" coordorigin="1151,237" coordsize="7144,2679">
            <v:line id="_x0000_s1507" style="position:absolute" from="1151,2908" to="8295,2908" stroked="t" strokecolor="black" strokeweight="0.75pt">
              <v:stroke dashstyle="solid"/>
            </v:line>
            <v:shape id="_x0000_s1508" style="width:3709;height:453;left:2894;position:absolute;top:1445" coordorigin="2894,1445" coordsize="3709,453" path="m6511,1897l6602,1897m6139,1897l6326,1897m5769,1897l5954,1897m5397,1897l5584,1897m5027,1897l5212,1897m4657,1897l4842,1897m3173,1897l4470,1897m2894,1897l2988,1897m3173,1672l4470,1672m2894,1672l2988,1672m3173,1445l4842,1445m2894,1445l2988,1445e" filled="f" stroked="t" strokecolor="#d8d8d8" strokeweight="0.72pt">
              <v:stroke dashstyle="solid"/>
              <v:path arrowok="t"/>
            </v:shape>
            <v:shape id="_x0000_s1509" style="width:928;height:766;left:2987;position:absolute;top:1358" coordorigin="2988,1359" coordsize="928,766" path="m3173,1359l2988,1359,2988,2125,3173,2125,3173,1359m3543,1967l3358,1967,3358,2125,3543,2125,3543,1967m3915,1988l3730,1988,3730,2125,3915,2125,3915,1988e" filled="t" fillcolor="#bcdadf" stroked="f">
              <v:fill type="solid"/>
              <v:path arrowok="t"/>
            </v:shape>
            <v:line id="_x0000_s1510" style="position:absolute" from="4100,2092" to="4285,2092" stroked="t" strokecolor="#bcdadf" strokeweight="3.23pt">
              <v:stroke dashstyle="solid"/>
            </v:line>
            <v:line id="_x0000_s1511" style="position:absolute" from="4657,1672" to="4842,1672" stroked="t" strokecolor="#d8d8d8" strokeweight="0.72pt">
              <v:stroke dashstyle="solid"/>
            </v:line>
            <v:rect id="_x0000_s1512" style="width:188;height:663;left:4469;position:absolute;top:1461" filled="t" fillcolor="#bcdadf" stroked="f">
              <v:fill type="solid"/>
            </v:rect>
            <v:shape id="_x0000_s1513" style="width:3709;height:680;left:2894;position:absolute;top:992" coordorigin="2894,993" coordsize="3709,680" path="m5027,1672l5212,1672m5027,1445l6602,1445m5027,1218l6602,1218m2894,1218l4842,1218m5027,993l6602,993m2894,993l4842,993e" filled="f" stroked="t" strokecolor="#d8d8d8" strokeweight="0.72pt">
              <v:stroke dashstyle="solid"/>
              <v:path arrowok="t"/>
            </v:shape>
            <v:line id="_x0000_s1514" style="position:absolute" from="2894,765" to="6602,765" stroked="t" strokecolor="#d8d8d8" strokeweight="0.72pt">
              <v:stroke dashstyle="solid"/>
            </v:line>
            <v:rect id="_x0000_s1515" style="width:185;height:1324;left:4841;position:absolute;top:801" filled="t" fillcolor="#bcdadf" stroked="f">
              <v:fill type="solid"/>
            </v:rect>
            <v:line id="_x0000_s1516" style="position:absolute" from="5397,1672" to="5584,1672" stroked="t" strokecolor="#d8d8d8" strokeweight="0.72pt">
              <v:stroke dashstyle="solid"/>
            </v:line>
            <v:rect id="_x0000_s1517" style="width:185;height:625;left:5211;position:absolute;top:1500" filled="t" fillcolor="#bcdadf" stroked="f">
              <v:fill type="solid"/>
            </v:rect>
            <v:line id="_x0000_s1518" style="position:absolute" from="5769,1672" to="6602,1672" stroked="t" strokecolor="#d8d8d8" strokeweight="0.72pt">
              <v:stroke dashstyle="solid"/>
            </v:line>
            <v:shape id="_x0000_s1519" style="width:928;height:582;left:5584;position:absolute;top:1543" coordorigin="5584,1543" coordsize="928,582" path="m5769,1543l5584,1543,5584,2125,5769,2125,5769,1543m6139,1833l5954,1833,5954,2125,6139,2125,6139,1833m6511,1888l6326,1888,6326,2125,6511,2125,6511,1888e" filled="t" fillcolor="#bcdadf" stroked="f">
              <v:fill type="solid"/>
              <v:path arrowok="t"/>
            </v:shape>
            <v:shape id="_x0000_s1520" style="width:15619600;height:950934;position:absolute;top:-940254" coordorigin="0,-940254" coordsize="15619600,950934" path="m2894,538l6602,538m2894,313l6602,313e" filled="f" stroked="t" strokecolor="#d8d8d8" strokeweight="0.72pt">
              <v:stroke dashstyle="solid"/>
              <v:path arrowok="t"/>
            </v:shape>
            <v:line id="_x0000_s1521" style="position:absolute" from="6602,2125" to="6602,313" stroked="t" strokecolor="#bfbfbf" strokeweight="0.72pt">
              <v:stroke dashstyle="solid"/>
            </v:line>
            <v:shape id="_x0000_s1522" style="width:222560;height:7658060;position:absolute;top:-7647380" coordorigin="0,-7647380" coordsize="222560,7658060" path="m6602,2125l6655,2125m6602,1897l6655,1897m6602,1672l6655,1672m6602,1445l6655,1445m6602,1218l6655,1218m6602,993l6655,993m6602,765l6655,765m6602,538l6655,538m6602,313l6655,313e" filled="f" stroked="t" strokecolor="#bfbfbf" strokeweight="0.72pt">
              <v:stroke dashstyle="solid"/>
              <v:path arrowok="t"/>
            </v:shape>
            <v:line id="_x0000_s1523" style="position:absolute" from="2894,2125" to="2894,313" stroked="t" strokecolor="#bfbfbf" strokeweight="0.72pt">
              <v:stroke dashstyle="solid"/>
            </v:line>
            <v:shape id="_x0000_s1524" style="width:212442;height:7658060;position:absolute;top:-7647380" coordorigin="0,-7647380" coordsize="212442,7658060" path="m2844,2125l2894,2125m2844,1897l2894,1897m2844,1672l2894,1672m2844,1445l2894,1445m2844,1218l2894,1218m2844,993l2894,993m2844,765l2894,765m2844,538l2894,538m2844,313l2894,313e" filled="f" stroked="t" strokecolor="#bfbfbf" strokeweight="0.72pt">
              <v:stroke dashstyle="solid"/>
              <v:path arrowok="t"/>
            </v:shape>
            <v:shape id="_x0000_s1525" style="width:15619600;height:212442;position:absolute;top:-201762" coordorigin="0,-201762" coordsize="15619600,212442" path="m2894,2125l6602,2125m2894,2125l2894,2175m3264,2125l3264,2175m3636,2125l3636,2175m4006,2125l4006,2175m4378,2125l4378,2175m4748,2125l4748,2175m5120,2125l5120,2175m5490,2125l5490,2175m5860,2125l5860,2175m6232,2125l6232,2175m6602,2125l6602,2175e" filled="f" stroked="t" strokecolor="#bfbfbf" strokeweight="0.72pt">
              <v:stroke dashstyle="solid"/>
              <v:path arrowok="t"/>
            </v:shape>
            <v:shape id="_x0000_s1526" type="#_x0000_t75" style="width:101;height:101;left:3028;position:absolute;top:1121" stroked="f">
              <v:imagedata r:id="rId102" o:title=""/>
            </v:shape>
            <v:shape id="_x0000_s1527" type="#_x0000_t75" style="width:116;height:115;left:3021;position:absolute;top:1114" stroked="f">
              <v:imagedata r:id="rId103" o:title=""/>
            </v:shape>
            <v:shape id="_x0000_s1528" type="#_x0000_t75" style="width:101;height:101;left:3400;position:absolute;top:401" stroked="f">
              <v:imagedata r:id="rId104" o:title=""/>
            </v:shape>
            <v:shape id="_x0000_s1529" type="#_x0000_t75" style="width:116;height:115;left:3393;position:absolute;top:394" stroked="f">
              <v:imagedata r:id="rId105" o:title=""/>
            </v:shape>
            <v:shape id="_x0000_s1530" type="#_x0000_t75" style="width:101;height:101;left:3770;position:absolute;top:915" stroked="f">
              <v:imagedata r:id="rId102" o:title=""/>
            </v:shape>
            <v:shape id="_x0000_s1531" type="#_x0000_t75" style="width:116;height:115;left:3763;position:absolute;top:908" stroked="f">
              <v:imagedata r:id="rId103" o:title=""/>
            </v:shape>
            <v:shape id="_x0000_s1532" type="#_x0000_t75" style="width:101;height:101;left:4142;position:absolute;top:676" stroked="f">
              <v:imagedata r:id="rId104" o:title=""/>
            </v:shape>
            <v:shape id="_x0000_s1533" type="#_x0000_t75" style="width:116;height:115;left:4135;position:absolute;top:669" stroked="f">
              <v:imagedata r:id="rId106" o:title=""/>
            </v:shape>
            <v:shape id="_x0000_s1534" type="#_x0000_t75" style="width:101;height:101;left:4512;position:absolute;top:1841" stroked="f">
              <v:imagedata r:id="rId102" o:title=""/>
            </v:shape>
            <v:shape id="_x0000_s1535" type="#_x0000_t75" style="width:116;height:115;left:4505;position:absolute;top:1834" stroked="f">
              <v:imagedata r:id="rId103" o:title=""/>
            </v:shape>
            <v:shape id="_x0000_s1536" type="#_x0000_t75" style="width:101;height:101;left:4882;position:absolute;top:1085" stroked="f">
              <v:imagedata r:id="rId102" o:title=""/>
            </v:shape>
            <v:shape id="_x0000_s1537" type="#_x0000_t75" style="width:116;height:115;left:4875;position:absolute;top:1078" stroked="f">
              <v:imagedata r:id="rId103" o:title=""/>
            </v:shape>
            <v:shape id="_x0000_s1538" type="#_x0000_t75" style="width:101;height:101;left:5254;position:absolute;top:1183" stroked="f">
              <v:imagedata r:id="rId107" o:title=""/>
            </v:shape>
            <v:shape id="_x0000_s1539" type="#_x0000_t75" style="width:116;height:115;left:5247;position:absolute;top:1176" stroked="f">
              <v:imagedata r:id="rId103" o:title=""/>
            </v:shape>
            <v:shape id="_x0000_s1540" type="#_x0000_t75" style="width:101;height:101;left:5624;position:absolute;top:1849" stroked="f">
              <v:imagedata r:id="rId107" o:title=""/>
            </v:shape>
            <v:shape id="_x0000_s1541" type="#_x0000_t75" style="width:116;height:115;left:5617;position:absolute;top:1841" stroked="f">
              <v:imagedata r:id="rId103" o:title=""/>
            </v:shape>
            <v:shape id="_x0000_s1542" type="#_x0000_t75" style="width:101;height:101;left:5996;position:absolute;top:1301" stroked="f">
              <v:imagedata r:id="rId108" o:title=""/>
            </v:shape>
            <v:shape id="_x0000_s1543" type="#_x0000_t75" style="width:116;height:115;left:5989;position:absolute;top:1293" stroked="f">
              <v:imagedata r:id="rId109" o:title=""/>
            </v:shape>
            <v:shape id="_x0000_s1544" type="#_x0000_t75" style="width:101;height:101;left:6366;position:absolute;top:1308" stroked="f">
              <v:imagedata r:id="rId108" o:title=""/>
            </v:shape>
            <v:shape id="_x0000_s1545" type="#_x0000_t75" style="width:116;height:115;left:6359;position:absolute;top:1301" stroked="f">
              <v:imagedata r:id="rId109" o:title=""/>
            </v:shape>
            <v:rect id="_x0000_s1546" style="width:1533;height:757;left:2868;position:absolute;top:2137" filled="f" stroked="t" strokecolor="#287ed4" strokeweight="1.56pt">
              <v:stroke dashstyle="solid"/>
            </v:rect>
            <v:shape id="_x0000_s1547" type="#_x0000_t202" style="width:386;height:1973;left:2381;position:absolute;top:236" filled="f" stroked="f">
              <v:textbox inset="0,0,0,0">
                <w:txbxContent>
                  <w:p>
                    <w:pPr>
                      <w:spacing w:before="0" w:line="163" w:lineRule="exact"/>
                      <w:ind w:left="0" w:right="19" w:firstLine="0"/>
                      <w:jc w:val="right"/>
                      <w:rPr>
                        <w:rFonts w:ascii="Calibri"/>
                        <w:sz w:val="16"/>
                      </w:rPr>
                    </w:pPr>
                    <w:r>
                      <w:rPr>
                        <w:rFonts w:ascii="Calibri"/>
                        <w:spacing w:val="-1"/>
                        <w:sz w:val="16"/>
                      </w:rPr>
                      <w:t>4,000</w:t>
                    </w:r>
                  </w:p>
                  <w:p>
                    <w:pPr>
                      <w:spacing w:before="31"/>
                      <w:ind w:left="0" w:right="19" w:firstLine="0"/>
                      <w:jc w:val="right"/>
                      <w:rPr>
                        <w:rFonts w:ascii="Calibri"/>
                        <w:sz w:val="16"/>
                      </w:rPr>
                    </w:pPr>
                    <w:r>
                      <w:rPr>
                        <w:rFonts w:ascii="Calibri"/>
                        <w:spacing w:val="-1"/>
                        <w:sz w:val="16"/>
                      </w:rPr>
                      <w:t>3,500</w:t>
                    </w:r>
                  </w:p>
                  <w:p>
                    <w:pPr>
                      <w:spacing w:before="31"/>
                      <w:ind w:left="0" w:right="19" w:firstLine="0"/>
                      <w:jc w:val="right"/>
                      <w:rPr>
                        <w:rFonts w:ascii="Calibri"/>
                        <w:sz w:val="16"/>
                      </w:rPr>
                    </w:pPr>
                    <w:r>
                      <w:rPr>
                        <w:rFonts w:ascii="Calibri"/>
                        <w:spacing w:val="-1"/>
                        <w:sz w:val="16"/>
                      </w:rPr>
                      <w:t>3,000</w:t>
                    </w:r>
                  </w:p>
                  <w:p>
                    <w:pPr>
                      <w:spacing w:before="31"/>
                      <w:ind w:left="0" w:right="19" w:firstLine="0"/>
                      <w:jc w:val="right"/>
                      <w:rPr>
                        <w:rFonts w:ascii="Calibri"/>
                        <w:sz w:val="16"/>
                      </w:rPr>
                    </w:pPr>
                    <w:r>
                      <w:rPr>
                        <w:rFonts w:ascii="Calibri"/>
                        <w:spacing w:val="-1"/>
                        <w:sz w:val="16"/>
                      </w:rPr>
                      <w:t>2,500</w:t>
                    </w:r>
                  </w:p>
                  <w:p>
                    <w:pPr>
                      <w:spacing w:before="31"/>
                      <w:ind w:left="0" w:right="19" w:firstLine="0"/>
                      <w:jc w:val="right"/>
                      <w:rPr>
                        <w:rFonts w:ascii="Calibri"/>
                        <w:sz w:val="16"/>
                      </w:rPr>
                    </w:pPr>
                    <w:r>
                      <w:rPr>
                        <w:rFonts w:ascii="Calibri"/>
                        <w:spacing w:val="-1"/>
                        <w:sz w:val="16"/>
                      </w:rPr>
                      <w:t>2,000</w:t>
                    </w:r>
                  </w:p>
                  <w:p>
                    <w:pPr>
                      <w:spacing w:before="32"/>
                      <w:ind w:left="0" w:right="19" w:firstLine="0"/>
                      <w:jc w:val="right"/>
                      <w:rPr>
                        <w:rFonts w:ascii="Calibri"/>
                        <w:sz w:val="16"/>
                      </w:rPr>
                    </w:pPr>
                    <w:r>
                      <w:rPr>
                        <w:rFonts w:ascii="Calibri"/>
                        <w:spacing w:val="-1"/>
                        <w:sz w:val="16"/>
                      </w:rPr>
                      <w:t>1,500</w:t>
                    </w:r>
                  </w:p>
                  <w:p>
                    <w:pPr>
                      <w:spacing w:before="31"/>
                      <w:ind w:left="0" w:right="19" w:firstLine="0"/>
                      <w:jc w:val="right"/>
                      <w:rPr>
                        <w:rFonts w:ascii="Calibri"/>
                        <w:sz w:val="16"/>
                      </w:rPr>
                    </w:pPr>
                    <w:r>
                      <w:rPr>
                        <w:rFonts w:ascii="Calibri"/>
                        <w:spacing w:val="-1"/>
                        <w:sz w:val="16"/>
                      </w:rPr>
                      <w:t>1,000</w:t>
                    </w:r>
                  </w:p>
                  <w:p>
                    <w:pPr>
                      <w:spacing w:before="31"/>
                      <w:ind w:left="0" w:right="18" w:firstLine="0"/>
                      <w:jc w:val="right"/>
                      <w:rPr>
                        <w:rFonts w:ascii="Calibri"/>
                        <w:sz w:val="16"/>
                      </w:rPr>
                    </w:pPr>
                    <w:r>
                      <w:rPr>
                        <w:rFonts w:ascii="Calibri"/>
                        <w:sz w:val="16"/>
                      </w:rPr>
                      <w:t>500</w:t>
                    </w:r>
                  </w:p>
                  <w:p>
                    <w:pPr>
                      <w:spacing w:before="31" w:line="192" w:lineRule="exact"/>
                      <w:ind w:left="0" w:right="20" w:firstLine="0"/>
                      <w:jc w:val="right"/>
                      <w:rPr>
                        <w:rFonts w:ascii="Calibri"/>
                        <w:sz w:val="16"/>
                      </w:rPr>
                    </w:pPr>
                    <w:r>
                      <w:rPr>
                        <w:rFonts w:ascii="Calibri"/>
                        <w:w w:val="100"/>
                        <w:sz w:val="16"/>
                      </w:rPr>
                      <w:t>0</w:t>
                    </w:r>
                  </w:p>
                </w:txbxContent>
              </v:textbox>
            </v:shape>
            <v:shape id="_x0000_s1548" type="#_x0000_t202" style="width:337;height:1973;left:6751;position:absolute;top:236" filled="f" stroked="f">
              <v:textbox inset="0,0,0,0">
                <w:txbxContent>
                  <w:p>
                    <w:pPr>
                      <w:spacing w:before="0" w:line="163" w:lineRule="exact"/>
                      <w:ind w:left="0" w:right="0" w:firstLine="0"/>
                      <w:jc w:val="left"/>
                      <w:rPr>
                        <w:rFonts w:ascii="Calibri"/>
                        <w:sz w:val="16"/>
                      </w:rPr>
                    </w:pPr>
                    <w:r>
                      <w:rPr>
                        <w:rFonts w:ascii="Calibri"/>
                        <w:sz w:val="16"/>
                      </w:rPr>
                      <w:t>8.0%</w:t>
                    </w:r>
                  </w:p>
                  <w:p>
                    <w:pPr>
                      <w:spacing w:before="31"/>
                      <w:ind w:left="0" w:right="0" w:firstLine="0"/>
                      <w:jc w:val="left"/>
                      <w:rPr>
                        <w:rFonts w:ascii="Calibri"/>
                        <w:sz w:val="16"/>
                      </w:rPr>
                    </w:pPr>
                    <w:r>
                      <w:rPr>
                        <w:rFonts w:ascii="Calibri"/>
                        <w:sz w:val="16"/>
                      </w:rPr>
                      <w:t>7.0%</w:t>
                    </w:r>
                  </w:p>
                  <w:p>
                    <w:pPr>
                      <w:spacing w:before="31"/>
                      <w:ind w:left="0" w:right="0" w:firstLine="0"/>
                      <w:jc w:val="left"/>
                      <w:rPr>
                        <w:rFonts w:ascii="Calibri"/>
                        <w:sz w:val="16"/>
                      </w:rPr>
                    </w:pPr>
                    <w:r>
                      <w:rPr>
                        <w:rFonts w:ascii="Calibri"/>
                        <w:sz w:val="16"/>
                      </w:rPr>
                      <w:t>6.0%</w:t>
                    </w:r>
                  </w:p>
                  <w:p>
                    <w:pPr>
                      <w:spacing w:before="31"/>
                      <w:ind w:left="0" w:right="0" w:firstLine="0"/>
                      <w:jc w:val="left"/>
                      <w:rPr>
                        <w:rFonts w:ascii="Calibri"/>
                        <w:sz w:val="16"/>
                      </w:rPr>
                    </w:pPr>
                    <w:r>
                      <w:rPr>
                        <w:rFonts w:ascii="Calibri"/>
                        <w:sz w:val="16"/>
                      </w:rPr>
                      <w:t>5.0%</w:t>
                    </w:r>
                  </w:p>
                  <w:p>
                    <w:pPr>
                      <w:spacing w:before="31"/>
                      <w:ind w:left="0" w:right="0" w:firstLine="0"/>
                      <w:jc w:val="left"/>
                      <w:rPr>
                        <w:rFonts w:ascii="Calibri"/>
                        <w:sz w:val="16"/>
                      </w:rPr>
                    </w:pPr>
                    <w:r>
                      <w:rPr>
                        <w:rFonts w:ascii="Calibri"/>
                        <w:sz w:val="16"/>
                      </w:rPr>
                      <w:t>4.0%</w:t>
                    </w:r>
                  </w:p>
                  <w:p>
                    <w:pPr>
                      <w:spacing w:before="32"/>
                      <w:ind w:left="0" w:right="0" w:firstLine="0"/>
                      <w:jc w:val="left"/>
                      <w:rPr>
                        <w:rFonts w:ascii="Calibri"/>
                        <w:sz w:val="16"/>
                      </w:rPr>
                    </w:pPr>
                    <w:r>
                      <w:rPr>
                        <w:rFonts w:ascii="Calibri"/>
                        <w:sz w:val="16"/>
                      </w:rPr>
                      <w:t>3.0%</w:t>
                    </w:r>
                  </w:p>
                  <w:p>
                    <w:pPr>
                      <w:spacing w:before="31"/>
                      <w:ind w:left="0" w:right="0" w:firstLine="0"/>
                      <w:jc w:val="left"/>
                      <w:rPr>
                        <w:rFonts w:ascii="Calibri"/>
                        <w:sz w:val="16"/>
                      </w:rPr>
                    </w:pPr>
                    <w:r>
                      <w:rPr>
                        <w:rFonts w:ascii="Calibri"/>
                        <w:sz w:val="16"/>
                      </w:rPr>
                      <w:t>2.0%</w:t>
                    </w:r>
                  </w:p>
                  <w:p>
                    <w:pPr>
                      <w:spacing w:before="31"/>
                      <w:ind w:left="0" w:right="0" w:firstLine="0"/>
                      <w:jc w:val="left"/>
                      <w:rPr>
                        <w:rFonts w:ascii="Calibri"/>
                        <w:sz w:val="16"/>
                      </w:rPr>
                    </w:pPr>
                    <w:r>
                      <w:rPr>
                        <w:rFonts w:ascii="Calibri"/>
                        <w:sz w:val="16"/>
                      </w:rPr>
                      <w:t>1.0%</w:t>
                    </w:r>
                  </w:p>
                  <w:p>
                    <w:pPr>
                      <w:spacing w:before="31" w:line="192" w:lineRule="exact"/>
                      <w:ind w:left="0" w:right="0" w:firstLine="0"/>
                      <w:jc w:val="left"/>
                      <w:rPr>
                        <w:rFonts w:ascii="Calibri"/>
                        <w:sz w:val="16"/>
                      </w:rPr>
                    </w:pPr>
                    <w:r>
                      <w:rPr>
                        <w:rFonts w:ascii="Calibri"/>
                        <w:sz w:val="16"/>
                      </w:rPr>
                      <w:t>0.0%</w:t>
                    </w:r>
                  </w:p>
                </w:txbxContent>
              </v:textbox>
            </v:shape>
          </v:group>
        </w:pict>
      </w:r>
      <w:r>
        <w:pict>
          <v:rect id="_x0000_s1549" style="width:4.44pt;height:4.31pt;margin-top:6.21pt;margin-left:156.35pt;mso-position-horizontal-relative:page;position:absolute;z-index:251756544" filled="t" fillcolor="#bcdadf" stroked="f">
            <v:fill type="solid"/>
          </v:rect>
        </w:pict>
      </w:r>
      <w:r>
        <w:pict>
          <v:group id="_x0000_s1550" style="width:4.7pt;height:4.7pt;margin-top:5.85pt;margin-left:272.96pt;mso-position-horizontal-relative:page;position:absolute;z-index:-251565056" coordorigin="5459,117" coordsize="94,94">
            <v:shape id="_x0000_s1551" type="#_x0000_t75" style="width:80;height:79;left:5466;position:absolute;top:124" stroked="f">
              <v:imagedata r:id="rId110" o:title=""/>
            </v:shape>
            <v:shape id="_x0000_s1552" style="width:80;height:79;left:5466;position:absolute;top:124" coordorigin="5466,124" coordsize="80,79" path="m5546,164l5542,179,5534,192,5521,200,5506,203,5491,200,5478,192,5469,179,5466,164,5469,148,5478,136,5491,127,5506,124,5521,127,5534,136,5542,148,5546,164xe" filled="f" stroked="t" strokecolor="#1f5ea0" strokeweight="0.72pt">
              <v:stroke dashstyle="solid"/>
              <v:path arrowok="t"/>
            </v:shape>
          </v:group>
        </w:pict>
      </w:r>
      <w:r>
        <w:rPr>
          <w:sz w:val="16"/>
        </w:rPr>
        <w:t>研发费</w:t>
      </w:r>
      <w:r>
        <w:rPr>
          <w:spacing w:val="-3"/>
          <w:sz w:val="16"/>
        </w:rPr>
        <w:t>用</w:t>
      </w:r>
      <w:r>
        <w:rPr>
          <w:sz w:val="16"/>
        </w:rPr>
        <w:t>（百</w:t>
      </w:r>
      <w:r>
        <w:rPr>
          <w:spacing w:val="-3"/>
          <w:sz w:val="16"/>
        </w:rPr>
        <w:t>万</w:t>
      </w:r>
      <w:r>
        <w:rPr>
          <w:sz w:val="16"/>
        </w:rPr>
        <w:t>元）</w:t>
        <w:tab/>
        <w:t>研发费</w:t>
      </w:r>
      <w:r>
        <w:rPr>
          <w:spacing w:val="-3"/>
          <w:sz w:val="16"/>
        </w:rPr>
        <w:t>用</w:t>
      </w:r>
      <w:r>
        <w:rPr>
          <w:sz w:val="16"/>
        </w:rPr>
        <w:t>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2"/>
        </w:rPr>
      </w:pPr>
    </w:p>
    <w:p>
      <w:pPr>
        <w:spacing w:before="69"/>
        <w:ind w:left="1150" w:right="0" w:firstLine="0"/>
        <w:jc w:val="left"/>
        <w:rPr>
          <w:sz w:val="15"/>
        </w:rPr>
      </w:pPr>
      <w:r>
        <w:t xml:space="preserve">资料来源：各公司资料， </w:t>
      </w:r>
    </w:p>
    <w:p>
      <w:pPr>
        <w:pStyle w:val="BodyText"/>
        <w:spacing w:before="7"/>
        <w:rPr>
          <w:sz w:val="13"/>
        </w:rPr>
      </w:pPr>
    </w:p>
    <w:p>
      <w:pPr>
        <w:pStyle w:val="BodyText"/>
        <w:spacing w:before="65" w:line="232" w:lineRule="auto"/>
        <w:ind w:left="1151" w:right="3911"/>
        <w:jc w:val="both"/>
      </w:pPr>
      <w:r>
        <w:rPr>
          <w:color w:val="262626"/>
        </w:rPr>
        <w:t>阳光电源</w:t>
      </w:r>
      <w:r>
        <w:rPr>
          <w:rFonts w:ascii="Calibri" w:eastAsia="Calibri"/>
          <w:color w:val="262626"/>
        </w:rPr>
        <w:t>2022</w:t>
      </w:r>
      <w:r>
        <w:rPr>
          <w:color w:val="262626"/>
        </w:rPr>
        <w:t>年底研发人员数量高达</w:t>
      </w:r>
      <w:r>
        <w:rPr>
          <w:rFonts w:ascii="Calibri" w:eastAsia="Calibri"/>
          <w:color w:val="262626"/>
        </w:rPr>
        <w:t>3647</w:t>
      </w:r>
      <w:r>
        <w:rPr>
          <w:color w:val="262626"/>
        </w:rPr>
        <w:t>，在光伏行业内同样排行第二，固德威也达</w:t>
      </w:r>
      <w:r>
        <w:rPr>
          <w:rFonts w:ascii="Calibri" w:eastAsia="Calibri"/>
          <w:color w:val="262626"/>
        </w:rPr>
        <w:t>862</w:t>
      </w:r>
      <w:r>
        <w:rPr>
          <w:color w:val="262626"/>
        </w:rPr>
        <w:t>。从研发人员占比来看，阳光电源高达</w:t>
      </w:r>
      <w:r>
        <w:rPr>
          <w:rFonts w:ascii="Calibri" w:eastAsia="Calibri"/>
          <w:color w:val="262626"/>
        </w:rPr>
        <w:t>39.5%</w:t>
      </w:r>
      <w:r>
        <w:rPr>
          <w:color w:val="262626"/>
        </w:rPr>
        <w:t>，在光伏行业内遥遥领先，除锦浪科技外，其他逆变器企业也均超</w:t>
      </w:r>
      <w:r>
        <w:rPr>
          <w:rFonts w:ascii="Calibri" w:eastAsia="Calibri"/>
          <w:color w:val="262626"/>
        </w:rPr>
        <w:t>25%</w:t>
      </w:r>
      <w:r>
        <w:rPr>
          <w:color w:val="262626"/>
        </w:rPr>
        <w:t>，同样远高于光伏其他环节。</w:t>
      </w:r>
    </w:p>
    <w:p>
      <w:pPr>
        <w:pStyle w:val="BodyText"/>
        <w:spacing w:before="6"/>
        <w:rPr>
          <w:sz w:val="15"/>
        </w:rPr>
      </w:pPr>
    </w:p>
    <w:p>
      <w:pPr>
        <w:pStyle w:val="Heading3"/>
        <w:jc w:val="both"/>
      </w:pPr>
      <w:r>
        <w:rPr>
          <w:color w:val="262626"/>
        </w:rPr>
        <w:t>图表</w:t>
      </w:r>
      <w:r>
        <w:rPr>
          <w:rFonts w:ascii="Calibri" w:eastAsia="Calibri"/>
        </w:rPr>
        <w:t>33: 2022</w:t>
      </w:r>
      <w:r>
        <w:t>年底內地逆变器和光伏其他环节企业研发人员占比</w:t>
      </w:r>
    </w:p>
    <w:p>
      <w:pPr>
        <w:pStyle w:val="BodyText"/>
        <w:spacing w:line="20" w:lineRule="exact"/>
        <w:ind w:left="1143"/>
        <w:rPr>
          <w:rFonts w:ascii="Microsoft JhengHei"/>
          <w:sz w:val="2"/>
        </w:rPr>
      </w:pPr>
      <w:r>
        <w:rPr>
          <w:rFonts w:ascii="Microsoft JhengHei"/>
          <w:sz w:val="2"/>
        </w:rPr>
        <w:pict>
          <v:group id="_x0000_i1553" style="width:357.2pt;height:0.75pt;mso-position-horizontal-relative:char;mso-position-vertical-relative:line" coordorigin="0,0" coordsize="7144,15">
            <v:line id="_x0000_s1554" style="position:absolute" from="0,8" to="7144,8" stroked="t" strokecolor="black" strokeweight="0.75pt">
              <v:stroke dashstyle="solid"/>
            </v:line>
            <w10:wrap type="none"/>
          </v:group>
        </w:pict>
      </w:r>
    </w:p>
    <w:p>
      <w:pPr>
        <w:tabs>
          <w:tab w:val="left" w:pos="5105"/>
        </w:tabs>
        <w:spacing w:before="45" w:line="191" w:lineRule="exact"/>
        <w:ind w:left="3253" w:right="0" w:firstLine="0"/>
        <w:jc w:val="left"/>
        <w:rPr>
          <w:sz w:val="16"/>
        </w:rPr>
      </w:pPr>
      <w:r>
        <w:pict>
          <v:rect id="_x0000_s1555" style="width:4.32pt;height:4.43pt;margin-top:6.1pt;margin-left:156.53pt;mso-position-horizontal-relative:page;position:absolute;z-index:251757568" filled="t" fillcolor="#bcdadf" stroked="f">
            <v:fill type="solid"/>
          </v:rect>
        </w:pict>
      </w:r>
      <w:r>
        <w:pict>
          <v:group id="_x0000_s1556" style="width:4.7pt;height:4.7pt;margin-top:5.86pt;margin-left:248.81pt;mso-position-horizontal-relative:page;position:absolute;z-index:-251563008" coordorigin="4976,117" coordsize="94,94">
            <v:shape id="_x0000_s1557" type="#_x0000_t75" style="width:80;height:79;left:4983;position:absolute;top:124" stroked="f">
              <v:imagedata r:id="rId111" o:title=""/>
            </v:shape>
            <v:shape id="_x0000_s1558" style="width:80;height:79;left:4983;position:absolute;top:124" coordorigin="4983,124" coordsize="80,79" path="m5063,164l5060,179,5051,192,5038,200,5023,203,5008,200,4995,192,4987,179,4983,164,4987,148,4995,136,5008,127,5023,124,5038,127,5051,136,5060,148,5063,164xe" filled="f" stroked="t" strokecolor="#1f5ea0" strokeweight="0.72pt">
              <v:stroke dashstyle="solid"/>
              <v:path arrowok="t"/>
            </v:shape>
          </v:group>
        </w:pict>
      </w:r>
      <w:r>
        <w:rPr>
          <w:sz w:val="16"/>
        </w:rPr>
        <w:t>研发人</w:t>
      </w:r>
      <w:r>
        <w:rPr>
          <w:spacing w:val="-3"/>
          <w:sz w:val="16"/>
        </w:rPr>
        <w:t>员</w:t>
      </w:r>
      <w:r>
        <w:rPr>
          <w:sz w:val="16"/>
        </w:rPr>
        <w:t>数量</w:t>
        <w:tab/>
        <w:t>在员工</w:t>
      </w:r>
      <w:r>
        <w:rPr>
          <w:spacing w:val="-3"/>
          <w:sz w:val="16"/>
        </w:rPr>
        <w:t>总</w:t>
      </w:r>
      <w:r>
        <w:rPr>
          <w:sz w:val="16"/>
        </w:rPr>
        <w:t>数中</w:t>
      </w:r>
      <w:r>
        <w:rPr>
          <w:spacing w:val="-3"/>
          <w:sz w:val="16"/>
        </w:rPr>
        <w:t>占</w:t>
      </w:r>
      <w:r>
        <w:rPr>
          <w:sz w:val="16"/>
        </w:rPr>
        <w:t>比</w:t>
      </w:r>
    </w:p>
    <w:p>
      <w:pPr>
        <w:tabs>
          <w:tab w:val="left" w:pos="6666"/>
        </w:tabs>
        <w:spacing w:before="0" w:line="164" w:lineRule="exact"/>
        <w:ind w:left="2384" w:right="0" w:firstLine="0"/>
        <w:jc w:val="left"/>
        <w:rPr>
          <w:rFonts w:ascii="Calibri"/>
          <w:sz w:val="16"/>
        </w:rPr>
      </w:pPr>
      <w:r>
        <w:pict>
          <v:group id="_x0000_s1559" style="width:186.85pt;height:125.15pt;margin-top:3.4pt;margin-left:141.65pt;mso-position-horizontal-relative:page;position:absolute;z-index:-251564032" coordorigin="2833,68" coordsize="3737,2503">
            <v:shape id="_x0000_s1560" style="width:3620;height:687;left:2897;position:absolute;top:764" coordorigin="2898,764" coordsize="3620,687" path="m5703,1451l6517,1451m5341,1451l5523,1451m4979,1451l5161,1451m4616,1451l4799,1451m3169,1451l4436,1451m2898,1451l2989,1451m3169,1109l4436,1109m2898,1109l2989,1109m3169,764l4436,764m2898,764l2989,764e" filled="f" stroked="t" strokecolor="#d8d8d8" strokeweight="0.72pt">
              <v:stroke dashstyle="solid"/>
              <v:path arrowok="t"/>
            </v:shape>
            <v:shape id="_x0000_s1561" style="width:905;height:1254;left:2988;position:absolute;top:541" coordorigin="2989,542" coordsize="905,1254" path="m3169,542l2989,542,2989,1795,3169,1795,3169,542m3531,1499l3349,1499,3349,1795,3531,1795,3531,1499m3894,1616l3711,1616,3711,1795,3894,1795,3894,1616e" filled="t" fillcolor="#bcdadf" stroked="f">
              <v:fill type="solid"/>
              <v:path arrowok="t"/>
            </v:shape>
            <v:line id="_x0000_s1562" style="position:absolute" from="4074,1750" to="4256,1750" stroked="t" strokecolor="#bcdadf" strokeweight="4.55pt">
              <v:stroke dashstyle="solid"/>
            </v:line>
            <v:shape id="_x0000_s1563" style="width:908;height:345;left:4616;position:absolute;top:764" coordorigin="4616,764" coordsize="908,345" path="m4616,1109l5161,1109m4616,764l5523,764e" filled="f" stroked="t" strokecolor="#d8d8d8" strokeweight="0.72pt">
              <v:stroke dashstyle="solid"/>
              <v:path arrowok="t"/>
            </v:shape>
            <v:shape id="_x0000_s1564" style="width:543;height:1221;left:4436;position:absolute;top:575" coordorigin="4436,575" coordsize="543,1221" path="m4616,575l4436,575,4436,1795,4616,1795,4616,575m4979,1365l4799,1365,4799,1795,4979,1795,4979,1365e" filled="t" fillcolor="#bcdadf" stroked="f">
              <v:fill type="solid"/>
              <v:path arrowok="t"/>
            </v:shape>
            <v:line id="_x0000_s1565" style="position:absolute" from="5341,1109" to="5523,1109" stroked="t" strokecolor="#d8d8d8" strokeweight="0.72pt">
              <v:stroke dashstyle="solid"/>
            </v:line>
            <v:rect id="_x0000_s1566" style="width:180;height:737;left:5161;position:absolute;top:1058" filled="t" fillcolor="#bcdadf" stroked="f">
              <v:fill type="solid"/>
            </v:rect>
            <v:shape id="_x0000_s1567" style="width:3620;height:689;left:2897;position:absolute;top:419" coordorigin="2898,420" coordsize="3620,689" path="m5703,1109l6517,1109m5703,764l6517,764m5703,420l6517,420m2898,420l5523,420e" filled="f" stroked="t" strokecolor="#d8d8d8" strokeweight="0.72pt">
              <v:stroke dashstyle="solid"/>
              <v:path arrowok="t"/>
            </v:shape>
            <v:shape id="_x0000_s1568" style="width:905;height:1388;left:5523;position:absolute;top:407" coordorigin="5523,408" coordsize="905,1388" path="m5703,408l5523,408,5523,1795,5703,1795,5703,408m6066,1604l5883,1604,5883,1795,6066,1795,6066,1604m6428,1523l6246,1523,6246,1795,6428,1795,6428,1523e" filled="t" fillcolor="#bcdadf" stroked="f">
              <v:fill type="solid"/>
              <v:path arrowok="t"/>
            </v:shape>
            <v:line id="_x0000_s1569" style="position:absolute" from="2898,75" to="6517,75" stroked="t" strokecolor="#d8d8d8" strokeweight="0.72pt">
              <v:stroke dashstyle="solid"/>
            </v:line>
            <v:line id="_x0000_s1570" style="position:absolute" from="6517,1795" to="6517,75" stroked="t" strokecolor="#bfbfbf" strokeweight="0.72pt">
              <v:stroke dashstyle="solid"/>
            </v:line>
            <v:shape id="_x0000_s1571" style="width:222784;height:7281000;position:absolute;top:-7275302" coordorigin="0,-7275301" coordsize="222784,7281000" path="m6517,1795l6570,1795m6517,1451l6570,1451m6517,1108l6570,1108m6517,764l6570,764m6517,420l6570,420m6517,75l6570,75e" filled="f" stroked="t" strokecolor="#bfbfbf" strokeweight="0.72pt">
              <v:stroke dashstyle="solid"/>
              <v:path arrowok="t"/>
            </v:shape>
            <v:line id="_x0000_s1572" style="position:absolute" from="2898,1795" to="2898,75" stroked="t" strokecolor="#bfbfbf" strokeweight="0.72pt">
              <v:stroke dashstyle="solid"/>
            </v:line>
            <v:shape id="_x0000_s1573" style="width:212658;height:7281000;position:absolute;top:-7275302" coordorigin="0,-7275301" coordsize="212658,7281000" path="m2847,1795l2898,1795m2847,1451l2898,1451m2847,1108l2898,1108m2847,764l2898,764m2847,420l2898,420m2847,75l2898,75e" filled="f" stroked="t" strokecolor="#bfbfbf" strokeweight="0.72pt">
              <v:stroke dashstyle="solid"/>
              <v:path arrowok="t"/>
            </v:shape>
            <v:shape id="_x0000_s1574" style="width:15270880;height:212658;position:absolute;top:-206960" coordorigin="0,-206959" coordsize="15270880,212658" path="m2898,1795l6517,1795m2898,1795l2898,1845m3260,1795l3260,1845m3623,1795l3623,1845m3983,1795l3983,1845m4345,1795l4345,1845m4707,1795l4707,1845m5070,1795l5070,1845m5432,1795l5432,1845m5795,1795l5795,1845m6157,1795l6157,1845m6517,1795l6517,1845e" filled="f" stroked="t" strokecolor="#bfbfbf" strokeweight="0.72pt">
              <v:stroke dashstyle="solid"/>
              <v:path arrowok="t"/>
            </v:shape>
            <v:shape id="_x0000_s1575" type="#_x0000_t75" style="width:101;height:101;left:3026;position:absolute;top:388" stroked="f">
              <v:imagedata r:id="rId112" o:title=""/>
            </v:shape>
            <v:shape id="_x0000_s1576" type="#_x0000_t75" style="width:116;height:115;left:3019;position:absolute;top:381" stroked="f">
              <v:imagedata r:id="rId113" o:title=""/>
            </v:shape>
            <v:shape id="_x0000_s1577" type="#_x0000_t75" style="width:101;height:101;left:3388;position:absolute;top:854" stroked="f">
              <v:imagedata r:id="rId114" o:title=""/>
            </v:shape>
            <v:shape id="_x0000_s1578" type="#_x0000_t75" style="width:116;height:115;left:3381;position:absolute;top:847" stroked="f">
              <v:imagedata r:id="rId113" o:title=""/>
            </v:shape>
            <v:shape id="_x0000_s1579" type="#_x0000_t75" style="width:101;height:101;left:3751;position:absolute;top:1295" stroked="f">
              <v:imagedata r:id="rId115" o:title=""/>
            </v:shape>
            <v:shape id="_x0000_s1580" type="#_x0000_t75" style="width:116;height:115;left:3744;position:absolute;top:1287" stroked="f">
              <v:imagedata r:id="rId105" o:title=""/>
            </v:shape>
            <v:shape id="_x0000_s1581" type="#_x0000_t75" style="width:101;height:101;left:4113;position:absolute;top:835" stroked="f">
              <v:imagedata r:id="rId112" o:title=""/>
            </v:shape>
            <v:shape id="_x0000_s1582" type="#_x0000_t75" style="width:116;height:115;left:4106;position:absolute;top:828" stroked="f">
              <v:imagedata r:id="rId116" o:title=""/>
            </v:shape>
            <v:shape id="_x0000_s1583" type="#_x0000_t75" style="width:101;height:101;left:4476;position:absolute;top:1448" stroked="f">
              <v:imagedata r:id="rId114" o:title=""/>
            </v:shape>
            <v:shape id="_x0000_s1584" type="#_x0000_t75" style="width:116;height:115;left:4468;position:absolute;top:1440" stroked="f">
              <v:imagedata r:id="rId117" o:title=""/>
            </v:shape>
            <v:shape id="_x0000_s1585" type="#_x0000_t75" style="width:101;height:101;left:4838;position:absolute;top:1498" stroked="f">
              <v:imagedata r:id="rId115" o:title=""/>
            </v:shape>
            <v:shape id="_x0000_s1586" type="#_x0000_t75" style="width:101;height:101;left:5198;position:absolute;top:938" stroked="f">
              <v:imagedata r:id="rId118" o:title=""/>
            </v:shape>
            <v:shape id="_x0000_s1587" type="#_x0000_t75" style="width:116;height:115;left:4831;position:absolute;top:1491" stroked="f">
              <v:imagedata r:id="rId105" o:title=""/>
            </v:shape>
            <v:shape id="_x0000_s1588" type="#_x0000_t75" style="width:116;height:115;left:5191;position:absolute;top:931" stroked="f">
              <v:imagedata r:id="rId106" o:title=""/>
            </v:shape>
            <v:shape id="_x0000_s1589" type="#_x0000_t75" style="width:101;height:101;left:5561;position:absolute;top:1515" stroked="f">
              <v:imagedata r:id="rId118" o:title=""/>
            </v:shape>
            <v:shape id="_x0000_s1590" type="#_x0000_t75" style="width:116;height:115;left:5553;position:absolute;top:1507" stroked="f">
              <v:imagedata r:id="rId117" o:title=""/>
            </v:shape>
            <v:shape id="_x0000_s1591" type="#_x0000_t75" style="width:101;height:101;left:5923;position:absolute;top:1218" stroked="f">
              <v:imagedata r:id="rId112" o:title=""/>
            </v:shape>
            <v:shape id="_x0000_s1592" type="#_x0000_t75" style="width:116;height:115;left:5916;position:absolute;top:1211" stroked="f">
              <v:imagedata r:id="rId119" o:title=""/>
            </v:shape>
            <v:shape id="_x0000_s1593" type="#_x0000_t75" style="width:101;height:101;left:6285;position:absolute;top:1390" stroked="f">
              <v:imagedata r:id="rId115" o:title=""/>
            </v:shape>
            <v:shape id="_x0000_s1594" type="#_x0000_t75" style="width:116;height:115;left:6278;position:absolute;top:1383" stroked="f">
              <v:imagedata r:id="rId105" o:title=""/>
            </v:shape>
            <v:rect id="_x0000_s1595" style="width:1529;height:756;left:2848;position:absolute;top:1798" filled="f" stroked="t" strokecolor="#287ed4" strokeweight="1.56pt">
              <v:stroke dashstyle="solid"/>
            </v:rect>
          </v:group>
        </w:pict>
      </w:r>
      <w:r>
        <w:rPr>
          <w:rFonts w:ascii="Calibri"/>
          <w:sz w:val="16"/>
        </w:rPr>
        <w:t>5,000</w:t>
        <w:tab/>
        <w:t>50.0%</w:t>
      </w:r>
    </w:p>
    <w:p>
      <w:pPr>
        <w:pStyle w:val="BodyText"/>
        <w:spacing w:before="2"/>
        <w:rPr>
          <w:rFonts w:ascii="Calibri"/>
          <w:sz w:val="12"/>
        </w:rPr>
      </w:pPr>
    </w:p>
    <w:p>
      <w:pPr>
        <w:tabs>
          <w:tab w:val="left" w:pos="6666"/>
        </w:tabs>
        <w:spacing w:before="0"/>
        <w:ind w:left="2384" w:right="0" w:firstLine="0"/>
        <w:jc w:val="left"/>
        <w:rPr>
          <w:rFonts w:ascii="Calibri"/>
          <w:sz w:val="16"/>
        </w:rPr>
      </w:pPr>
      <w:r>
        <w:rPr>
          <w:rFonts w:ascii="Calibri"/>
          <w:sz w:val="16"/>
        </w:rPr>
        <w:t>4,000</w:t>
        <w:tab/>
        <w:t>40.0%</w:t>
      </w:r>
    </w:p>
    <w:p>
      <w:pPr>
        <w:pStyle w:val="BodyText"/>
        <w:spacing w:before="2"/>
        <w:rPr>
          <w:rFonts w:ascii="Calibri"/>
          <w:sz w:val="12"/>
        </w:rPr>
      </w:pPr>
    </w:p>
    <w:p>
      <w:pPr>
        <w:tabs>
          <w:tab w:val="left" w:pos="6666"/>
        </w:tabs>
        <w:spacing w:before="0"/>
        <w:ind w:left="2384" w:right="0" w:firstLine="0"/>
        <w:jc w:val="left"/>
        <w:rPr>
          <w:rFonts w:ascii="Calibri"/>
          <w:sz w:val="16"/>
        </w:rPr>
      </w:pPr>
      <w:r>
        <w:rPr>
          <w:rFonts w:ascii="Calibri"/>
          <w:sz w:val="16"/>
        </w:rPr>
        <w:t>3,000</w:t>
        <w:tab/>
        <w:t>30.0%</w:t>
      </w:r>
    </w:p>
    <w:p>
      <w:pPr>
        <w:pStyle w:val="BodyText"/>
        <w:spacing w:before="2"/>
        <w:rPr>
          <w:rFonts w:ascii="Calibri"/>
          <w:sz w:val="12"/>
        </w:rPr>
      </w:pPr>
    </w:p>
    <w:p>
      <w:pPr>
        <w:tabs>
          <w:tab w:val="left" w:pos="6666"/>
        </w:tabs>
        <w:spacing w:before="0"/>
        <w:ind w:left="2384" w:right="0" w:firstLine="0"/>
        <w:jc w:val="left"/>
        <w:rPr>
          <w:rFonts w:ascii="Calibri"/>
          <w:sz w:val="16"/>
        </w:rPr>
      </w:pPr>
      <w:r>
        <w:rPr>
          <w:rFonts w:ascii="Calibri"/>
          <w:sz w:val="16"/>
        </w:rPr>
        <w:t>2,000</w:t>
        <w:tab/>
        <w:t>20.0%</w:t>
      </w:r>
    </w:p>
    <w:p>
      <w:pPr>
        <w:pStyle w:val="BodyText"/>
        <w:spacing w:before="2"/>
        <w:rPr>
          <w:rFonts w:ascii="Calibri"/>
          <w:sz w:val="12"/>
        </w:rPr>
      </w:pPr>
    </w:p>
    <w:p>
      <w:pPr>
        <w:tabs>
          <w:tab w:val="left" w:pos="6666"/>
        </w:tabs>
        <w:spacing w:before="0"/>
        <w:ind w:left="2384" w:right="0" w:firstLine="0"/>
        <w:jc w:val="left"/>
        <w:rPr>
          <w:rFonts w:ascii="Calibri"/>
          <w:sz w:val="16"/>
        </w:rPr>
      </w:pPr>
      <w:r>
        <w:rPr>
          <w:rFonts w:ascii="Calibri"/>
          <w:sz w:val="16"/>
        </w:rPr>
        <w:t>1,000</w:t>
        <w:tab/>
        <w:t>10.0%</w:t>
      </w:r>
    </w:p>
    <w:p>
      <w:pPr>
        <w:pStyle w:val="BodyText"/>
        <w:spacing w:before="2"/>
        <w:rPr>
          <w:rFonts w:ascii="Calibri"/>
          <w:sz w:val="12"/>
        </w:rPr>
      </w:pPr>
    </w:p>
    <w:p>
      <w:pPr>
        <w:tabs>
          <w:tab w:val="left" w:pos="6666"/>
        </w:tabs>
        <w:spacing w:before="0"/>
        <w:ind w:left="2667" w:right="0" w:firstLine="0"/>
        <w:jc w:val="left"/>
        <w:rPr>
          <w:rFonts w:ascii="Calibri"/>
          <w:sz w:val="16"/>
        </w:rPr>
      </w:pPr>
      <w:r>
        <w:pict>
          <v:shape id="_x0000_s1596" type="#_x0000_t202" style="width:10.05pt;height:34.1pt;margin-top:9.35pt;margin-left:148.83pt;mso-position-horizontal-relative:page;position:absolute;z-index:251758592" filled="f" stroked="f">
            <v:textbox style="layout-flow:vertical;mso-layout-flow-alt:bottom-to-top" inset="0,0,0,0">
              <w:txbxContent>
                <w:p>
                  <w:pPr>
                    <w:spacing w:before="0" w:line="194" w:lineRule="exact"/>
                    <w:ind w:left="20" w:right="0" w:firstLine="0"/>
                    <w:jc w:val="left"/>
                    <w:rPr>
                      <w:sz w:val="16"/>
                    </w:rPr>
                  </w:pPr>
                  <w:r>
                    <w:rPr>
                      <w:sz w:val="16"/>
                    </w:rPr>
                    <w:t>阳光电源</w:t>
                  </w:r>
                </w:p>
              </w:txbxContent>
            </v:textbox>
          </v:shape>
        </w:pict>
      </w:r>
      <w:r>
        <w:pict>
          <v:shape id="_x0000_s1597" type="#_x0000_t202" style="width:10.05pt;height:26.05pt;margin-top:9.31pt;margin-left:166.94pt;mso-position-horizontal-relative:page;position:absolute;z-index:251759616" filled="f" stroked="f">
            <v:textbox style="layout-flow:vertical;mso-layout-flow-alt:bottom-to-top" inset="0,0,0,0">
              <w:txbxContent>
                <w:p>
                  <w:pPr>
                    <w:spacing w:before="0" w:line="194" w:lineRule="exact"/>
                    <w:ind w:left="20" w:right="0" w:firstLine="0"/>
                    <w:jc w:val="left"/>
                    <w:rPr>
                      <w:sz w:val="16"/>
                    </w:rPr>
                  </w:pPr>
                  <w:r>
                    <w:rPr>
                      <w:sz w:val="16"/>
                    </w:rPr>
                    <w:t>固德威</w:t>
                  </w:r>
                </w:p>
              </w:txbxContent>
            </v:textbox>
          </v:shape>
        </w:pict>
      </w:r>
      <w:r>
        <w:pict>
          <v:shape id="_x0000_s1598" type="#_x0000_t202" style="width:10.05pt;height:34.1pt;margin-top:9.35pt;margin-left:185.04pt;mso-position-horizontal-relative:page;position:absolute;z-index:251760640" filled="f" stroked="f">
            <v:textbox style="layout-flow:vertical;mso-layout-flow-alt:bottom-to-top" inset="0,0,0,0">
              <w:txbxContent>
                <w:p>
                  <w:pPr>
                    <w:spacing w:before="0" w:line="194" w:lineRule="exact"/>
                    <w:ind w:left="20" w:right="0" w:firstLine="0"/>
                    <w:jc w:val="left"/>
                    <w:rPr>
                      <w:sz w:val="16"/>
                    </w:rPr>
                  </w:pPr>
                  <w:r>
                    <w:rPr>
                      <w:sz w:val="16"/>
                    </w:rPr>
                    <w:t>锦浪科技</w:t>
                  </w:r>
                </w:p>
              </w:txbxContent>
            </v:textbox>
          </v:shape>
        </w:pict>
      </w:r>
      <w:r>
        <w:pict>
          <v:shape id="_x0000_s1599" type="#_x0000_t202" style="width:10.05pt;height:34.1pt;margin-top:9.35pt;margin-left:203.15pt;mso-position-horizontal-relative:page;position:absolute;z-index:251761664" filled="f" stroked="f">
            <v:textbox style="layout-flow:vertical;mso-layout-flow-alt:bottom-to-top" inset="0,0,0,0">
              <w:txbxContent>
                <w:p>
                  <w:pPr>
                    <w:spacing w:before="0" w:line="194" w:lineRule="exact"/>
                    <w:ind w:left="20" w:right="0" w:firstLine="0"/>
                    <w:jc w:val="left"/>
                    <w:rPr>
                      <w:sz w:val="16"/>
                    </w:rPr>
                  </w:pPr>
                  <w:r>
                    <w:rPr>
                      <w:sz w:val="16"/>
                    </w:rPr>
                    <w:t>上能电气</w:t>
                  </w:r>
                </w:p>
              </w:txbxContent>
            </v:textbox>
          </v:shape>
        </w:pict>
      </w:r>
      <w:r>
        <w:pict>
          <v:shape id="_x0000_s1600" type="#_x0000_t202" style="width:10.05pt;height:34.1pt;margin-top:9.35pt;margin-left:221.25pt;mso-position-horizontal-relative:page;position:absolute;z-index:251762688" filled="f" stroked="f">
            <v:textbox style="layout-flow:vertical;mso-layout-flow-alt:bottom-to-top" inset="0,0,0,0">
              <w:txbxContent>
                <w:p>
                  <w:pPr>
                    <w:spacing w:before="0" w:line="194" w:lineRule="exact"/>
                    <w:ind w:left="20" w:right="0" w:firstLine="0"/>
                    <w:jc w:val="left"/>
                    <w:rPr>
                      <w:sz w:val="16"/>
                    </w:rPr>
                  </w:pPr>
                  <w:r>
                    <w:rPr>
                      <w:sz w:val="16"/>
                    </w:rPr>
                    <w:t>通威股份</w:t>
                  </w:r>
                </w:p>
              </w:txbxContent>
            </v:textbox>
          </v:shape>
        </w:pict>
      </w:r>
      <w:r>
        <w:pict>
          <v:shape id="_x0000_s1601" type="#_x0000_t202" style="width:10.45pt;height:29.75pt;margin-top:9.28pt;margin-left:239.36pt;mso-position-horizontal-relative:page;position:absolute;z-index:251763712" filled="f" stroked="f">
            <v:textbox style="layout-flow:vertical;mso-layout-flow-alt:bottom-to-top" inset="0,0,0,0">
              <w:txbxContent>
                <w:p>
                  <w:pPr>
                    <w:spacing w:before="0" w:line="194" w:lineRule="exact"/>
                    <w:ind w:left="20" w:right="0" w:firstLine="0"/>
                    <w:jc w:val="left"/>
                    <w:rPr>
                      <w:sz w:val="16"/>
                    </w:rPr>
                  </w:pPr>
                  <w:r>
                    <w:rPr>
                      <w:rFonts w:ascii="Calibri" w:eastAsia="Calibri"/>
                      <w:sz w:val="16"/>
                    </w:rPr>
                    <w:t>TCL</w:t>
                  </w:r>
                  <w:r>
                    <w:rPr>
                      <w:sz w:val="16"/>
                    </w:rPr>
                    <w:t>中环</w:t>
                  </w:r>
                </w:p>
              </w:txbxContent>
            </v:textbox>
          </v:shape>
        </w:pict>
      </w:r>
      <w:r>
        <w:pict>
          <v:shape id="_x0000_s1602" type="#_x0000_t202" style="width:10.05pt;height:34.1pt;margin-top:9.35pt;margin-left:257.46pt;mso-position-horizontal-relative:page;position:absolute;z-index:251764736" filled="f" stroked="f">
            <v:textbox style="layout-flow:vertical;mso-layout-flow-alt:bottom-to-top" inset="0,0,0,0">
              <w:txbxContent>
                <w:p>
                  <w:pPr>
                    <w:spacing w:before="0" w:line="194" w:lineRule="exact"/>
                    <w:ind w:left="20" w:right="0" w:firstLine="0"/>
                    <w:jc w:val="left"/>
                    <w:rPr>
                      <w:sz w:val="16"/>
                    </w:rPr>
                  </w:pPr>
                  <w:r>
                    <w:rPr>
                      <w:sz w:val="16"/>
                    </w:rPr>
                    <w:t>爱旭股份</w:t>
                  </w:r>
                </w:p>
              </w:txbxContent>
            </v:textbox>
          </v:shape>
        </w:pict>
      </w:r>
      <w:r>
        <w:pict>
          <v:shape id="_x0000_s1603" type="#_x0000_t202" style="width:10.05pt;height:34.1pt;margin-top:9.35pt;margin-left:275.57pt;mso-position-horizontal-relative:page;position:absolute;z-index:251765760" filled="f" stroked="f">
            <v:textbox style="layout-flow:vertical;mso-layout-flow-alt:bottom-to-top" inset="0,0,0,0">
              <w:txbxContent>
                <w:p>
                  <w:pPr>
                    <w:spacing w:before="0" w:line="194" w:lineRule="exact"/>
                    <w:ind w:left="20" w:right="0" w:firstLine="0"/>
                    <w:jc w:val="left"/>
                    <w:rPr>
                      <w:sz w:val="16"/>
                    </w:rPr>
                  </w:pPr>
                  <w:r>
                    <w:rPr>
                      <w:sz w:val="16"/>
                    </w:rPr>
                    <w:t>隆基绿能</w:t>
                  </w:r>
                </w:p>
              </w:txbxContent>
            </v:textbox>
          </v:shape>
        </w:pict>
      </w:r>
      <w:r>
        <w:pict>
          <v:shape id="_x0000_s1604" type="#_x0000_t202" style="width:10.05pt;height:26.05pt;margin-top:9.31pt;margin-left:293.67pt;mso-position-horizontal-relative:page;position:absolute;z-index:251766784" filled="f" stroked="f">
            <v:textbox style="layout-flow:vertical;mso-layout-flow-alt:bottom-to-top" inset="0,0,0,0">
              <w:txbxContent>
                <w:p>
                  <w:pPr>
                    <w:spacing w:before="0" w:line="194" w:lineRule="exact"/>
                    <w:ind w:left="20" w:right="0" w:firstLine="0"/>
                    <w:jc w:val="left"/>
                    <w:rPr>
                      <w:sz w:val="16"/>
                    </w:rPr>
                  </w:pPr>
                  <w:r>
                    <w:rPr>
                      <w:sz w:val="16"/>
                    </w:rPr>
                    <w:t>福斯特</w:t>
                  </w:r>
                </w:p>
              </w:txbxContent>
            </v:textbox>
          </v:shape>
        </w:pict>
      </w:r>
      <w:r>
        <w:pict>
          <v:shape id="_x0000_s1605" type="#_x0000_t202" style="width:10.05pt;height:26.05pt;margin-top:9.31pt;margin-left:311.78pt;mso-position-horizontal-relative:page;position:absolute;z-index:251767808" filled="f" stroked="f">
            <v:textbox style="layout-flow:vertical;mso-layout-flow-alt:bottom-to-top" inset="0,0,0,0">
              <w:txbxContent>
                <w:p>
                  <w:pPr>
                    <w:spacing w:before="0" w:line="194" w:lineRule="exact"/>
                    <w:ind w:left="20" w:right="0" w:firstLine="0"/>
                    <w:jc w:val="left"/>
                    <w:rPr>
                      <w:sz w:val="16"/>
                    </w:rPr>
                  </w:pPr>
                  <w:r>
                    <w:rPr>
                      <w:sz w:val="16"/>
                    </w:rPr>
                    <w:t>福莱特</w:t>
                  </w:r>
                </w:p>
              </w:txbxContent>
            </v:textbox>
          </v:shape>
        </w:pict>
      </w:r>
      <w:r>
        <w:rPr>
          <w:rFonts w:ascii="Calibri"/>
          <w:sz w:val="16"/>
        </w:rPr>
        <w:t>0</w:t>
        <w:tab/>
        <w:t>0.0%</w:t>
      </w:r>
    </w:p>
    <w:p>
      <w:pPr>
        <w:pStyle w:val="BodyText"/>
        <w:rPr>
          <w:rFonts w:ascii="Calibri"/>
          <w:sz w:val="20"/>
        </w:rPr>
      </w:pPr>
    </w:p>
    <w:p>
      <w:pPr>
        <w:pStyle w:val="BodyText"/>
        <w:rPr>
          <w:rFonts w:ascii="Calibri"/>
          <w:sz w:val="20"/>
        </w:rPr>
      </w:pPr>
    </w:p>
    <w:p>
      <w:pPr>
        <w:pStyle w:val="BodyText"/>
        <w:spacing w:before="10"/>
        <w:rPr>
          <w:rFonts w:ascii="Calibri"/>
          <w:sz w:val="20"/>
        </w:rPr>
      </w:pPr>
      <w:r>
        <w:pict>
          <v:shape id="_x0000_s1606" style="width:357.2pt;height:0.1pt;margin-top:15.06pt;margin-left:57.55pt;mso-position-horizontal-relative:page;mso-wrap-distance-left:0;mso-wrap-distance-right:0;position:absolute;z-index:-251561984" coordorigin="1151,301" coordsize="7144,0" path="m1151,301l8295,301e" filled="f" stroked="t" strokecolor="black" strokeweight="0.75pt">
            <v:stroke dashstyle="solid"/>
            <v:path arrowok="t"/>
            <w10:wrap type="topAndBottom"/>
          </v:shape>
        </w:pict>
      </w:r>
    </w:p>
    <w:p>
      <w:pPr>
        <w:spacing w:before="0" w:line="157" w:lineRule="exact"/>
        <w:ind w:left="1150" w:right="0" w:firstLine="0"/>
        <w:jc w:val="left"/>
        <w:rPr>
          <w:sz w:val="15"/>
        </w:rPr>
      </w:pPr>
      <w:r>
        <w:t xml:space="preserve">资料来源：各公司资料， </w:t>
      </w:r>
    </w:p>
    <w:p>
      <w:pPr>
        <w:pStyle w:val="BodyText"/>
        <w:spacing w:before="7"/>
        <w:rPr>
          <w:sz w:val="13"/>
        </w:rPr>
      </w:pPr>
    </w:p>
    <w:p>
      <w:pPr>
        <w:pStyle w:val="BodyText"/>
        <w:spacing w:before="64" w:line="232" w:lineRule="auto"/>
        <w:ind w:left="1151" w:right="3913"/>
        <w:jc w:val="both"/>
      </w:pPr>
      <w:r>
        <w:rPr>
          <w:color w:val="262626"/>
        </w:rPr>
        <w:t>远高于其他环节的研发费用率和研发人员占比，反映出逆变器在光伏行业内较高的技术含量。我们预计阳光电源、固德威等在研发方面持续投入大量资源的企业，将在未来竞争中获得明显优势。</w:t>
      </w:r>
    </w:p>
    <w:p>
      <w:pPr>
        <w:spacing w:after="0" w:line="232" w:lineRule="auto"/>
        <w:jc w:val="both"/>
        <w:sectPr>
          <w:headerReference w:type="default" r:id="rId120"/>
          <w:footerReference w:type="default" r:id="rId121"/>
          <w:pgSz w:w="12240" w:h="15840"/>
          <w:pgMar w:top="1720" w:right="0" w:bottom="1380" w:left="0" w:header="708" w:footer="708"/>
          <w:pgNumType w:start="39"/>
          <w:cols w:space="708"/>
        </w:sectPr>
      </w:pPr>
    </w:p>
    <w:p>
      <w:pPr>
        <w:pStyle w:val="BodyText"/>
        <w:rPr>
          <w:sz w:val="20"/>
        </w:rPr>
      </w:pPr>
    </w:p>
    <w:p>
      <w:pPr>
        <w:pStyle w:val="BodyText"/>
        <w:spacing w:before="5"/>
        <w:rPr>
          <w:sz w:val="23"/>
        </w:rPr>
      </w:pPr>
    </w:p>
    <w:p>
      <w:pPr>
        <w:pStyle w:val="BodyText"/>
        <w:spacing w:before="64" w:line="232" w:lineRule="auto"/>
        <w:ind w:left="1151" w:right="3910"/>
        <w:jc w:val="both"/>
      </w:pPr>
      <w:r>
        <w:rPr>
          <w:color w:val="262626"/>
        </w:rPr>
        <w:t>目前內地并网逆变器价格在</w:t>
      </w:r>
      <w:r>
        <w:rPr>
          <w:rFonts w:ascii="Calibri" w:eastAsia="Calibri"/>
          <w:color w:val="262626"/>
        </w:rPr>
        <w:t>0.1-0.15</w:t>
      </w:r>
      <w:r>
        <w:rPr>
          <w:color w:val="262626"/>
        </w:rPr>
        <w:t>元</w:t>
      </w:r>
      <w:r>
        <w:rPr>
          <w:rFonts w:ascii="Calibri" w:eastAsia="Calibri"/>
          <w:color w:val="262626"/>
        </w:rPr>
        <w:t>/</w:t>
      </w:r>
      <w:r>
        <w:rPr>
          <w:color w:val="262626"/>
        </w:rPr>
        <w:t>瓦，为组件的约</w:t>
      </w:r>
      <w:r>
        <w:rPr>
          <w:rFonts w:ascii="Calibri" w:eastAsia="Calibri"/>
          <w:color w:val="262626"/>
        </w:rPr>
        <w:t>10%</w:t>
      </w:r>
      <w:r>
        <w:rPr>
          <w:color w:val="262626"/>
        </w:rPr>
        <w:t>，在</w:t>
      </w:r>
      <w:r>
        <w:rPr>
          <w:rFonts w:ascii="Calibri" w:eastAsia="Calibri"/>
          <w:color w:val="262626"/>
        </w:rPr>
        <w:t>3-4</w:t>
      </w:r>
      <w:r>
        <w:rPr>
          <w:color w:val="262626"/>
        </w:rPr>
        <w:t>元</w:t>
      </w:r>
      <w:r>
        <w:rPr>
          <w:rFonts w:ascii="Calibri" w:eastAsia="Calibri"/>
          <w:color w:val="262626"/>
        </w:rPr>
        <w:t>/</w:t>
      </w:r>
      <w:r>
        <w:rPr>
          <w:color w:val="262626"/>
        </w:rPr>
        <w:t>瓦的光伏项目投资成本中仅占</w:t>
      </w:r>
      <w:r>
        <w:rPr>
          <w:rFonts w:ascii="Calibri" w:eastAsia="Calibri"/>
          <w:color w:val="262626"/>
        </w:rPr>
        <w:t>3-4%</w:t>
      </w:r>
      <w:r>
        <w:rPr>
          <w:color w:val="262626"/>
        </w:rPr>
        <w:t>，但其性能对发电量影响较大，具备一定技术含量， 且不同应用场景下逆变器种类繁多（例如阳光电源官网上的逆变器品类多达</w:t>
      </w:r>
      <w:r>
        <w:rPr>
          <w:rFonts w:ascii="Calibri" w:eastAsia="Calibri"/>
          <w:color w:val="262626"/>
        </w:rPr>
        <w:t xml:space="preserve">24 </w:t>
      </w:r>
      <w:r>
        <w:rPr>
          <w:color w:val="262626"/>
        </w:rPr>
        <w:t>种），并非完全的同质化商品，尤其是户用逆变器具有</w:t>
      </w:r>
      <w:r>
        <w:rPr>
          <w:rFonts w:ascii="Calibri" w:eastAsia="Calibri"/>
          <w:color w:val="262626"/>
        </w:rPr>
        <w:t>2C</w:t>
      </w:r>
      <w:r>
        <w:rPr>
          <w:color w:val="262626"/>
        </w:rPr>
        <w:t>属性，因此价格并非客户选择产品时的核心决定因素，降价压力相对较小，因此相比光伏制造其他环节利润率更高。</w:t>
      </w:r>
    </w:p>
    <w:p>
      <w:pPr>
        <w:pStyle w:val="BodyText"/>
        <w:spacing w:before="8"/>
        <w:rPr>
          <w:sz w:val="14"/>
        </w:rPr>
      </w:pPr>
    </w:p>
    <w:p>
      <w:pPr>
        <w:pStyle w:val="Heading2"/>
        <w:spacing w:line="240" w:lineRule="auto"/>
      </w:pPr>
      <w:bookmarkStart w:id="11" w:name="_TOC_250007"/>
      <w:bookmarkEnd w:id="11"/>
      <w:r>
        <w:rPr>
          <w:color w:val="59A1AE"/>
        </w:rPr>
        <w:t>海外毛利率高于內地，阳光电源毛利率优势明显</w:t>
      </w:r>
    </w:p>
    <w:p>
      <w:pPr>
        <w:pStyle w:val="BodyText"/>
        <w:spacing w:before="98" w:line="232" w:lineRule="auto"/>
        <w:ind w:left="1151" w:right="3910"/>
        <w:jc w:val="both"/>
      </w:pPr>
      <w:r>
        <w:rPr>
          <w:color w:val="262626"/>
        </w:rPr>
        <w:t>由于海外人工、土地等成本远高于内地，逆变器在其光伏装机投资成本中占比远低于内地，因此对逆变器性能要求较高、价格敏感度较低，同时海外市场销售门槛较高，仅有一二线企业能被普遍接受，竞争程度相对缓和，导致海外毛利率远高于內地。例如固德威</w:t>
      </w:r>
      <w:r>
        <w:rPr>
          <w:rFonts w:ascii="Calibri" w:eastAsia="Calibri"/>
          <w:color w:val="262626"/>
        </w:rPr>
        <w:t>2022</w:t>
      </w:r>
      <w:r>
        <w:rPr>
          <w:color w:val="262626"/>
        </w:rPr>
        <w:t>年逆变器境外毛利率高达</w:t>
      </w:r>
      <w:r>
        <w:rPr>
          <w:rFonts w:ascii="Calibri" w:eastAsia="Calibri"/>
          <w:color w:val="262626"/>
        </w:rPr>
        <w:t>41.0%</w:t>
      </w:r>
      <w:r>
        <w:rPr>
          <w:color w:val="262626"/>
        </w:rPr>
        <w:t>，而境内仅为</w:t>
      </w:r>
      <w:r>
        <w:rPr>
          <w:rFonts w:ascii="Calibri" w:eastAsia="Calibri"/>
          <w:color w:val="262626"/>
        </w:rPr>
        <w:t>13.6%</w:t>
      </w:r>
      <w:r>
        <w:rPr>
          <w:color w:val="262626"/>
        </w:rPr>
        <w:t>，高出</w:t>
      </w:r>
      <w:r>
        <w:rPr>
          <w:rFonts w:ascii="Calibri" w:eastAsia="Calibri"/>
          <w:color w:val="262626"/>
        </w:rPr>
        <w:t>27</w:t>
      </w:r>
      <w:r>
        <w:rPr>
          <w:color w:val="262626"/>
        </w:rPr>
        <w:t>个百分点。因此海外收入占比较高的企业毛利率较高，近年来內地企业的海外收入占比快速提高也推升了其毛利率。</w:t>
      </w:r>
    </w:p>
    <w:p>
      <w:pPr>
        <w:pStyle w:val="BodyText"/>
        <w:spacing w:before="174" w:line="232" w:lineRule="auto"/>
        <w:ind w:left="1151" w:right="3910"/>
        <w:jc w:val="both"/>
      </w:pPr>
      <w:r>
        <w:rPr>
          <w:color w:val="262626"/>
        </w:rPr>
        <w:t>除上能电气由于海外收入占比低导致毛利率较低外，各企业并网逆变器毛利率近年来处于</w:t>
      </w:r>
      <w:r>
        <w:rPr>
          <w:rFonts w:ascii="Calibri" w:eastAsia="Calibri"/>
          <w:color w:val="262626"/>
        </w:rPr>
        <w:t>25-40%</w:t>
      </w:r>
      <w:r>
        <w:rPr>
          <w:color w:val="262626"/>
        </w:rPr>
        <w:t>区间，远高于光伏制造其他环节龙头的</w:t>
      </w:r>
      <w:r>
        <w:rPr>
          <w:rFonts w:ascii="Calibri" w:eastAsia="Calibri"/>
          <w:color w:val="262626"/>
        </w:rPr>
        <w:t>10-25%</w:t>
      </w:r>
      <w:r>
        <w:rPr>
          <w:color w:val="262626"/>
        </w:rPr>
        <w:t>。阳光电源毛利率优势明显，由于产品创新、规模效应及运费下降，</w:t>
      </w:r>
      <w:r>
        <w:rPr>
          <w:rFonts w:ascii="Calibri" w:eastAsia="Calibri"/>
          <w:color w:val="262626"/>
        </w:rPr>
        <w:t>2023</w:t>
      </w:r>
      <w:r>
        <w:rPr>
          <w:color w:val="262626"/>
        </w:rPr>
        <w:t>上半年更创下</w:t>
      </w:r>
      <w:r>
        <w:rPr>
          <w:rFonts w:ascii="Calibri" w:eastAsia="Calibri"/>
          <w:color w:val="262626"/>
        </w:rPr>
        <w:t>39.5%</w:t>
      </w:r>
      <w:r>
        <w:rPr>
          <w:color w:val="262626"/>
        </w:rPr>
        <w:t>的多年新高，户用逆变器龙头中首航新能毛利率较高，锦浪科技较低。除上能电气外，各企业储能逆变器毛利率近年来处于</w:t>
      </w:r>
      <w:r>
        <w:rPr>
          <w:rFonts w:ascii="Calibri" w:eastAsia="Calibri"/>
          <w:color w:val="262626"/>
        </w:rPr>
        <w:t>35-50%</w:t>
      </w:r>
      <w:r>
        <w:rPr>
          <w:color w:val="262626"/>
        </w:rPr>
        <w:t>区间，</w:t>
      </w:r>
      <w:r>
        <w:rPr>
          <w:rFonts w:ascii="Calibri" w:eastAsia="Calibri"/>
          <w:color w:val="262626"/>
        </w:rPr>
        <w:t>2023</w:t>
      </w:r>
      <w:r>
        <w:rPr>
          <w:color w:val="262626"/>
        </w:rPr>
        <w:t>年上半年均在</w:t>
      </w:r>
      <w:r>
        <w:rPr>
          <w:rFonts w:ascii="Calibri" w:eastAsia="Calibri"/>
          <w:color w:val="262626"/>
        </w:rPr>
        <w:t>40%</w:t>
      </w:r>
      <w:r>
        <w:rPr>
          <w:color w:val="262626"/>
        </w:rPr>
        <w:t>以上，远高于并网逆变器。总体而言，</w:t>
      </w:r>
      <w:r>
        <w:rPr>
          <w:rFonts w:ascii="Calibri" w:eastAsia="Calibri"/>
          <w:color w:val="262626"/>
        </w:rPr>
        <w:t>2023</w:t>
      </w:r>
      <w:r>
        <w:rPr>
          <w:color w:val="262626"/>
        </w:rPr>
        <w:t>年上半年毛利率呈上升趋势，且处于</w:t>
      </w:r>
      <w:r>
        <w:rPr>
          <w:rFonts w:ascii="Calibri" w:eastAsia="Calibri"/>
          <w:color w:val="262626"/>
        </w:rPr>
        <w:t>2021</w:t>
      </w:r>
      <w:r>
        <w:rPr>
          <w:color w:val="262626"/>
        </w:rPr>
        <w:t>年以来高位。</w:t>
      </w:r>
    </w:p>
    <w:p>
      <w:pPr>
        <w:pStyle w:val="Heading3"/>
        <w:tabs>
          <w:tab w:val="left" w:pos="6324"/>
        </w:tabs>
        <w:spacing w:before="194"/>
      </w:pPr>
      <w:r>
        <w:t>图表</w:t>
      </w:r>
      <w:r>
        <w:rPr>
          <w:rFonts w:ascii="Calibri" w:eastAsia="Calibri"/>
        </w:rPr>
        <w:t>34:</w:t>
      </w:r>
      <w:r>
        <w:rPr>
          <w:rFonts w:ascii="Calibri" w:eastAsia="Calibri"/>
          <w:spacing w:val="-1"/>
        </w:rPr>
        <w:t xml:space="preserve"> </w:t>
      </w:r>
      <w:r>
        <w:t>內地企业并网逆变器毛利率（</w:t>
      </w:r>
      <w:r>
        <w:rPr>
          <w:rFonts w:ascii="Calibri" w:eastAsia="Calibri"/>
        </w:rPr>
        <w:t>%</w:t>
      </w:r>
      <w:r>
        <w:t>）</w:t>
        <w:tab/>
        <w:t>图表</w:t>
      </w:r>
      <w:r>
        <w:rPr>
          <w:rFonts w:ascii="Calibri" w:eastAsia="Calibri"/>
        </w:rPr>
        <w:t>35:</w:t>
      </w:r>
      <w:r>
        <w:rPr>
          <w:rFonts w:ascii="Calibri" w:eastAsia="Calibri"/>
          <w:spacing w:val="-1"/>
        </w:rPr>
        <w:t xml:space="preserve"> </w:t>
      </w:r>
      <w:r>
        <w:t>內地企业储能逆变器毛利率（</w:t>
      </w:r>
      <w:r>
        <w:rPr>
          <w:rFonts w:ascii="Calibri" w:eastAsia="Calibri"/>
        </w:rPr>
        <w:t>%</w:t>
      </w:r>
      <w:r>
        <w:t>）</w:t>
      </w:r>
    </w:p>
    <w:p>
      <w:pPr>
        <w:tabs>
          <w:tab w:val="left" w:pos="6317"/>
        </w:tabs>
        <w:spacing w:line="20" w:lineRule="exact"/>
        <w:ind w:left="1143" w:right="0" w:firstLine="0"/>
        <w:rPr>
          <w:rFonts w:ascii="Microsoft JhengHei"/>
          <w:sz w:val="2"/>
        </w:rPr>
      </w:pPr>
      <w:r>
        <w:rPr>
          <w:rFonts w:ascii="Microsoft JhengHei"/>
          <w:sz w:val="2"/>
        </w:rPr>
        <w:pict>
          <v:group id="_x0000_i1607" style="width:236.9pt;height:0.75pt;mso-position-horizontal-relative:char;mso-position-vertical-relative:line" coordorigin="0,0" coordsize="4738,15">
            <v:line id="_x0000_s1608" style="position:absolute" from="0,8" to="4738,8" stroked="t" strokecolor="black" strokeweight="0.75pt">
              <v:stroke dashstyle="solid"/>
            </v:line>
            <w10:wrap type="none"/>
          </v:group>
        </w:pict>
      </w:r>
      <w:r>
        <w:rPr>
          <w:rFonts w:ascii="Microsoft JhengHei"/>
          <w:sz w:val="2"/>
        </w:rPr>
        <w:tab/>
      </w:r>
      <w:r>
        <w:rPr>
          <w:rFonts w:ascii="Microsoft JhengHei"/>
          <w:sz w:val="2"/>
        </w:rPr>
        <w:pict>
          <v:group id="_x0000_i1609" style="width:238.55pt;height:0.75pt;mso-position-horizontal-relative:char;mso-position-vertical-relative:line" coordorigin="0,0" coordsize="4771,15">
            <v:line id="_x0000_s1610" style="position:absolute" from="0,8" to="4771,8" stroked="t" strokecolor="black" strokeweight="0.75pt">
              <v:stroke dashstyle="solid"/>
            </v:line>
            <w10:wrap type="none"/>
          </v:group>
        </w:pict>
      </w:r>
    </w:p>
    <w:p>
      <w:pPr>
        <w:spacing w:after="0" w:line="20" w:lineRule="exact"/>
        <w:rPr>
          <w:rFonts w:ascii="Microsoft JhengHei"/>
          <w:sz w:val="2"/>
        </w:rPr>
        <w:sectPr>
          <w:headerReference w:type="default" r:id="rId122"/>
          <w:footerReference w:type="default" r:id="rId123"/>
          <w:pgSz w:w="12240" w:h="15840"/>
          <w:pgMar w:top="1720" w:right="0" w:bottom="1380" w:left="0" w:header="708" w:footer="708"/>
          <w:pgNumType w:start="40"/>
          <w:cols w:space="708"/>
        </w:sectPr>
      </w:pPr>
    </w:p>
    <w:p>
      <w:pPr>
        <w:pStyle w:val="BodyText"/>
        <w:spacing w:before="1"/>
        <w:rPr>
          <w:rFonts w:ascii="Microsoft JhengHei"/>
          <w:b/>
          <w:sz w:val="17"/>
        </w:rPr>
      </w:pPr>
    </w:p>
    <w:p>
      <w:pPr>
        <w:spacing w:before="0"/>
        <w:ind w:left="0" w:right="0" w:firstLine="0"/>
        <w:jc w:val="right"/>
        <w:rPr>
          <w:rFonts w:ascii="Calibri"/>
          <w:sz w:val="16"/>
        </w:rPr>
      </w:pPr>
      <w:r>
        <w:rPr>
          <w:rFonts w:ascii="Calibri"/>
          <w:spacing w:val="-1"/>
          <w:sz w:val="16"/>
        </w:rPr>
        <w:t>45.0</w:t>
      </w:r>
    </w:p>
    <w:p>
      <w:pPr>
        <w:pStyle w:val="BodyText"/>
        <w:spacing w:before="7"/>
        <w:rPr>
          <w:rFonts w:ascii="Calibri"/>
          <w:sz w:val="12"/>
        </w:rPr>
      </w:pPr>
    </w:p>
    <w:p>
      <w:pPr>
        <w:spacing w:before="0"/>
        <w:ind w:left="0" w:right="0" w:firstLine="0"/>
        <w:jc w:val="right"/>
        <w:rPr>
          <w:rFonts w:ascii="Calibri"/>
          <w:sz w:val="16"/>
        </w:rPr>
      </w:pPr>
      <w:r>
        <w:rPr>
          <w:rFonts w:ascii="Calibri"/>
          <w:spacing w:val="-1"/>
          <w:sz w:val="16"/>
        </w:rPr>
        <w:t>40.0</w:t>
      </w:r>
    </w:p>
    <w:p>
      <w:pPr>
        <w:pStyle w:val="BodyText"/>
        <w:spacing w:before="7"/>
        <w:rPr>
          <w:rFonts w:ascii="Calibri"/>
          <w:sz w:val="12"/>
        </w:rPr>
      </w:pPr>
    </w:p>
    <w:p>
      <w:pPr>
        <w:spacing w:before="0"/>
        <w:ind w:left="0" w:right="0" w:firstLine="0"/>
        <w:jc w:val="right"/>
        <w:rPr>
          <w:rFonts w:ascii="Calibri"/>
          <w:sz w:val="16"/>
        </w:rPr>
      </w:pPr>
      <w:r>
        <w:rPr>
          <w:rFonts w:ascii="Calibri"/>
          <w:spacing w:val="-1"/>
          <w:sz w:val="16"/>
        </w:rPr>
        <w:t>35.0</w:t>
      </w:r>
    </w:p>
    <w:p>
      <w:pPr>
        <w:pStyle w:val="BodyText"/>
        <w:spacing w:before="7"/>
        <w:rPr>
          <w:rFonts w:ascii="Calibri"/>
          <w:sz w:val="12"/>
        </w:rPr>
      </w:pPr>
    </w:p>
    <w:p>
      <w:pPr>
        <w:spacing w:before="0"/>
        <w:ind w:left="0" w:right="0" w:firstLine="0"/>
        <w:jc w:val="right"/>
        <w:rPr>
          <w:rFonts w:ascii="Calibri"/>
          <w:sz w:val="16"/>
        </w:rPr>
      </w:pPr>
      <w:r>
        <w:rPr>
          <w:rFonts w:ascii="Calibri"/>
          <w:spacing w:val="-1"/>
          <w:sz w:val="16"/>
        </w:rPr>
        <w:t>30.0</w:t>
      </w:r>
    </w:p>
    <w:p>
      <w:pPr>
        <w:pStyle w:val="BodyText"/>
        <w:spacing w:before="7"/>
        <w:rPr>
          <w:rFonts w:ascii="Calibri"/>
          <w:sz w:val="12"/>
        </w:rPr>
      </w:pPr>
    </w:p>
    <w:p>
      <w:pPr>
        <w:spacing w:before="0"/>
        <w:ind w:left="0" w:right="0" w:firstLine="0"/>
        <w:jc w:val="right"/>
        <w:rPr>
          <w:rFonts w:ascii="Calibri"/>
          <w:sz w:val="16"/>
        </w:rPr>
      </w:pPr>
      <w:r>
        <w:rPr>
          <w:rFonts w:ascii="Calibri"/>
          <w:spacing w:val="-1"/>
          <w:sz w:val="16"/>
        </w:rPr>
        <w:t>25.0</w:t>
      </w:r>
    </w:p>
    <w:p>
      <w:pPr>
        <w:pStyle w:val="BodyText"/>
        <w:spacing w:before="7"/>
        <w:rPr>
          <w:rFonts w:ascii="Calibri"/>
          <w:sz w:val="12"/>
        </w:rPr>
      </w:pPr>
    </w:p>
    <w:p>
      <w:pPr>
        <w:spacing w:before="0"/>
        <w:ind w:left="0" w:right="0" w:firstLine="0"/>
        <w:jc w:val="right"/>
        <w:rPr>
          <w:rFonts w:ascii="Calibri"/>
          <w:sz w:val="16"/>
        </w:rPr>
      </w:pPr>
      <w:r>
        <w:rPr>
          <w:rFonts w:ascii="Calibri"/>
          <w:spacing w:val="-1"/>
          <w:sz w:val="16"/>
        </w:rPr>
        <w:t>20.0</w:t>
      </w:r>
    </w:p>
    <w:p>
      <w:pPr>
        <w:tabs>
          <w:tab w:val="left" w:pos="1933"/>
          <w:tab w:val="left" w:pos="3505"/>
        </w:tabs>
        <w:spacing w:before="0" w:line="167" w:lineRule="exact"/>
        <w:ind w:left="360" w:right="0" w:firstLine="0"/>
        <w:jc w:val="left"/>
        <w:rPr>
          <w:sz w:val="16"/>
        </w:rPr>
      </w:pPr>
      <w:r>
        <w:br w:type="column"/>
      </w:r>
      <w:r>
        <w:rPr>
          <w:sz w:val="16"/>
        </w:rPr>
        <w:t>阳光电源</w:t>
        <w:tab/>
        <w:t>锦浪科技</w:t>
        <w:tab/>
        <w:t>固德</w:t>
      </w:r>
      <w:r>
        <w:rPr>
          <w:spacing w:val="-20"/>
          <w:sz w:val="16"/>
        </w:rPr>
        <w:t>威</w:t>
      </w:r>
    </w:p>
    <w:p>
      <w:pPr>
        <w:tabs>
          <w:tab w:val="left" w:pos="1933"/>
        </w:tabs>
        <w:spacing w:before="0" w:line="198" w:lineRule="exact"/>
        <w:ind w:left="360" w:right="0" w:firstLine="0"/>
        <w:jc w:val="left"/>
        <w:rPr>
          <w:sz w:val="16"/>
        </w:rPr>
      </w:pPr>
      <w:r>
        <w:pict>
          <v:line id="_x0000_s1611" style="mso-position-horizontal-relative:page;position:absolute;z-index:251776000" from="72.25pt,-3.8pt" to="91.45pt,-3.8pt" stroked="t" strokecolor="#287ed4" strokeweight="1.79pt">
            <v:stroke dashstyle="solid"/>
          </v:line>
        </w:pict>
      </w:r>
      <w:r>
        <w:pict>
          <v:line id="_x0000_s1612" style="mso-position-horizontal-relative:page;position:absolute;z-index:-251547648" from="150.85pt,-3.8pt" to="170.05pt,-3.8pt" stroked="t" strokecolor="#1f5ea0" strokeweight="1.79pt">
            <v:stroke dashstyle="solid"/>
          </v:line>
        </w:pict>
      </w:r>
      <w:r>
        <w:pict>
          <v:line id="_x0000_s1613" style="mso-position-horizontal-relative:page;position:absolute;z-index:-251546624" from="229.4pt,-3.8pt" to="248.6pt,-3.8pt" stroked="t" strokecolor="#a8cced" strokeweight="1.79pt">
            <v:stroke dashstyle="solid"/>
          </v:line>
        </w:pict>
      </w:r>
      <w:r>
        <w:pict>
          <v:line id="_x0000_s1614" style="mso-position-horizontal-relative:page;position:absolute;z-index:251777024" from="72.25pt,5.75pt" to="91.45pt,5.75pt" stroked="t" strokecolor="#77697b" strokeweight="1.79pt">
            <v:stroke dashstyle="solid"/>
          </v:line>
        </w:pict>
      </w:r>
      <w:r>
        <w:pict>
          <v:line id="_x0000_s1615" style="mso-position-horizontal-relative:page;position:absolute;z-index:-251545600" from="150.85pt,5.75pt" to="170.05pt,5.75pt" stroked="t" strokecolor="#c3bcc6" strokeweight="1.79pt">
            <v:stroke dashstyle="solid"/>
          </v:line>
        </w:pict>
      </w:r>
      <w:r>
        <w:rPr>
          <w:sz w:val="16"/>
        </w:rPr>
        <w:t>上能电气</w:t>
        <w:tab/>
        <w:t>首航新能</w:t>
      </w:r>
    </w:p>
    <w:p>
      <w:pPr>
        <w:pStyle w:val="BodyText"/>
        <w:rPr>
          <w:sz w:val="16"/>
        </w:rPr>
      </w:pPr>
      <w:r>
        <w:br w:type="column"/>
      </w:r>
    </w:p>
    <w:p>
      <w:pPr>
        <w:pStyle w:val="BodyText"/>
        <w:spacing w:before="1"/>
        <w:rPr>
          <w:sz w:val="13"/>
        </w:rPr>
      </w:pPr>
    </w:p>
    <w:p>
      <w:pPr>
        <w:spacing w:before="0"/>
        <w:ind w:left="0" w:right="0" w:firstLine="0"/>
        <w:jc w:val="right"/>
        <w:rPr>
          <w:rFonts w:ascii="Calibri"/>
          <w:sz w:val="16"/>
        </w:rPr>
      </w:pPr>
      <w:r>
        <w:pict>
          <v:group id="_x0000_s1616" style="width:209.4pt;height:107.6pt;margin-top:2.1pt;margin-left:78.31pt;mso-position-horizontal-relative:page;position:absolute;z-index:251774976" coordorigin="1566,42" coordsize="4188,2152">
            <v:shape id="_x0000_s1617" style="width:17507620;height:7416060;position:absolute;top:-7409416" coordorigin="0,-7409416" coordsize="17507620,7416060" path="m1617,1794l5746,1794m1617,1444l5746,1444m1617,1095l5746,1095m1617,748l5746,748m1617,399l5746,399m1617,49l5746,49e" filled="f" stroked="t" strokecolor="#d8d8d8" strokeweight="0.72pt">
              <v:stroke dashstyle="solid"/>
              <v:path arrowok="t"/>
            </v:shape>
            <v:line id="_x0000_s1618" style="position:absolute" from="1617,2141" to="1617,49" stroked="t" strokecolor="#7e7e7e" strokeweight="0.72pt">
              <v:stroke dashstyle="solid"/>
            </v:line>
            <v:shape id="_x0000_s1619" style="width:213632;height:8891140;position:absolute;top:-8884496" coordorigin="0,-8884496" coordsize="213632,8891140" path="m1566,2141l1617,2141m1566,1794l1617,1794m1566,1444l1617,1444m1566,1095l1617,1095m1566,748l1617,748m1566,399l1617,399m1566,49l1617,49e" filled="f" stroked="t" strokecolor="#7e7e7e" strokeweight="0.72pt">
              <v:stroke dashstyle="solid"/>
              <v:path arrowok="t"/>
            </v:shape>
            <v:shape id="_x0000_s1620" style="width:17507620;height:223804;position:absolute;top:-217160" coordorigin="0,-217160" coordsize="17507620,223804" path="m1617,2141l5746,2141m1617,2141l1617,2193m2648,2141l2648,2193m3680,2141l3680,2193m4714,2141l4714,2193m5746,2141l5746,2193e" filled="f" stroked="t" strokecolor="#7e7e7e" strokeweight="0.72pt">
              <v:stroke dashstyle="solid"/>
              <v:path arrowok="t"/>
            </v:shape>
            <v:shape id="_x0000_s1621" style="width:3096;height:438;left:2133;position:absolute;top:433" coordorigin="2134,433" coordsize="3096,438" path="m2134,744l3165,830,4197,871,5229,433e" filled="f" stroked="t" strokecolor="#287ed4" strokeweight="1.79pt">
              <v:stroke dashstyle="solid"/>
              <v:path arrowok="t"/>
            </v:shape>
            <v:shape id="_x0000_s1622" style="width:3096;height:398;left:2133;position:absolute;top:1021" coordorigin="2134,1022" coordsize="3096,398" path="m2134,1022l3165,1419,4197,1276,5229,1233e" filled="f" stroked="t" strokecolor="#1f5ea0" strokeweight="1.79pt">
              <v:stroke dashstyle="solid"/>
              <v:path arrowok="t"/>
            </v:shape>
            <v:shape id="_x0000_s1623" style="width:2064;height:503;left:2133;position:absolute;top:600" coordorigin="2134,601" coordsize="2064,503" path="m2134,601l3165,1015,4197,1103e" filled="f" stroked="t" strokecolor="#a8cced" strokeweight="1.8pt">
              <v:stroke dashstyle="solid"/>
              <v:path arrowok="t"/>
            </v:shape>
            <v:shape id="_x0000_s1624" style="width:3096;height:362;left:2133;position:absolute;top:1457" coordorigin="2134,1457" coordsize="3096,362" path="m2134,1457l3165,1587,4197,1819,5229,1804e" filled="f" stroked="t" strokecolor="#77697b" strokeweight="1.79pt">
              <v:stroke dashstyle="solid"/>
              <v:path arrowok="t"/>
            </v:shape>
            <v:shape id="_x0000_s1625" style="width:3096;height:443;left:2133;position:absolute;top:655" coordorigin="2134,656" coordsize="3096,443" path="m2134,656l3165,1099,4197,728,5229,711e" filled="f" stroked="t" strokecolor="#c3bcc6" strokeweight="1.79pt">
              <v:stroke dashstyle="solid"/>
              <v:path arrowok="t"/>
            </v:shape>
          </v:group>
        </w:pict>
      </w:r>
      <w:r>
        <w:rPr>
          <w:rFonts w:ascii="Calibri"/>
          <w:spacing w:val="-1"/>
          <w:sz w:val="16"/>
        </w:rPr>
        <w:t>60.0</w:t>
      </w:r>
    </w:p>
    <w:p>
      <w:pPr>
        <w:spacing w:before="144"/>
        <w:ind w:left="0" w:right="0" w:firstLine="0"/>
        <w:jc w:val="right"/>
        <w:rPr>
          <w:rFonts w:ascii="Calibri"/>
          <w:sz w:val="16"/>
        </w:rPr>
      </w:pPr>
      <w:r>
        <w:rPr>
          <w:rFonts w:ascii="Calibri"/>
          <w:spacing w:val="-1"/>
          <w:sz w:val="16"/>
        </w:rPr>
        <w:t>50.0</w:t>
      </w:r>
    </w:p>
    <w:p>
      <w:pPr>
        <w:spacing w:before="143"/>
        <w:ind w:left="0" w:right="0" w:firstLine="0"/>
        <w:jc w:val="right"/>
        <w:rPr>
          <w:rFonts w:ascii="Calibri"/>
          <w:sz w:val="16"/>
        </w:rPr>
      </w:pPr>
      <w:r>
        <w:rPr>
          <w:rFonts w:ascii="Calibri"/>
          <w:spacing w:val="-1"/>
          <w:sz w:val="16"/>
        </w:rPr>
        <w:t>40.0</w:t>
      </w:r>
    </w:p>
    <w:p>
      <w:pPr>
        <w:pStyle w:val="BodyText"/>
        <w:spacing w:before="9"/>
        <w:rPr>
          <w:rFonts w:ascii="Calibri"/>
          <w:sz w:val="11"/>
        </w:rPr>
      </w:pPr>
    </w:p>
    <w:p>
      <w:pPr>
        <w:spacing w:before="1"/>
        <w:ind w:left="0" w:right="0" w:firstLine="0"/>
        <w:jc w:val="right"/>
        <w:rPr>
          <w:rFonts w:ascii="Calibri"/>
          <w:sz w:val="16"/>
        </w:rPr>
      </w:pPr>
      <w:r>
        <w:rPr>
          <w:rFonts w:ascii="Calibri"/>
          <w:spacing w:val="-1"/>
          <w:sz w:val="16"/>
        </w:rPr>
        <w:t>30.0</w:t>
      </w:r>
    </w:p>
    <w:p>
      <w:pPr>
        <w:spacing w:before="143"/>
        <w:ind w:left="0" w:right="0" w:firstLine="0"/>
        <w:jc w:val="right"/>
        <w:rPr>
          <w:rFonts w:ascii="Calibri"/>
          <w:sz w:val="16"/>
        </w:rPr>
      </w:pPr>
      <w:r>
        <w:rPr>
          <w:rFonts w:ascii="Calibri"/>
          <w:spacing w:val="-1"/>
          <w:sz w:val="16"/>
        </w:rPr>
        <w:t>20.0</w:t>
      </w:r>
    </w:p>
    <w:p>
      <w:pPr>
        <w:pStyle w:val="BodyText"/>
        <w:spacing w:before="9"/>
        <w:rPr>
          <w:rFonts w:ascii="Calibri"/>
          <w:sz w:val="11"/>
        </w:rPr>
      </w:pPr>
    </w:p>
    <w:p>
      <w:pPr>
        <w:spacing w:before="1"/>
        <w:ind w:left="0" w:right="0" w:firstLine="0"/>
        <w:jc w:val="right"/>
        <w:rPr>
          <w:rFonts w:ascii="Calibri"/>
          <w:sz w:val="16"/>
        </w:rPr>
      </w:pPr>
      <w:r>
        <w:rPr>
          <w:rFonts w:ascii="Calibri"/>
          <w:spacing w:val="-1"/>
          <w:sz w:val="16"/>
        </w:rPr>
        <w:t>10.0</w:t>
      </w:r>
    </w:p>
    <w:p>
      <w:pPr>
        <w:tabs>
          <w:tab w:val="left" w:pos="1931"/>
          <w:tab w:val="left" w:pos="3503"/>
        </w:tabs>
        <w:spacing w:before="0" w:line="165" w:lineRule="exact"/>
        <w:ind w:left="360" w:right="0" w:firstLine="0"/>
        <w:jc w:val="left"/>
        <w:rPr>
          <w:sz w:val="16"/>
        </w:rPr>
      </w:pPr>
      <w:r>
        <w:br w:type="column"/>
      </w:r>
      <w:r>
        <w:rPr>
          <w:sz w:val="16"/>
        </w:rPr>
        <w:t>锦浪科技</w:t>
        <w:tab/>
        <w:t>固德威</w:t>
        <w:tab/>
        <w:t>上能电气</w:t>
      </w:r>
    </w:p>
    <w:p>
      <w:pPr>
        <w:tabs>
          <w:tab w:val="left" w:pos="1931"/>
        </w:tabs>
        <w:spacing w:before="0" w:line="198" w:lineRule="exact"/>
        <w:ind w:left="360" w:right="0" w:firstLine="0"/>
        <w:jc w:val="left"/>
        <w:rPr>
          <w:sz w:val="16"/>
        </w:rPr>
      </w:pPr>
      <w:r>
        <w:pict>
          <v:group id="_x0000_s1626" style="width:212.35pt;height:104.6pt;margin-top:15.34pt;margin-left:337.03pt;mso-position-horizontal-relative:page;position:absolute;z-index:251778048" coordorigin="6741,307" coordsize="4247,2092">
            <v:shape id="_x0000_s1627" style="width:17768700;height:7223620;position:absolute;top:-7216769" coordorigin="0,-7216768" coordsize="17768700,7223620" path="m6791,2011l10980,2011m6791,1671l10980,1671m6791,1331l10980,1331m6791,994l10980,994m6791,654l10980,654m6791,314l10980,314e" filled="f" stroked="t" strokecolor="#d8d8d8" strokeweight="0.72pt">
              <v:stroke dashstyle="solid"/>
              <v:path arrowok="t"/>
            </v:shape>
            <v:line id="_x0000_s1628" style="position:absolute" from="6791,2348" to="6791,314" stroked="t" strokecolor="#7e7e7e" strokeweight="0.72pt">
              <v:stroke dashstyle="solid"/>
            </v:line>
            <v:shape id="_x0000_s1629" style="width:213958;height:8660200;position:absolute;top:-8653349" coordorigin="0,-8653348" coordsize="213958,8660200" path="m6741,2348l6791,2348m6741,2011l6791,2011m6741,1671l6791,1671m6741,1331l6791,1331m6741,994l6791,994m6741,654l6791,654m6741,314l6791,314e" filled="f" stroked="t" strokecolor="#7e7e7e" strokeweight="0.72pt">
              <v:stroke dashstyle="solid"/>
              <v:path arrowok="t"/>
            </v:shape>
            <v:shape id="_x0000_s1630" style="width:17768700;height:213958;position:absolute;top:-207107" coordorigin="0,-207106" coordsize="17768700,213958" path="m6791,2348l10980,2348m6791,2348l6791,2398m7838,2348l7838,2398m8886,2348l8886,2398m9933,2348l9933,2398m10980,2348l10980,2398e" filled="f" stroked="t" strokecolor="#7e7e7e" strokeweight="0.72pt">
              <v:stroke dashstyle="solid"/>
              <v:path arrowok="t"/>
            </v:shape>
            <v:shape id="_x0000_s1631" style="width:2093;height:197;left:8363;position:absolute;top:989" coordorigin="8363,990" coordsize="2093,197" path="m8363,1038l9408,1186,10455,990e" filled="f" stroked="t" strokecolor="#287ed4" strokeweight="1.79pt">
              <v:stroke dashstyle="solid"/>
              <v:path arrowok="t"/>
            </v:shape>
            <v:shape id="_x0000_s1632" style="width:2093;height:213;left:7315;position:absolute;top:628" coordorigin="7316,629" coordsize="2093,213" path="m7316,629l8363,811,9408,842e" filled="f" stroked="t" strokecolor="#1f5ea0" strokeweight="1.79pt">
              <v:stroke dashstyle="solid"/>
              <v:path arrowok="t"/>
            </v:shape>
            <v:shape id="_x0000_s1633" style="width:3140;height:517;left:7315;position:absolute;top:1430" coordorigin="7316,1430" coordsize="3140,517" path="m7316,1430l8363,1519,9408,1930,10455,1947e" filled="f" stroked="t" strokecolor="#a8cced" strokeweight="1.8pt">
              <v:stroke dashstyle="solid"/>
              <v:path arrowok="t"/>
            </v:shape>
            <v:shape id="_x0000_s1634" style="width:3140;height:261;left:7315;position:absolute;top:485" coordorigin="7316,485" coordsize="3140,261" path="m7316,485l8363,559,9408,746,10455,636e" filled="f" stroked="t" strokecolor="#77697b" strokeweight="1.79pt">
              <v:stroke dashstyle="solid"/>
              <v:path arrowok="t"/>
            </v:shape>
            <v:shape id="_x0000_s1635" style="width:2093;height:364;left:7315;position:absolute;top:532" coordorigin="7316,533" coordsize="2093,364" path="m7316,533l8363,897,9408,638e" filled="f" stroked="t" strokecolor="#c3bcc6" strokeweight="1.8pt">
              <v:stroke dashstyle="solid"/>
              <v:path arrowok="t"/>
            </v:shape>
          </v:group>
        </w:pict>
      </w:r>
      <w:r>
        <w:pict>
          <v:line id="_x0000_s1636" style="mso-position-horizontal-relative:page;position:absolute;z-index:251779072" from="330.85pt,-3.85pt" to="350.05pt,-3.85pt" stroked="t" strokecolor="#287ed4" strokeweight="1.79pt">
            <v:stroke dashstyle="solid"/>
          </v:line>
        </w:pict>
      </w:r>
      <w:r>
        <w:pict>
          <v:line id="_x0000_s1637" style="mso-position-horizontal-relative:page;position:absolute;z-index:-251544576" from="409.5pt,-3.85pt" to="428.75pt,-3.85pt" stroked="t" strokecolor="#1f5ea0" strokeweight="1.79pt">
            <v:stroke dashstyle="solid"/>
          </v:line>
        </w:pict>
      </w:r>
      <w:r>
        <w:pict>
          <v:line id="_x0000_s1638" style="mso-position-horizontal-relative:page;position:absolute;z-index:-251543552" from="488.05pt,-3.85pt" to="507.25pt,-3.85pt" stroked="t" strokecolor="#a8cced" strokeweight="1.79pt">
            <v:stroke dashstyle="solid"/>
          </v:line>
        </w:pict>
      </w:r>
      <w:r>
        <w:pict>
          <v:line id="_x0000_s1639" style="mso-position-horizontal-relative:page;position:absolute;z-index:251780096" from="330.85pt,5.7pt" to="350.05pt,5.7pt" stroked="t" strokecolor="#77697b" strokeweight="1.79pt">
            <v:stroke dashstyle="solid"/>
          </v:line>
        </w:pict>
      </w:r>
      <w:r>
        <w:pict>
          <v:line id="_x0000_s1640" style="mso-position-horizontal-relative:page;position:absolute;z-index:-251542528" from="409.5pt,5.7pt" to="428.75pt,5.7pt" stroked="t" strokecolor="#c3bcc6" strokeweight="1.79pt">
            <v:stroke dashstyle="solid"/>
          </v:line>
        </w:pict>
      </w:r>
      <w:r>
        <w:rPr>
          <w:sz w:val="16"/>
        </w:rPr>
        <w:t>首航新能</w:t>
        <w:tab/>
        <w:t>艾罗能源</w:t>
      </w:r>
    </w:p>
    <w:p>
      <w:pPr>
        <w:spacing w:after="0" w:line="198" w:lineRule="exact"/>
        <w:jc w:val="left"/>
        <w:rPr>
          <w:sz w:val="16"/>
        </w:rPr>
        <w:sectPr>
          <w:headerReference w:type="default" r:id="rId124"/>
          <w:footerReference w:type="default" r:id="rId125"/>
          <w:type w:val="continuous"/>
          <w:pgSz w:w="12240" w:h="15840"/>
          <w:pgMar w:top="1500" w:right="0" w:bottom="280" w:left="0" w:header="708" w:footer="708"/>
          <w:pgNumType w:start="41"/>
          <w:cols w:num="4" w:space="708" w:equalWidth="0">
            <w:col w:w="1468" w:space="40"/>
            <w:col w:w="3989" w:space="39"/>
            <w:col w:w="1107" w:space="39"/>
            <w:col w:w="5558" w:space="0"/>
          </w:cols>
        </w:sectPr>
      </w:pPr>
    </w:p>
    <w:p>
      <w:pPr>
        <w:spacing w:before="143"/>
        <w:ind w:left="0" w:right="0" w:firstLine="0"/>
        <w:jc w:val="right"/>
        <w:rPr>
          <w:rFonts w:ascii="Calibri"/>
          <w:sz w:val="16"/>
        </w:rPr>
      </w:pPr>
      <w:r>
        <w:rPr>
          <w:rFonts w:ascii="Calibri"/>
          <w:sz w:val="16"/>
        </w:rPr>
        <w:t>15.0</w:t>
      </w:r>
    </w:p>
    <w:p>
      <w:pPr>
        <w:pStyle w:val="BodyText"/>
        <w:rPr>
          <w:rFonts w:ascii="Calibri"/>
          <w:sz w:val="16"/>
        </w:rPr>
      </w:pPr>
      <w:r>
        <w:br w:type="column"/>
      </w:r>
    </w:p>
    <w:p>
      <w:pPr>
        <w:pStyle w:val="BodyText"/>
        <w:spacing w:before="9"/>
        <w:rPr>
          <w:rFonts w:ascii="Calibri"/>
          <w:sz w:val="12"/>
        </w:rPr>
      </w:pPr>
    </w:p>
    <w:p>
      <w:pPr>
        <w:tabs>
          <w:tab w:val="left" w:pos="1495"/>
          <w:tab w:val="left" w:pos="2527"/>
          <w:tab w:val="left" w:pos="3550"/>
        </w:tabs>
        <w:spacing w:before="0"/>
        <w:ind w:left="462" w:right="0" w:firstLine="0"/>
        <w:jc w:val="left"/>
        <w:rPr>
          <w:rFonts w:ascii="Calibri"/>
          <w:sz w:val="16"/>
        </w:rPr>
      </w:pPr>
      <w:r>
        <w:rPr>
          <w:rFonts w:ascii="Calibri"/>
          <w:sz w:val="16"/>
        </w:rPr>
        <w:t>2020</w:t>
        <w:tab/>
        <w:t>2021</w:t>
        <w:tab/>
        <w:t>2022</w:t>
        <w:tab/>
      </w:r>
      <w:r>
        <w:rPr>
          <w:rFonts w:ascii="Calibri"/>
          <w:spacing w:val="-6"/>
          <w:sz w:val="16"/>
        </w:rPr>
        <w:t>1H23</w:t>
      </w:r>
    </w:p>
    <w:p>
      <w:pPr>
        <w:spacing w:before="143"/>
        <w:ind w:left="0" w:right="0" w:firstLine="0"/>
        <w:jc w:val="right"/>
        <w:rPr>
          <w:rFonts w:ascii="Calibri"/>
          <w:sz w:val="16"/>
        </w:rPr>
      </w:pPr>
      <w:r>
        <w:br w:type="column"/>
      </w:r>
      <w:r>
        <w:rPr>
          <w:rFonts w:ascii="Calibri"/>
          <w:sz w:val="16"/>
        </w:rPr>
        <w:t>0.0</w:t>
      </w:r>
    </w:p>
    <w:p>
      <w:pPr>
        <w:pStyle w:val="BodyText"/>
        <w:rPr>
          <w:rFonts w:ascii="Calibri"/>
          <w:sz w:val="16"/>
        </w:rPr>
      </w:pPr>
      <w:r>
        <w:br w:type="column"/>
      </w:r>
    </w:p>
    <w:p>
      <w:pPr>
        <w:pStyle w:val="BodyText"/>
        <w:spacing w:before="9"/>
        <w:rPr>
          <w:rFonts w:ascii="Calibri"/>
          <w:sz w:val="12"/>
        </w:rPr>
      </w:pPr>
    </w:p>
    <w:p>
      <w:pPr>
        <w:tabs>
          <w:tab w:val="left" w:pos="1515"/>
          <w:tab w:val="left" w:pos="2562"/>
          <w:tab w:val="left" w:pos="3600"/>
        </w:tabs>
        <w:spacing w:before="0"/>
        <w:ind w:left="468" w:right="0" w:firstLine="0"/>
        <w:jc w:val="left"/>
        <w:rPr>
          <w:rFonts w:ascii="Calibri"/>
          <w:sz w:val="16"/>
        </w:rPr>
      </w:pPr>
      <w:r>
        <w:rPr>
          <w:rFonts w:ascii="Calibri"/>
          <w:sz w:val="16"/>
        </w:rPr>
        <w:t>2020</w:t>
        <w:tab/>
        <w:t>2021</w:t>
        <w:tab/>
        <w:t>2022</w:t>
        <w:tab/>
        <w:t>1H23</w:t>
      </w:r>
    </w:p>
    <w:p>
      <w:pPr>
        <w:spacing w:after="0"/>
        <w:jc w:val="left"/>
        <w:rPr>
          <w:rFonts w:ascii="Calibri"/>
          <w:sz w:val="16"/>
        </w:rPr>
        <w:sectPr>
          <w:headerReference w:type="default" r:id="rId126"/>
          <w:footerReference w:type="default" r:id="rId127"/>
          <w:type w:val="continuous"/>
          <w:pgSz w:w="12240" w:h="15840"/>
          <w:pgMar w:top="1500" w:right="0" w:bottom="280" w:left="0" w:header="708" w:footer="708"/>
          <w:pgNumType w:start="42"/>
          <w:cols w:num="4" w:space="708" w:equalWidth="0">
            <w:col w:w="1468" w:space="40"/>
            <w:col w:w="3894" w:space="39"/>
            <w:col w:w="1204" w:space="40"/>
            <w:col w:w="5555" w:space="0"/>
          </w:cols>
        </w:sectPr>
      </w:pPr>
    </w:p>
    <w:p>
      <w:pPr>
        <w:pStyle w:val="BodyText"/>
        <w:spacing w:before="12"/>
        <w:rPr>
          <w:rFonts w:ascii="Calibri"/>
          <w:sz w:val="2"/>
        </w:rPr>
      </w:pPr>
    </w:p>
    <w:p>
      <w:pPr>
        <w:tabs>
          <w:tab w:val="left" w:pos="6317"/>
        </w:tabs>
        <w:spacing w:line="20" w:lineRule="exact"/>
        <w:ind w:left="1143" w:right="0" w:firstLine="0"/>
        <w:rPr>
          <w:rFonts w:ascii="Calibri"/>
          <w:sz w:val="2"/>
        </w:rPr>
      </w:pPr>
      <w:r>
        <w:rPr>
          <w:rFonts w:ascii="Calibri"/>
          <w:sz w:val="2"/>
        </w:rPr>
        <w:pict>
          <v:group id="_x0000_i1641" style="width:236.9pt;height:0.75pt;mso-position-horizontal-relative:char;mso-position-vertical-relative:line" coordorigin="0,0" coordsize="4738,15">
            <v:line id="_x0000_s1642" style="position:absolute" from="0,8" to="4738,8" stroked="t" strokecolor="black" strokeweight="0.75pt">
              <v:stroke dashstyle="solid"/>
            </v:line>
            <w10:wrap type="none"/>
          </v:group>
        </w:pict>
      </w:r>
      <w:r>
        <w:rPr>
          <w:rFonts w:ascii="Calibri"/>
          <w:sz w:val="2"/>
        </w:rPr>
        <w:tab/>
      </w:r>
      <w:r>
        <w:rPr>
          <w:rFonts w:ascii="Calibri"/>
          <w:sz w:val="2"/>
        </w:rPr>
        <w:pict>
          <v:group id="_x0000_i1643" style="width:238.55pt;height:0.75pt;mso-position-horizontal-relative:char;mso-position-vertical-relative:line" coordorigin="0,0" coordsize="4771,15">
            <v:line id="_x0000_s1644" style="position:absolute" from="0,8" to="4771,8" stroked="t" strokecolor="black" strokeweight="0.75pt">
              <v:stroke dashstyle="solid"/>
            </v:line>
            <w10:wrap type="none"/>
          </v:group>
        </w:pict>
      </w:r>
    </w:p>
    <w:p>
      <w:pPr>
        <w:tabs>
          <w:tab w:val="left" w:pos="6324"/>
        </w:tabs>
        <w:spacing w:before="0"/>
        <w:ind w:left="1150" w:right="0" w:firstLine="0"/>
        <w:jc w:val="left"/>
        <w:rPr>
          <w:sz w:val="15"/>
        </w:rPr>
      </w:pPr>
      <w:r>
        <w:t xml:space="preserve">资料来源: 各公司资料， </w:t>
        <w:tab/>
        <w:t xml:space="preserve">资料来源: 各公司资料， </w:t>
      </w:r>
    </w:p>
    <w:p>
      <w:pPr>
        <w:spacing w:after="0"/>
        <w:jc w:val="left"/>
        <w:rPr>
          <w:sz w:val="15"/>
        </w:rPr>
        <w:sectPr>
          <w:headerReference w:type="default" r:id="rId128"/>
          <w:footerReference w:type="default" r:id="rId129"/>
          <w:type w:val="continuous"/>
          <w:pgSz w:w="12240" w:h="15840"/>
          <w:pgMar w:top="1500" w:right="0" w:bottom="280" w:left="0" w:header="708" w:footer="708"/>
          <w:pgNumType w:start="43"/>
          <w:cols w:space="708"/>
        </w:sectPr>
      </w:pPr>
    </w:p>
    <w:p>
      <w:pPr>
        <w:pStyle w:val="BodyText"/>
        <w:rPr>
          <w:sz w:val="20"/>
        </w:rPr>
      </w:pPr>
    </w:p>
    <w:p>
      <w:pPr>
        <w:pStyle w:val="BodyText"/>
        <w:rPr>
          <w:sz w:val="20"/>
        </w:rPr>
      </w:pPr>
    </w:p>
    <w:p>
      <w:pPr>
        <w:pStyle w:val="Heading3"/>
        <w:spacing w:before="129"/>
      </w:pPr>
      <w:r>
        <w:rPr>
          <w:color w:val="262626"/>
        </w:rPr>
        <w:t>图表</w:t>
      </w:r>
      <w:r>
        <w:rPr>
          <w:rFonts w:ascii="Calibri" w:eastAsia="Calibri"/>
        </w:rPr>
        <w:t>36: 2022</w:t>
      </w:r>
      <w:r>
        <w:t>年內地逆变器和光伏制造其他环节龙头企业毛利率比较（</w:t>
      </w:r>
      <w:r>
        <w:rPr>
          <w:rFonts w:ascii="Calibri" w:eastAsia="Calibri"/>
        </w:rPr>
        <w:t>%</w:t>
      </w:r>
      <w:r>
        <w:t>）</w:t>
      </w:r>
    </w:p>
    <w:p>
      <w:pPr>
        <w:pStyle w:val="BodyText"/>
        <w:spacing w:line="20" w:lineRule="exact"/>
        <w:ind w:left="1143"/>
        <w:rPr>
          <w:rFonts w:ascii="Microsoft JhengHei"/>
          <w:sz w:val="2"/>
        </w:rPr>
      </w:pPr>
      <w:r>
        <w:rPr>
          <w:rFonts w:ascii="Microsoft JhengHei"/>
          <w:sz w:val="2"/>
        </w:rPr>
        <w:pict>
          <v:group id="_x0000_i1645" style="width:358.5pt;height:0.75pt;mso-position-horizontal-relative:char;mso-position-vertical-relative:line" coordorigin="0,0" coordsize="7170,15">
            <v:line id="_x0000_s1646" style="position:absolute" from="0,8" to="7170,8" stroked="t" strokecolor="black" strokeweight="0.75pt">
              <v:stroke dashstyle="solid"/>
            </v:line>
            <w10:wrap type="none"/>
          </v:group>
        </w:pict>
      </w:r>
    </w:p>
    <w:p>
      <w:pPr>
        <w:spacing w:after="0" w:line="20" w:lineRule="exact"/>
        <w:rPr>
          <w:rFonts w:ascii="Microsoft JhengHei"/>
          <w:sz w:val="2"/>
        </w:rPr>
        <w:sectPr>
          <w:headerReference w:type="default" r:id="rId130"/>
          <w:footerReference w:type="default" r:id="rId131"/>
          <w:pgSz w:w="12240" w:h="15840"/>
          <w:pgMar w:top="1720" w:right="0" w:bottom="1380" w:left="0" w:header="708" w:footer="708"/>
          <w:pgNumType w:start="44"/>
          <w:cols w:space="708"/>
        </w:sectPr>
      </w:pPr>
    </w:p>
    <w:p>
      <w:pPr>
        <w:spacing w:before="73"/>
        <w:ind w:left="0" w:right="958" w:firstLine="0"/>
        <w:jc w:val="right"/>
        <w:rPr>
          <w:rFonts w:ascii="Calibri"/>
          <w:sz w:val="16"/>
        </w:rPr>
      </w:pPr>
      <w:r>
        <w:pict>
          <v:group id="_x0000_s1647" style="width:208.8pt;height:104.15pt;margin-top:8.64pt;margin-left:140.29pt;mso-position-horizontal-relative:page;position:absolute;z-index:251781120" coordorigin="2806,173" coordsize="4176,2083">
            <v:shape id="_x0000_s1648" style="width:4118;height:1448;left:2856;position:absolute;top:470" coordorigin="2856,470" coordsize="4118,1448" path="m6726,1917l6974,1917m5903,1917l6398,1917m5080,1917l5575,1917m4255,1917l4749,1917m3432,1917l3926,1917m2856,1917l3103,1917m3432,1627l3926,1627m2856,1627l3103,1627m3432,1337l3926,1337m2856,1337l3103,1337m3432,1048l5575,1048m2856,1048l3103,1048m3432,760l6974,760m2856,760l3103,760m3432,470l6974,470m2856,470l3103,470e" filled="f" stroked="t" strokecolor="#d8d8d8" strokeweight="0.72pt">
              <v:stroke dashstyle="solid"/>
              <v:path arrowok="t"/>
            </v:shape>
            <v:rect id="_x0000_s1649" style="width:329;height:1922;left:3103;position:absolute;top:283" filled="t" fillcolor="#bcdadf" stroked="f">
              <v:fill type="solid"/>
            </v:rect>
            <v:shape id="_x0000_s1650" style="width:1320;height:290;left:4255;position:absolute;top:1337" coordorigin="4255,1337" coordsize="1320,290" path="m4255,1627l4749,1627m4255,1337l5575,1337e" filled="f" stroked="t" strokecolor="#d8d8d8" strokeweight="0.72pt">
              <v:stroke dashstyle="solid"/>
              <v:path arrowok="t"/>
            </v:shape>
            <v:rect id="_x0000_s1651" style="width:329;height:1019;left:3926;position:absolute;top:1186" filled="t" fillcolor="#bcdadf" stroked="f">
              <v:fill type="solid"/>
            </v:rect>
            <v:line id="_x0000_s1652" style="position:absolute" from="5080,1627" to="5575,1627" stroked="t" strokecolor="#d8d8d8" strokeweight="0.72pt">
              <v:stroke dashstyle="solid"/>
            </v:line>
            <v:rect id="_x0000_s1653" style="width:332;height:755;left:4749;position:absolute;top:1450" filled="t" fillcolor="#bcdadf" stroked="f">
              <v:fill type="solid"/>
            </v:rect>
            <v:shape id="_x0000_s1654" style="width:1071;height:580;left:5903;position:absolute;top:1047" coordorigin="5903,1048" coordsize="1071,580" path="m5903,1627l6398,1627m5903,1337l6398,1337m5903,1048l6974,1048e" filled="f" stroked="t" strokecolor="#d8d8d8" strokeweight="0.72pt">
              <v:stroke dashstyle="solid"/>
              <v:path arrowok="t"/>
            </v:shape>
            <v:rect id="_x0000_s1655" style="width:329;height:1347;left:5574;position:absolute;top:858" filled="t" fillcolor="#bcdadf" stroked="f">
              <v:fill type="solid"/>
            </v:rect>
            <v:shape id="_x0000_s1656" style="width:248;height:290;left:6726;position:absolute;top:1337" coordorigin="6726,1337" coordsize="248,290" path="m6726,1627l6974,1627m6726,1337l6974,1337e" filled="f" stroked="t" strokecolor="#d8d8d8" strokeweight="0.72pt">
              <v:stroke dashstyle="solid"/>
              <v:path arrowok="t"/>
            </v:shape>
            <v:rect id="_x0000_s1657" style="width:329;height:901;left:6397;position:absolute;top:1303" filled="t" fillcolor="#bcdadf" stroked="f">
              <v:fill type="solid"/>
            </v:rect>
            <v:line id="_x0000_s1658" style="position:absolute" from="2856,180" to="6974,180" stroked="t" strokecolor="#d8d8d8" strokeweight="0.72pt">
              <v:stroke dashstyle="solid"/>
            </v:line>
            <v:line id="_x0000_s1659" style="position:absolute" from="2856,2205" to="2856,180" stroked="t" strokecolor="#a5a5a5" strokeweight="0.72pt">
              <v:stroke dashstyle="solid"/>
            </v:line>
            <v:shape id="_x0000_s1660" style="width:214394;height:8626840;position:absolute;top:-8613792" coordorigin="0,-8613792" coordsize="214394,8626840" path="m2806,2205l2856,2205m2806,1917l2856,1917m2806,1627l2856,1627m2806,1337l2856,1337m2806,1047l2856,1047m2806,760l2856,760m2806,470l2856,470m2806,180l2856,180e" filled="f" stroked="t" strokecolor="#a5a5a5" strokeweight="0.72pt">
              <v:stroke dashstyle="solid"/>
              <v:path arrowok="t"/>
            </v:shape>
            <v:shape id="_x0000_s1661" style="width:17519120;height:214394;position:absolute;top:-201346" coordorigin="0,-201345" coordsize="17519120,214394" path="m2856,2205l6974,2205m2856,2205l2856,2255m3679,2205l3679,2255m4502,2205l4502,2255m5328,2205l5328,2255m6151,2205l6151,2255m6974,2205l6974,2255e" filled="f" stroked="t" strokecolor="#a5a5a5" strokeweight="0.72pt">
              <v:stroke dashstyle="solid"/>
              <v:path arrowok="t"/>
            </v:shape>
          </v:group>
        </w:pict>
      </w:r>
      <w:r>
        <w:rPr>
          <w:rFonts w:ascii="Calibri"/>
          <w:color w:val="595959"/>
          <w:spacing w:val="-1"/>
          <w:sz w:val="16"/>
        </w:rPr>
        <w:t>35</w:t>
      </w:r>
    </w:p>
    <w:p>
      <w:pPr>
        <w:spacing w:before="94"/>
        <w:ind w:left="0" w:right="958" w:firstLine="0"/>
        <w:jc w:val="right"/>
        <w:rPr>
          <w:rFonts w:ascii="Calibri"/>
          <w:sz w:val="16"/>
        </w:rPr>
      </w:pPr>
      <w:r>
        <w:rPr>
          <w:rFonts w:ascii="Calibri"/>
          <w:color w:val="595959"/>
          <w:spacing w:val="-1"/>
          <w:sz w:val="16"/>
        </w:rPr>
        <w:t>30</w:t>
      </w:r>
    </w:p>
    <w:p>
      <w:pPr>
        <w:spacing w:before="94"/>
        <w:ind w:left="0" w:right="958" w:firstLine="0"/>
        <w:jc w:val="right"/>
        <w:rPr>
          <w:rFonts w:ascii="Calibri"/>
          <w:sz w:val="16"/>
        </w:rPr>
      </w:pPr>
      <w:r>
        <w:rPr>
          <w:rFonts w:ascii="Calibri"/>
          <w:color w:val="595959"/>
          <w:spacing w:val="-1"/>
          <w:sz w:val="16"/>
        </w:rPr>
        <w:t>25</w:t>
      </w:r>
    </w:p>
    <w:p>
      <w:pPr>
        <w:spacing w:before="94"/>
        <w:ind w:left="0" w:right="958" w:firstLine="0"/>
        <w:jc w:val="right"/>
        <w:rPr>
          <w:rFonts w:ascii="Calibri"/>
          <w:sz w:val="16"/>
        </w:rPr>
      </w:pPr>
      <w:r>
        <w:rPr>
          <w:rFonts w:ascii="Calibri"/>
          <w:color w:val="595959"/>
          <w:spacing w:val="-1"/>
          <w:sz w:val="16"/>
        </w:rPr>
        <w:t>20</w:t>
      </w:r>
    </w:p>
    <w:p>
      <w:pPr>
        <w:spacing w:before="94"/>
        <w:ind w:left="0" w:right="958" w:firstLine="0"/>
        <w:jc w:val="right"/>
        <w:rPr>
          <w:rFonts w:ascii="Calibri"/>
          <w:sz w:val="16"/>
        </w:rPr>
      </w:pPr>
      <w:r>
        <w:rPr>
          <w:rFonts w:ascii="Calibri"/>
          <w:color w:val="595959"/>
          <w:spacing w:val="-1"/>
          <w:sz w:val="16"/>
        </w:rPr>
        <w:t>15</w:t>
      </w:r>
    </w:p>
    <w:p>
      <w:pPr>
        <w:spacing w:before="94"/>
        <w:ind w:left="0" w:right="958" w:firstLine="0"/>
        <w:jc w:val="right"/>
        <w:rPr>
          <w:rFonts w:ascii="Calibri"/>
          <w:sz w:val="16"/>
        </w:rPr>
      </w:pPr>
      <w:r>
        <w:rPr>
          <w:rFonts w:ascii="Calibri"/>
          <w:color w:val="595959"/>
          <w:spacing w:val="-1"/>
          <w:sz w:val="16"/>
        </w:rPr>
        <w:t>10</w:t>
      </w:r>
    </w:p>
    <w:p>
      <w:pPr>
        <w:spacing w:before="94"/>
        <w:ind w:left="0" w:right="959" w:firstLine="0"/>
        <w:jc w:val="right"/>
        <w:rPr>
          <w:rFonts w:ascii="Calibri"/>
          <w:sz w:val="16"/>
        </w:rPr>
      </w:pPr>
      <w:r>
        <w:rPr>
          <w:rFonts w:ascii="Calibri"/>
          <w:color w:val="595959"/>
          <w:w w:val="100"/>
          <w:sz w:val="16"/>
        </w:rPr>
        <w:t>5</w:t>
      </w:r>
    </w:p>
    <w:p>
      <w:pPr>
        <w:spacing w:before="94"/>
        <w:ind w:left="0" w:right="959" w:firstLine="0"/>
        <w:jc w:val="right"/>
        <w:rPr>
          <w:rFonts w:ascii="Calibri"/>
          <w:sz w:val="16"/>
        </w:rPr>
      </w:pPr>
      <w:r>
        <w:rPr>
          <w:rFonts w:ascii="Calibri"/>
          <w:color w:val="595959"/>
          <w:w w:val="100"/>
          <w:sz w:val="16"/>
        </w:rPr>
        <w:t>0</w:t>
      </w:r>
    </w:p>
    <w:p>
      <w:pPr>
        <w:spacing w:before="4" w:line="244" w:lineRule="auto"/>
        <w:ind w:left="2867" w:right="0" w:firstLine="50"/>
        <w:jc w:val="left"/>
        <w:rPr>
          <w:sz w:val="16"/>
        </w:rPr>
      </w:pPr>
      <w:r>
        <w:rPr>
          <w:color w:val="595959"/>
          <w:sz w:val="16"/>
        </w:rPr>
        <w:t>阳光电源</w:t>
      </w:r>
      <w:r>
        <w:rPr>
          <w:rFonts w:ascii="Calibri" w:eastAsia="Calibri"/>
          <w:color w:val="595959"/>
          <w:sz w:val="16"/>
        </w:rPr>
        <w:t xml:space="preserve">- </w:t>
      </w:r>
      <w:r>
        <w:rPr>
          <w:color w:val="595959"/>
          <w:sz w:val="16"/>
        </w:rPr>
        <w:t>并网逆变器</w:t>
      </w:r>
    </w:p>
    <w:p>
      <w:pPr>
        <w:pStyle w:val="BodyText"/>
        <w:rPr>
          <w:sz w:val="16"/>
        </w:rPr>
      </w:pPr>
      <w:r>
        <w:br w:type="column"/>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4"/>
        <w:rPr>
          <w:sz w:val="19"/>
        </w:rPr>
      </w:pPr>
    </w:p>
    <w:p>
      <w:pPr>
        <w:spacing w:before="0" w:line="244" w:lineRule="auto"/>
        <w:ind w:left="222" w:right="0" w:hanging="190"/>
        <w:jc w:val="left"/>
        <w:rPr>
          <w:sz w:val="16"/>
        </w:rPr>
      </w:pPr>
      <w:r>
        <w:rPr>
          <w:color w:val="595959"/>
          <w:sz w:val="16"/>
        </w:rPr>
        <w:t>隆基绿能</w:t>
      </w:r>
      <w:r>
        <w:rPr>
          <w:rFonts w:ascii="Calibri" w:eastAsia="Calibri"/>
          <w:color w:val="595959"/>
          <w:sz w:val="16"/>
        </w:rPr>
        <w:t xml:space="preserve">- </w:t>
      </w:r>
      <w:r>
        <w:rPr>
          <w:color w:val="595959"/>
          <w:sz w:val="16"/>
        </w:rPr>
        <w:t>硅片</w:t>
      </w:r>
    </w:p>
    <w:p>
      <w:pPr>
        <w:pStyle w:val="BodyText"/>
        <w:rPr>
          <w:sz w:val="16"/>
        </w:rPr>
      </w:pPr>
      <w:r>
        <w:br w:type="column"/>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4"/>
        <w:rPr>
          <w:sz w:val="19"/>
        </w:rPr>
      </w:pPr>
    </w:p>
    <w:p>
      <w:pPr>
        <w:spacing w:before="0" w:line="244" w:lineRule="auto"/>
        <w:ind w:left="194" w:right="0" w:hanging="108"/>
        <w:jc w:val="left"/>
        <w:rPr>
          <w:sz w:val="16"/>
        </w:rPr>
      </w:pPr>
      <w:r>
        <w:rPr>
          <w:color w:val="595959"/>
          <w:sz w:val="16"/>
        </w:rPr>
        <w:t>爱旭股份</w:t>
      </w:r>
      <w:r>
        <w:rPr>
          <w:rFonts w:ascii="Calibri" w:eastAsia="Calibri"/>
          <w:color w:val="595959"/>
          <w:sz w:val="16"/>
        </w:rPr>
        <w:t xml:space="preserve">- </w:t>
      </w:r>
      <w:r>
        <w:rPr>
          <w:color w:val="595959"/>
          <w:sz w:val="16"/>
        </w:rPr>
        <w:t>电池片</w:t>
      </w:r>
    </w:p>
    <w:p>
      <w:pPr>
        <w:pStyle w:val="BodyText"/>
        <w:rPr>
          <w:sz w:val="16"/>
        </w:rPr>
      </w:pPr>
      <w:r>
        <w:br w:type="column"/>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4"/>
        <w:rPr>
          <w:sz w:val="19"/>
        </w:rPr>
      </w:pPr>
    </w:p>
    <w:p>
      <w:pPr>
        <w:spacing w:before="0" w:line="244" w:lineRule="auto"/>
        <w:ind w:left="355" w:right="0" w:hanging="269"/>
        <w:jc w:val="left"/>
        <w:rPr>
          <w:sz w:val="16"/>
        </w:rPr>
      </w:pPr>
      <w:r>
        <w:rPr>
          <w:color w:val="595959"/>
          <w:sz w:val="16"/>
        </w:rPr>
        <w:t>福莱特</w:t>
      </w:r>
      <w:r>
        <w:rPr>
          <w:rFonts w:ascii="Calibri" w:eastAsia="Calibri"/>
          <w:color w:val="595959"/>
          <w:sz w:val="16"/>
        </w:rPr>
        <w:t>-</w:t>
      </w:r>
      <w:r>
        <w:rPr>
          <w:color w:val="595959"/>
          <w:sz w:val="16"/>
        </w:rPr>
        <w:t>玻璃</w:t>
      </w:r>
    </w:p>
    <w:p>
      <w:pPr>
        <w:pStyle w:val="BodyText"/>
        <w:rPr>
          <w:sz w:val="16"/>
        </w:rPr>
      </w:pPr>
      <w:r>
        <w:br w:type="column"/>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4"/>
        <w:rPr>
          <w:sz w:val="19"/>
        </w:rPr>
      </w:pPr>
    </w:p>
    <w:p>
      <w:pPr>
        <w:spacing w:before="0" w:line="244" w:lineRule="auto"/>
        <w:ind w:left="356" w:right="5329" w:hanging="269"/>
        <w:jc w:val="left"/>
        <w:rPr>
          <w:sz w:val="16"/>
        </w:rPr>
      </w:pPr>
      <w:r>
        <w:rPr>
          <w:color w:val="595959"/>
          <w:sz w:val="16"/>
        </w:rPr>
        <w:t>福斯特</w:t>
      </w:r>
      <w:r>
        <w:rPr>
          <w:rFonts w:ascii="Calibri" w:eastAsia="Calibri"/>
          <w:color w:val="595959"/>
          <w:sz w:val="16"/>
        </w:rPr>
        <w:t>-</w:t>
      </w:r>
      <w:r>
        <w:rPr>
          <w:color w:val="595959"/>
          <w:sz w:val="16"/>
        </w:rPr>
        <w:t>胶膜</w:t>
      </w:r>
    </w:p>
    <w:p>
      <w:pPr>
        <w:spacing w:after="0" w:line="244" w:lineRule="auto"/>
        <w:jc w:val="left"/>
        <w:rPr>
          <w:sz w:val="16"/>
        </w:rPr>
        <w:sectPr>
          <w:headerReference w:type="default" r:id="rId132"/>
          <w:footerReference w:type="default" r:id="rId133"/>
          <w:type w:val="continuous"/>
          <w:pgSz w:w="12240" w:h="15840"/>
          <w:pgMar w:top="1500" w:right="0" w:bottom="280" w:left="0" w:header="708" w:footer="708"/>
          <w:pgNumType w:start="45"/>
          <w:cols w:num="5" w:space="708" w:equalWidth="0">
            <w:col w:w="3670" w:space="40"/>
            <w:col w:w="730" w:space="39"/>
            <w:col w:w="784" w:space="39"/>
            <w:col w:w="783" w:space="40"/>
            <w:col w:w="6115" w:space="0"/>
          </w:cols>
        </w:sectPr>
      </w:pPr>
    </w:p>
    <w:p>
      <w:pPr>
        <w:pStyle w:val="BodyText"/>
        <w:spacing w:before="2"/>
        <w:rPr>
          <w:sz w:val="8"/>
        </w:rPr>
      </w:pPr>
    </w:p>
    <w:p>
      <w:pPr>
        <w:pStyle w:val="BodyText"/>
        <w:spacing w:line="20" w:lineRule="exact"/>
        <w:ind w:left="1143"/>
        <w:rPr>
          <w:sz w:val="2"/>
        </w:rPr>
      </w:pPr>
      <w:r>
        <w:rPr>
          <w:sz w:val="2"/>
        </w:rPr>
        <w:pict>
          <v:group id="_x0000_i1662" style="width:358.5pt;height:0.75pt;mso-position-horizontal-relative:char;mso-position-vertical-relative:line" coordorigin="0,0" coordsize="7170,15">
            <v:line id="_x0000_s1663" style="position:absolute" from="0,8" to="7170,8" stroked="t" strokecolor="black" strokeweight="0.75pt">
              <v:stroke dashstyle="solid"/>
            </v:line>
            <w10:wrap type="none"/>
          </v:group>
        </w:pict>
      </w:r>
    </w:p>
    <w:p>
      <w:pPr>
        <w:spacing w:before="0"/>
        <w:ind w:left="1150" w:right="0" w:firstLine="0"/>
        <w:jc w:val="left"/>
        <w:rPr>
          <w:sz w:val="15"/>
        </w:rPr>
      </w:pPr>
      <w:r>
        <w:t xml:space="preserve">资料来源：各公司资料， </w:t>
      </w:r>
    </w:p>
    <w:p>
      <w:pPr>
        <w:pStyle w:val="BodyText"/>
        <w:spacing w:before="4"/>
        <w:rPr>
          <w:sz w:val="26"/>
        </w:rPr>
      </w:pPr>
    </w:p>
    <w:p>
      <w:pPr>
        <w:pStyle w:val="Heading2"/>
        <w:spacing w:before="66" w:line="170" w:lineRule="auto"/>
        <w:ind w:right="4128"/>
      </w:pPr>
      <w:bookmarkStart w:id="12" w:name="_TOC_250006"/>
      <w:bookmarkEnd w:id="12"/>
      <w:r>
        <w:rPr>
          <w:color w:val="59A1AE"/>
        </w:rPr>
        <w:t>预计并网逆变器毛利率将温和下行，储能逆变器下降空间或更大但单位毛利优势仍将较大</w:t>
      </w:r>
    </w:p>
    <w:p>
      <w:pPr>
        <w:pStyle w:val="BodyText"/>
        <w:spacing w:before="132" w:line="232" w:lineRule="auto"/>
        <w:ind w:left="1151" w:right="3912"/>
        <w:jc w:val="both"/>
      </w:pPr>
      <w:r>
        <w:rPr>
          <w:color w:val="262626"/>
        </w:rPr>
        <w:t>随着海外厂商市场份额越来越低，未来海外市场将由低成本的中国企业和高成本的海外企业之间的竞争转为低成本的中国企业之间的竞争，同时未来需求增速将相比</w:t>
      </w:r>
      <w:r>
        <w:rPr>
          <w:rFonts w:ascii="Calibri" w:eastAsia="Calibri"/>
          <w:color w:val="262626"/>
        </w:rPr>
        <w:t>2023</w:t>
      </w:r>
      <w:r>
        <w:rPr>
          <w:color w:val="262626"/>
        </w:rPr>
        <w:t>年明显放缓，</w:t>
      </w:r>
      <w:r>
        <w:rPr>
          <w:rFonts w:ascii="Calibri" w:eastAsia="Calibri"/>
          <w:color w:val="262626"/>
        </w:rPr>
        <w:t>IGBT</w:t>
      </w:r>
      <w:r>
        <w:rPr>
          <w:color w:val="262626"/>
        </w:rPr>
        <w:t>供应宽松后也将不再成为行业产量的制约因素</w:t>
      </w:r>
    </w:p>
    <w:p>
      <w:pPr>
        <w:pStyle w:val="BodyText"/>
        <w:spacing w:line="232" w:lineRule="auto"/>
        <w:ind w:left="1151" w:right="3913"/>
        <w:jc w:val="both"/>
      </w:pPr>
      <w:r>
        <w:rPr>
          <w:color w:val="262626"/>
        </w:rPr>
        <w:t>，因此我们预计未来逆变器将竞争加剧，面临降价压力，行业利润率将在目前较高水平基础上回落，目前利润率更高、未来增长空间更大的储能逆变器，利润率下降空间或更大。</w:t>
      </w:r>
    </w:p>
    <w:p>
      <w:pPr>
        <w:pStyle w:val="BodyText"/>
        <w:spacing w:before="168" w:line="265" w:lineRule="exact"/>
        <w:ind w:left="1151"/>
      </w:pPr>
      <w:r>
        <w:rPr>
          <w:color w:val="262626"/>
        </w:rPr>
        <w:t>但正如我们上文指出，客户选择逆变器产品时的核心决定因素为性能而非价格</w:t>
      </w:r>
    </w:p>
    <w:p>
      <w:pPr>
        <w:pStyle w:val="BodyText"/>
        <w:spacing w:before="1" w:line="232" w:lineRule="auto"/>
        <w:ind w:left="1151" w:right="3910"/>
        <w:jc w:val="both"/>
      </w:pPr>
      <w:r>
        <w:rPr>
          <w:color w:val="262626"/>
        </w:rPr>
        <w:t>，并网逆变器经过多年竞争，已形成较为稳定的毛利率区间，差异化产品也难以出现光伏制造其他同质化环节的激烈价格战，利润率底线较高。我们预计未来行业并网逆变器毛利率下降幅度将低于</w:t>
      </w:r>
      <w:r>
        <w:rPr>
          <w:rFonts w:ascii="Calibri" w:eastAsia="Calibri"/>
          <w:color w:val="262626"/>
        </w:rPr>
        <w:t>5</w:t>
      </w:r>
      <w:r>
        <w:rPr>
          <w:color w:val="262626"/>
        </w:rPr>
        <w:t>个百分点，即降至</w:t>
      </w:r>
      <w:r>
        <w:rPr>
          <w:rFonts w:ascii="Calibri" w:eastAsia="Calibri"/>
          <w:color w:val="262626"/>
        </w:rPr>
        <w:t>2021-22</w:t>
      </w:r>
      <w:r>
        <w:rPr>
          <w:color w:val="262626"/>
        </w:rPr>
        <w:t>年的历史较低水平附近，总体温和可控；储能逆变器毛利率长期或将降至和并网逆变器相近，但单价仍将远高于后者，单位毛利优势仍将较大。</w:t>
      </w:r>
    </w:p>
    <w:p>
      <w:pPr>
        <w:spacing w:after="0" w:line="232" w:lineRule="auto"/>
        <w:jc w:val="both"/>
        <w:sectPr>
          <w:headerReference w:type="default" r:id="rId134"/>
          <w:footerReference w:type="default" r:id="rId135"/>
          <w:type w:val="continuous"/>
          <w:pgSz w:w="12240" w:h="15840"/>
          <w:pgMar w:top="1500" w:right="0" w:bottom="280" w:left="0" w:header="708" w:footer="708"/>
          <w:pgNumType w:start="46"/>
          <w:cols w:space="708"/>
        </w:sectPr>
      </w:pPr>
    </w:p>
    <w:p>
      <w:pPr>
        <w:pStyle w:val="BodyText"/>
        <w:rPr>
          <w:sz w:val="20"/>
        </w:rPr>
      </w:pPr>
    </w:p>
    <w:p>
      <w:pPr>
        <w:pStyle w:val="BodyText"/>
        <w:spacing w:before="10"/>
        <w:rPr>
          <w:sz w:val="22"/>
        </w:rPr>
      </w:pPr>
    </w:p>
    <w:p>
      <w:pPr>
        <w:pStyle w:val="Heading1"/>
        <w:spacing w:before="54" w:line="170" w:lineRule="auto"/>
        <w:ind w:right="3915"/>
      </w:pPr>
      <w:bookmarkStart w:id="13" w:name="_TOC_250005"/>
      <w:bookmarkEnd w:id="13"/>
      <w:r>
        <w:rPr>
          <w:color w:val="59A1AE"/>
        </w:rPr>
        <w:t>投资机会：逆变器长期增长确定性高，低估值存修复空间，首选阳光电源</w:t>
      </w:r>
    </w:p>
    <w:p>
      <w:pPr>
        <w:pStyle w:val="BodyText"/>
        <w:spacing w:before="128" w:line="265" w:lineRule="exact"/>
        <w:ind w:left="1151"/>
      </w:pPr>
      <w:r>
        <w:rPr>
          <w:color w:val="262626"/>
        </w:rPr>
        <w:t>相比光伏制造其他环节，我们认为逆变器技术含量相对较高，同质化相对较低</w:t>
      </w:r>
    </w:p>
    <w:p>
      <w:pPr>
        <w:pStyle w:val="BodyText"/>
        <w:spacing w:before="2" w:line="232" w:lineRule="auto"/>
        <w:ind w:left="1151" w:right="3913"/>
        <w:jc w:val="both"/>
      </w:pPr>
      <w:r>
        <w:rPr>
          <w:color w:val="262626"/>
        </w:rPr>
        <w:t>，可维持较高的利润率，并拥有储能这一快速爆发的第二成长曲线，成长性更强。同时，光伏、储能电池技术路线快速迭代，但无论何种技术路线，都需要使用逆变器，无技术路线风险。因此逆变器是光伏制造行业中难得的优良长期成长赛道，尽管未来面临竞争加剧，但由于需求高速增长，利润率小幅下降对盈利影响有限，企业仍可以量补价实现业绩持续增长，并不会出现部分投资者担心的像光伏制造其他环节一样因产能过剩而业绩下降。</w:t>
      </w:r>
    </w:p>
    <w:p>
      <w:pPr>
        <w:pStyle w:val="BodyText"/>
        <w:spacing w:before="174" w:line="232" w:lineRule="auto"/>
        <w:ind w:left="1151" w:right="3910"/>
        <w:jc w:val="both"/>
      </w:pPr>
      <w:r>
        <w:rPr>
          <w:color w:val="262626"/>
        </w:rPr>
        <w:t>由于月出口金额持续下降，远低于市场此前预期，以及光伏板块整体估值大幅回落，逆变器板块股价</w:t>
      </w:r>
      <w:r>
        <w:rPr>
          <w:rFonts w:ascii="Calibri" w:eastAsia="Calibri"/>
          <w:color w:val="262626"/>
        </w:rPr>
        <w:t>2023</w:t>
      </w:r>
      <w:r>
        <w:rPr>
          <w:color w:val="262626"/>
        </w:rPr>
        <w:t>年大幅下跌，其中阳光电源由于业绩持续超预期而跌幅较小，但随着</w:t>
      </w:r>
      <w:r>
        <w:rPr>
          <w:rFonts w:ascii="Calibri" w:eastAsia="Calibri"/>
          <w:color w:val="262626"/>
        </w:rPr>
        <w:t>11</w:t>
      </w:r>
      <w:r>
        <w:rPr>
          <w:color w:val="262626"/>
        </w:rPr>
        <w:t>月出口数据触底反弹，板块一度从底部上涨超</w:t>
      </w:r>
      <w:r>
        <w:rPr>
          <w:rFonts w:ascii="Calibri" w:eastAsia="Calibri"/>
          <w:color w:val="262626"/>
        </w:rPr>
        <w:t>20%</w:t>
      </w:r>
      <w:r>
        <w:rPr>
          <w:color w:val="262626"/>
        </w:rPr>
        <w:t>，近期则跟随大盘再度下跌。根据一致预期，目前板块</w:t>
      </w:r>
      <w:r>
        <w:rPr>
          <w:rFonts w:ascii="Calibri" w:eastAsia="Calibri"/>
          <w:color w:val="262626"/>
        </w:rPr>
        <w:t>2024</w:t>
      </w:r>
      <w:r>
        <w:rPr>
          <w:color w:val="262626"/>
        </w:rPr>
        <w:t>年市盈率仅</w:t>
      </w:r>
      <w:r>
        <w:rPr>
          <w:rFonts w:ascii="Calibri" w:eastAsia="Calibri"/>
          <w:color w:val="262626"/>
        </w:rPr>
        <w:t>15.7</w:t>
      </w:r>
      <w:r>
        <w:rPr>
          <w:color w:val="262626"/>
        </w:rPr>
        <w:t>倍，处于</w:t>
      </w:r>
      <w:r>
        <w:rPr>
          <w:rFonts w:ascii="Calibri" w:eastAsia="Calibri"/>
          <w:color w:val="262626"/>
        </w:rPr>
        <w:t>2020</w:t>
      </w:r>
      <w:r>
        <w:rPr>
          <w:color w:val="262626"/>
        </w:rPr>
        <w:t>年</w:t>
      </w:r>
      <w:r>
        <w:rPr>
          <w:rFonts w:ascii="Calibri" w:eastAsia="Calibri"/>
          <w:color w:val="262626"/>
        </w:rPr>
        <w:t>9</w:t>
      </w:r>
      <w:r>
        <w:rPr>
          <w:color w:val="262626"/>
        </w:rPr>
        <w:t>月中国宣布双碳目标后以来的最低估值区间，仅为该利好公布前远期市盈率的约</w:t>
      </w:r>
      <w:r>
        <w:rPr>
          <w:rFonts w:ascii="Calibri" w:eastAsia="Calibri"/>
          <w:color w:val="262626"/>
        </w:rPr>
        <w:t>38%</w:t>
      </w:r>
      <w:r>
        <w:rPr>
          <w:color w:val="262626"/>
        </w:rPr>
        <w:t>，我们认为被低估，未来几个月出口数据环比持续回升将推动板块估值修复。</w:t>
      </w:r>
    </w:p>
    <w:p>
      <w:pPr>
        <w:pStyle w:val="BodyText"/>
        <w:spacing w:before="2"/>
        <w:rPr>
          <w:sz w:val="15"/>
        </w:rPr>
      </w:pPr>
    </w:p>
    <w:p>
      <w:pPr>
        <w:pStyle w:val="Heading3"/>
      </w:pPr>
      <w:r>
        <w:rPr>
          <w:color w:val="262626"/>
        </w:rPr>
        <w:t>图表</w:t>
      </w:r>
      <w:r>
        <w:rPr>
          <w:rFonts w:ascii="Calibri" w:eastAsia="Calibri"/>
        </w:rPr>
        <w:t>37:A</w:t>
      </w:r>
      <w:r>
        <w:t>股逆变器板块远期市盈率(倍)</w:t>
      </w:r>
    </w:p>
    <w:p>
      <w:pPr>
        <w:pStyle w:val="BodyText"/>
        <w:spacing w:line="20" w:lineRule="exact"/>
        <w:ind w:left="1143"/>
        <w:rPr>
          <w:rFonts w:ascii="Microsoft JhengHei"/>
          <w:sz w:val="2"/>
        </w:rPr>
      </w:pPr>
      <w:r>
        <w:rPr>
          <w:rFonts w:ascii="Microsoft JhengHei"/>
          <w:sz w:val="2"/>
        </w:rPr>
        <w:pict>
          <v:group id="_x0000_i1664" style="width:358.85pt;height:0.75pt;mso-position-horizontal-relative:char;mso-position-vertical-relative:line" coordorigin="0,0" coordsize="7177,15">
            <v:line id="_x0000_s1665" style="position:absolute" from="0,8" to="7177,8" stroked="t" strokecolor="black" strokeweight="0.75pt">
              <v:stroke dashstyle="solid"/>
            </v:line>
            <w10:wrap type="none"/>
          </v:group>
        </w:pict>
      </w:r>
    </w:p>
    <w:p>
      <w:pPr>
        <w:spacing w:before="105"/>
        <w:ind w:left="0" w:right="9475" w:firstLine="0"/>
        <w:jc w:val="right"/>
        <w:rPr>
          <w:rFonts w:ascii="Calibri"/>
          <w:sz w:val="16"/>
        </w:rPr>
      </w:pPr>
      <w:r>
        <w:pict>
          <v:group id="_x0000_s1666" style="width:200.85pt;height:95.25pt;margin-top:10.31pt;margin-left:142.96pt;mso-position-horizontal-relative:page;position:absolute;z-index:251783168" coordorigin="2859,206" coordsize="4017,1905">
            <v:shape id="_x0000_s1667" style="width:16831860;height:6877860;position:absolute;top:-6869764" coordorigin="0,-6869764" coordsize="16831860,6877860" path="m2910,1827l6859,1827m2910,1597l6859,1597m2910,1367l6859,1367m2910,1137l6859,1137m2910,904l6859,904m2910,674l6859,674m2910,443l6859,443m2910,213l6859,213e" filled="f" stroked="t" strokecolor="#d8d8d8" strokeweight="0.72pt">
              <v:stroke dashstyle="solid"/>
              <v:path arrowok="t"/>
            </v:shape>
            <v:line id="_x0000_s1668" style="position:absolute" from="2910,2058" to="2910,213" stroked="t" strokecolor="#bfbfbf" strokeweight="0.72pt">
              <v:stroke dashstyle="solid"/>
            </v:line>
            <v:shape id="_x0000_s1669" style="width:214614;height:7858960;position:absolute;top:-7850864" coordorigin="0,-7850864" coordsize="214614,7858960" path="m2859,2058l2910,2058m2859,1827l2910,1827m2859,1597l2910,1597m2859,1367l2910,1367m2859,1137l2910,1137m2859,904l2910,904m2859,674l2910,674m2859,443l2910,443m2859,213l2910,213e" filled="f" stroked="t" strokecolor="#bfbfbf" strokeweight="0.72pt">
              <v:stroke dashstyle="solid"/>
              <v:path arrowok="t"/>
            </v:shape>
            <v:shape id="_x0000_s1670" style="width:16831860;height:224834;position:absolute;top:-216738" coordorigin="0,-216737" coordsize="16831860,224834" path="m2910,2058l6859,2058m2910,2058l2910,2111m3197,2058l3197,2111m3483,2058l3483,2111m3775,2058l3775,2111m4068,2058l4068,2111m4356,2058l4356,2111m4641,2058l4641,2111m4933,2058l4933,2111m5226,2058l5226,2111m5514,2058l5514,2111m5799,2058l5799,2111m6092,2058l6092,2111m6382,2058l6382,2111m6672,2058l6672,2111e" filled="f" stroked="t" strokecolor="#bfbfbf" strokeweight="0.72pt">
              <v:stroke dashstyle="solid"/>
              <v:path arrowok="t"/>
            </v:shape>
            <v:shape id="_x0000_s1671" type="#_x0000_t75" style="width:3983;height:1548;left:2892;position:absolute;top:381" stroked="f">
              <v:imagedata r:id="rId136" o:title=""/>
            </v:shape>
          </v:group>
        </w:pict>
      </w:r>
      <w:r>
        <w:rPr>
          <w:rFonts w:ascii="Calibri"/>
          <w:spacing w:val="-1"/>
          <w:sz w:val="16"/>
        </w:rPr>
        <w:t>160</w:t>
      </w:r>
    </w:p>
    <w:p>
      <w:pPr>
        <w:spacing w:before="36"/>
        <w:ind w:left="0" w:right="9475" w:firstLine="0"/>
        <w:jc w:val="right"/>
        <w:rPr>
          <w:rFonts w:ascii="Calibri"/>
          <w:sz w:val="16"/>
        </w:rPr>
      </w:pPr>
      <w:r>
        <w:rPr>
          <w:rFonts w:ascii="Calibri"/>
          <w:spacing w:val="-1"/>
          <w:sz w:val="16"/>
        </w:rPr>
        <w:t>140</w:t>
      </w:r>
    </w:p>
    <w:p>
      <w:pPr>
        <w:spacing w:before="35"/>
        <w:ind w:left="0" w:right="9475" w:firstLine="0"/>
        <w:jc w:val="right"/>
        <w:rPr>
          <w:rFonts w:ascii="Calibri"/>
          <w:sz w:val="16"/>
        </w:rPr>
      </w:pPr>
      <w:r>
        <w:rPr>
          <w:rFonts w:ascii="Calibri"/>
          <w:spacing w:val="-1"/>
          <w:sz w:val="16"/>
        </w:rPr>
        <w:t>120</w:t>
      </w:r>
    </w:p>
    <w:p>
      <w:pPr>
        <w:spacing w:before="36"/>
        <w:ind w:left="0" w:right="9475" w:firstLine="0"/>
        <w:jc w:val="right"/>
        <w:rPr>
          <w:rFonts w:ascii="Calibri"/>
          <w:sz w:val="16"/>
        </w:rPr>
      </w:pPr>
      <w:r>
        <w:rPr>
          <w:rFonts w:ascii="Calibri"/>
          <w:spacing w:val="-1"/>
          <w:sz w:val="16"/>
        </w:rPr>
        <w:t>100</w:t>
      </w:r>
    </w:p>
    <w:p>
      <w:pPr>
        <w:spacing w:before="35"/>
        <w:ind w:left="0" w:right="9476" w:firstLine="0"/>
        <w:jc w:val="right"/>
        <w:rPr>
          <w:rFonts w:ascii="Calibri"/>
          <w:sz w:val="16"/>
        </w:rPr>
      </w:pPr>
      <w:r>
        <w:rPr>
          <w:rFonts w:ascii="Calibri"/>
          <w:sz w:val="16"/>
        </w:rPr>
        <w:t>80</w:t>
      </w:r>
    </w:p>
    <w:p>
      <w:pPr>
        <w:spacing w:before="36"/>
        <w:ind w:left="0" w:right="9476" w:firstLine="0"/>
        <w:jc w:val="right"/>
        <w:rPr>
          <w:rFonts w:ascii="Calibri"/>
          <w:sz w:val="16"/>
        </w:rPr>
      </w:pPr>
      <w:r>
        <w:rPr>
          <w:rFonts w:ascii="Calibri"/>
          <w:sz w:val="16"/>
        </w:rPr>
        <w:t>60</w:t>
      </w:r>
    </w:p>
    <w:p>
      <w:pPr>
        <w:spacing w:before="35"/>
        <w:ind w:left="0" w:right="9476" w:firstLine="0"/>
        <w:jc w:val="right"/>
        <w:rPr>
          <w:rFonts w:ascii="Calibri"/>
          <w:sz w:val="16"/>
        </w:rPr>
      </w:pPr>
      <w:r>
        <w:rPr>
          <w:rFonts w:ascii="Calibri"/>
          <w:sz w:val="16"/>
        </w:rPr>
        <w:t>40</w:t>
      </w:r>
    </w:p>
    <w:p>
      <w:pPr>
        <w:spacing w:before="36"/>
        <w:ind w:left="0" w:right="9476" w:firstLine="0"/>
        <w:jc w:val="right"/>
        <w:rPr>
          <w:rFonts w:ascii="Calibri"/>
          <w:sz w:val="16"/>
        </w:rPr>
      </w:pPr>
      <w:r>
        <w:rPr>
          <w:rFonts w:ascii="Calibri"/>
          <w:sz w:val="16"/>
        </w:rPr>
        <w:t>20</w:t>
      </w:r>
    </w:p>
    <w:p>
      <w:pPr>
        <w:spacing w:before="35"/>
        <w:ind w:left="0" w:right="9476" w:firstLine="0"/>
        <w:jc w:val="right"/>
        <w:rPr>
          <w:rFonts w:ascii="Calibri"/>
          <w:sz w:val="16"/>
        </w:rPr>
      </w:pPr>
      <w:r>
        <w:pict>
          <v:shape id="_x0000_s1672" type="#_x0000_t202" style="width:198.15pt;height:28.75pt;margin-top:11.23pt;margin-left:141.2pt;mso-position-horizontal-relative:page;position:absolute;z-index:251784192" filled="f" stroked="f">
            <v:textbox style="layout-flow:vertical;mso-layout-flow-alt:bottom-to-top" inset="0,0,0,0">
              <w:txbxContent>
                <w:p>
                  <w:pPr>
                    <w:spacing w:before="0" w:line="183" w:lineRule="exact"/>
                    <w:ind w:left="20" w:right="0" w:firstLine="0"/>
                    <w:jc w:val="left"/>
                    <w:rPr>
                      <w:rFonts w:ascii="Calibri"/>
                      <w:sz w:val="16"/>
                    </w:rPr>
                  </w:pPr>
                  <w:r>
                    <w:rPr>
                      <w:rFonts w:ascii="Calibri"/>
                      <w:sz w:val="16"/>
                    </w:rPr>
                    <w:t>2020-09</w:t>
                  </w:r>
                </w:p>
                <w:p>
                  <w:pPr>
                    <w:spacing w:before="93"/>
                    <w:ind w:left="20" w:right="0" w:firstLine="0"/>
                    <w:jc w:val="left"/>
                    <w:rPr>
                      <w:rFonts w:ascii="Calibri"/>
                      <w:sz w:val="16"/>
                    </w:rPr>
                  </w:pPr>
                  <w:r>
                    <w:rPr>
                      <w:rFonts w:ascii="Calibri"/>
                      <w:sz w:val="16"/>
                    </w:rPr>
                    <w:t>2020-12</w:t>
                  </w:r>
                </w:p>
                <w:p>
                  <w:pPr>
                    <w:spacing w:before="90"/>
                    <w:ind w:left="20" w:right="0" w:firstLine="0"/>
                    <w:jc w:val="left"/>
                    <w:rPr>
                      <w:rFonts w:ascii="Calibri"/>
                      <w:sz w:val="16"/>
                    </w:rPr>
                  </w:pPr>
                  <w:r>
                    <w:rPr>
                      <w:rFonts w:ascii="Calibri"/>
                      <w:sz w:val="16"/>
                    </w:rPr>
                    <w:t>2021-03</w:t>
                  </w:r>
                </w:p>
                <w:p>
                  <w:pPr>
                    <w:spacing w:before="97"/>
                    <w:ind w:left="20" w:right="0" w:firstLine="0"/>
                    <w:jc w:val="left"/>
                    <w:rPr>
                      <w:rFonts w:ascii="Calibri"/>
                      <w:sz w:val="16"/>
                    </w:rPr>
                  </w:pPr>
                  <w:r>
                    <w:rPr>
                      <w:rFonts w:ascii="Calibri"/>
                      <w:sz w:val="16"/>
                    </w:rPr>
                    <w:t>2021-06</w:t>
                  </w:r>
                </w:p>
                <w:p>
                  <w:pPr>
                    <w:spacing w:before="96"/>
                    <w:ind w:left="20" w:right="0" w:firstLine="0"/>
                    <w:jc w:val="left"/>
                    <w:rPr>
                      <w:rFonts w:ascii="Calibri"/>
                      <w:sz w:val="16"/>
                    </w:rPr>
                  </w:pPr>
                  <w:r>
                    <w:rPr>
                      <w:rFonts w:ascii="Calibri"/>
                      <w:sz w:val="16"/>
                    </w:rPr>
                    <w:t>2021-09</w:t>
                  </w:r>
                </w:p>
                <w:p>
                  <w:pPr>
                    <w:spacing w:before="94"/>
                    <w:ind w:left="20" w:right="0" w:firstLine="0"/>
                    <w:jc w:val="left"/>
                    <w:rPr>
                      <w:rFonts w:ascii="Calibri"/>
                      <w:sz w:val="16"/>
                    </w:rPr>
                  </w:pPr>
                  <w:r>
                    <w:rPr>
                      <w:rFonts w:ascii="Calibri"/>
                      <w:sz w:val="16"/>
                    </w:rPr>
                    <w:t>2021-12</w:t>
                  </w:r>
                </w:p>
                <w:p>
                  <w:pPr>
                    <w:spacing w:before="90"/>
                    <w:ind w:left="20" w:right="0" w:firstLine="0"/>
                    <w:jc w:val="left"/>
                    <w:rPr>
                      <w:rFonts w:ascii="Calibri"/>
                      <w:sz w:val="16"/>
                    </w:rPr>
                  </w:pPr>
                  <w:r>
                    <w:rPr>
                      <w:rFonts w:ascii="Calibri"/>
                      <w:sz w:val="16"/>
                    </w:rPr>
                    <w:t>2022-03</w:t>
                  </w:r>
                </w:p>
                <w:p>
                  <w:pPr>
                    <w:spacing w:before="96"/>
                    <w:ind w:left="20" w:right="0" w:firstLine="0"/>
                    <w:jc w:val="left"/>
                    <w:rPr>
                      <w:rFonts w:ascii="Calibri"/>
                      <w:sz w:val="16"/>
                    </w:rPr>
                  </w:pPr>
                  <w:r>
                    <w:rPr>
                      <w:rFonts w:ascii="Calibri"/>
                      <w:sz w:val="16"/>
                    </w:rPr>
                    <w:t>2022-06</w:t>
                  </w:r>
                </w:p>
                <w:p>
                  <w:pPr>
                    <w:spacing w:before="97"/>
                    <w:ind w:left="20" w:right="0" w:firstLine="0"/>
                    <w:jc w:val="left"/>
                    <w:rPr>
                      <w:rFonts w:ascii="Calibri"/>
                      <w:sz w:val="16"/>
                    </w:rPr>
                  </w:pPr>
                  <w:r>
                    <w:rPr>
                      <w:rFonts w:ascii="Calibri"/>
                      <w:sz w:val="16"/>
                    </w:rPr>
                    <w:t>2022-09</w:t>
                  </w:r>
                </w:p>
                <w:p>
                  <w:pPr>
                    <w:spacing w:before="93"/>
                    <w:ind w:left="20" w:right="0" w:firstLine="0"/>
                    <w:jc w:val="left"/>
                    <w:rPr>
                      <w:rFonts w:ascii="Calibri"/>
                      <w:sz w:val="16"/>
                    </w:rPr>
                  </w:pPr>
                  <w:r>
                    <w:rPr>
                      <w:rFonts w:ascii="Calibri"/>
                      <w:sz w:val="16"/>
                    </w:rPr>
                    <w:t>2022-12</w:t>
                  </w:r>
                </w:p>
                <w:p>
                  <w:pPr>
                    <w:spacing w:before="90"/>
                    <w:ind w:left="20" w:right="0" w:firstLine="0"/>
                    <w:jc w:val="left"/>
                    <w:rPr>
                      <w:rFonts w:ascii="Calibri"/>
                      <w:sz w:val="16"/>
                    </w:rPr>
                  </w:pPr>
                  <w:r>
                    <w:rPr>
                      <w:rFonts w:ascii="Calibri"/>
                      <w:sz w:val="16"/>
                    </w:rPr>
                    <w:t>2023-03</w:t>
                  </w:r>
                </w:p>
                <w:p>
                  <w:pPr>
                    <w:spacing w:before="97"/>
                    <w:ind w:left="20" w:right="0" w:firstLine="0"/>
                    <w:jc w:val="left"/>
                    <w:rPr>
                      <w:rFonts w:ascii="Calibri"/>
                      <w:sz w:val="16"/>
                    </w:rPr>
                  </w:pPr>
                  <w:r>
                    <w:rPr>
                      <w:rFonts w:ascii="Calibri"/>
                      <w:sz w:val="16"/>
                    </w:rPr>
                    <w:t>2023-06</w:t>
                  </w:r>
                </w:p>
                <w:p>
                  <w:pPr>
                    <w:spacing w:before="96"/>
                    <w:ind w:left="20" w:right="0" w:firstLine="0"/>
                    <w:jc w:val="left"/>
                    <w:rPr>
                      <w:rFonts w:ascii="Calibri"/>
                      <w:sz w:val="16"/>
                    </w:rPr>
                  </w:pPr>
                  <w:r>
                    <w:rPr>
                      <w:rFonts w:ascii="Calibri"/>
                      <w:sz w:val="16"/>
                    </w:rPr>
                    <w:t>2023-09</w:t>
                  </w:r>
                </w:p>
                <w:p>
                  <w:pPr>
                    <w:spacing w:before="94"/>
                    <w:ind w:left="20" w:right="0" w:firstLine="0"/>
                    <w:jc w:val="left"/>
                    <w:rPr>
                      <w:rFonts w:ascii="Calibri"/>
                      <w:sz w:val="16"/>
                    </w:rPr>
                  </w:pPr>
                  <w:r>
                    <w:rPr>
                      <w:rFonts w:ascii="Calibri"/>
                      <w:sz w:val="16"/>
                    </w:rPr>
                    <w:t>2023-12</w:t>
                  </w:r>
                </w:p>
              </w:txbxContent>
            </v:textbox>
          </v:shape>
        </w:pict>
      </w:r>
      <w:r>
        <w:rPr>
          <w:rFonts w:ascii="Calibri"/>
          <w:w w:val="100"/>
          <w:sz w:val="16"/>
        </w:rPr>
        <w:t>0</w:t>
      </w:r>
    </w:p>
    <w:p>
      <w:pPr>
        <w:pStyle w:val="BodyText"/>
        <w:rPr>
          <w:rFonts w:ascii="Calibri"/>
          <w:sz w:val="20"/>
        </w:rPr>
      </w:pPr>
    </w:p>
    <w:p>
      <w:pPr>
        <w:pStyle w:val="BodyText"/>
        <w:rPr>
          <w:rFonts w:ascii="Calibri"/>
          <w:sz w:val="20"/>
        </w:rPr>
      </w:pPr>
    </w:p>
    <w:p>
      <w:pPr>
        <w:pStyle w:val="BodyText"/>
        <w:spacing w:before="7"/>
        <w:rPr>
          <w:rFonts w:ascii="Calibri"/>
          <w:sz w:val="13"/>
        </w:rPr>
      </w:pPr>
      <w:r>
        <w:pict>
          <v:shape id="_x0000_s1673" style="width:358.85pt;height:0.1pt;margin-top:10.68pt;margin-left:57.55pt;mso-position-horizontal-relative:page;mso-wrap-distance-left:0;mso-wrap-distance-right:0;position:absolute;z-index:-251534336" coordorigin="1151,214" coordsize="7177,0" path="m1151,214l8328,214e" filled="f" stroked="t" strokecolor="black" strokeweight="0.75pt">
            <v:stroke dashstyle="solid"/>
            <v:path arrowok="t"/>
            <w10:wrap type="topAndBottom"/>
          </v:shape>
        </w:pict>
      </w:r>
    </w:p>
    <w:p>
      <w:pPr>
        <w:spacing w:before="0" w:line="157" w:lineRule="exact"/>
        <w:ind w:left="1150" w:right="0" w:firstLine="0"/>
        <w:jc w:val="left"/>
        <w:rPr>
          <w:sz w:val="15"/>
        </w:rPr>
      </w:pPr>
      <w:r>
        <w:t xml:space="preserve">资料来源：Factset一致预期， </w:t>
      </w:r>
    </w:p>
    <w:p>
      <w:pPr>
        <w:pStyle w:val="BodyText"/>
        <w:spacing w:before="7"/>
        <w:rPr>
          <w:sz w:val="13"/>
        </w:rPr>
      </w:pPr>
    </w:p>
    <w:p>
      <w:pPr>
        <w:pStyle w:val="BodyText"/>
        <w:spacing w:before="64" w:line="232" w:lineRule="auto"/>
        <w:ind w:left="1151" w:right="3910"/>
        <w:jc w:val="both"/>
      </w:pPr>
      <w:r>
        <w:rPr>
          <w:color w:val="262626"/>
        </w:rPr>
        <w:t>板块选股方面，我们认为逆变器行业长期来看，尤其是储能逆变器远未技术成熟，技术实力将成为企业核心竞争力，因此我们偏好重视研发的企业。由于储能需求增长远快于光伏且单位毛利更高，我们偏好在储能领域具有竞争优势的企业。基于这</w:t>
      </w:r>
      <w:r>
        <w:rPr>
          <w:rFonts w:ascii="Calibri" w:eastAsia="Calibri"/>
          <w:color w:val="262626"/>
        </w:rPr>
        <w:t>2</w:t>
      </w:r>
      <w:r>
        <w:rPr>
          <w:color w:val="262626"/>
        </w:rPr>
        <w:t>条原则，我们在板块内最看好阳光电源（</w:t>
      </w:r>
      <w:r>
        <w:rPr>
          <w:rFonts w:ascii="Calibri" w:eastAsia="Calibri"/>
          <w:color w:val="262626"/>
        </w:rPr>
        <w:t>300274 CH</w:t>
      </w:r>
      <w:r>
        <w:rPr>
          <w:color w:val="262626"/>
        </w:rPr>
        <w:t>）和固德威</w:t>
      </w:r>
    </w:p>
    <w:p>
      <w:pPr>
        <w:pStyle w:val="BodyText"/>
        <w:spacing w:line="232" w:lineRule="auto"/>
        <w:ind w:left="1151" w:right="3910"/>
        <w:jc w:val="both"/>
      </w:pPr>
      <w:r>
        <w:rPr>
          <w:color w:val="262626"/>
        </w:rPr>
        <w:t>（</w:t>
      </w:r>
      <w:r>
        <w:rPr>
          <w:rFonts w:ascii="Calibri" w:eastAsia="Calibri"/>
          <w:color w:val="262626"/>
        </w:rPr>
        <w:t>688390 CH</w:t>
      </w:r>
      <w:r>
        <w:rPr>
          <w:color w:val="262626"/>
        </w:rPr>
        <w:t>），</w:t>
      </w:r>
      <w:r>
        <w:rPr>
          <w:rFonts w:ascii="Calibri" w:eastAsia="Calibri"/>
          <w:color w:val="262626"/>
        </w:rPr>
        <w:t>2</w:t>
      </w:r>
      <w:r>
        <w:rPr>
          <w:color w:val="262626"/>
        </w:rPr>
        <w:t>家企业在板块内最为重视研发，前者为储能逆变器全球出货第一，后者为户储逆变器全球出货第一。根据一致预期，这</w:t>
      </w:r>
      <w:r>
        <w:rPr>
          <w:rFonts w:ascii="Calibri" w:eastAsia="Calibri"/>
          <w:color w:val="262626"/>
        </w:rPr>
        <w:t>2</w:t>
      </w:r>
      <w:r>
        <w:rPr>
          <w:color w:val="262626"/>
        </w:rPr>
        <w:t>家公司估值也远低于同业。</w:t>
      </w:r>
    </w:p>
    <w:p>
      <w:pPr>
        <w:pStyle w:val="BodyText"/>
        <w:spacing w:before="173" w:line="232" w:lineRule="auto"/>
        <w:ind w:left="1151" w:right="3911"/>
        <w:jc w:val="both"/>
      </w:pPr>
      <w:r>
        <w:rPr>
          <w:color w:val="262626"/>
        </w:rPr>
        <w:t>短期来看，海外尤其是美国地面电站、大储将是增长最快的细分市场，户用逆变器出口虽已出现拐点，但仍需在</w:t>
      </w:r>
      <w:r>
        <w:rPr>
          <w:rFonts w:ascii="Calibri" w:eastAsia="Calibri"/>
          <w:color w:val="262626"/>
        </w:rPr>
        <w:t>2024</w:t>
      </w:r>
      <w:r>
        <w:rPr>
          <w:color w:val="262626"/>
        </w:rPr>
        <w:t>年</w:t>
      </w:r>
      <w:r>
        <w:rPr>
          <w:rFonts w:ascii="Calibri" w:eastAsia="Calibri"/>
          <w:color w:val="262626"/>
        </w:rPr>
        <w:t>1</w:t>
      </w:r>
      <w:r>
        <w:rPr>
          <w:color w:val="262626"/>
        </w:rPr>
        <w:t>季度去清库存，因此我们偏好大功率产品占比较高、户用产品占比较低、美国收入占比较高的低估值公司。</w:t>
      </w:r>
    </w:p>
    <w:p>
      <w:pPr>
        <w:spacing w:after="0" w:line="232" w:lineRule="auto"/>
        <w:jc w:val="both"/>
        <w:sectPr>
          <w:headerReference w:type="default" r:id="rId137"/>
          <w:footerReference w:type="default" r:id="rId138"/>
          <w:pgSz w:w="12240" w:h="15840"/>
          <w:pgMar w:top="1720" w:right="0" w:bottom="1380" w:left="0" w:header="708" w:footer="708"/>
          <w:pgNumType w:start="47"/>
          <w:cols w:space="708"/>
        </w:sectPr>
      </w:pPr>
    </w:p>
    <w:p>
      <w:pPr>
        <w:pStyle w:val="BodyText"/>
        <w:rPr>
          <w:sz w:val="20"/>
        </w:rPr>
      </w:pPr>
    </w:p>
    <w:p>
      <w:pPr>
        <w:pStyle w:val="BodyText"/>
        <w:spacing w:before="5"/>
        <w:rPr>
          <w:sz w:val="23"/>
        </w:rPr>
      </w:pPr>
    </w:p>
    <w:p>
      <w:pPr>
        <w:pStyle w:val="BodyText"/>
        <w:spacing w:before="64" w:line="232" w:lineRule="auto"/>
        <w:ind w:left="1151" w:right="3910"/>
        <w:jc w:val="both"/>
      </w:pPr>
      <w:r>
        <w:rPr>
          <w:color w:val="262626"/>
          <w:spacing w:val="4"/>
        </w:rPr>
        <w:t>我们首选行业龙头阳光电源，其并网逆变器出货中地面电站产品占</w:t>
      </w:r>
      <w:r>
        <w:rPr>
          <w:rFonts w:ascii="Calibri" w:eastAsia="Calibri"/>
          <w:color w:val="262626"/>
          <w:spacing w:val="3"/>
        </w:rPr>
        <w:t>2/3</w:t>
      </w:r>
      <w:r>
        <w:rPr>
          <w:color w:val="262626"/>
          <w:spacing w:val="2"/>
        </w:rPr>
        <w:t>，储能系统出货中大储占</w:t>
      </w:r>
      <w:r>
        <w:rPr>
          <w:rFonts w:ascii="Calibri" w:eastAsia="Calibri"/>
          <w:color w:val="262626"/>
          <w:spacing w:val="2"/>
        </w:rPr>
        <w:t>90%(</w:t>
      </w:r>
      <w:r>
        <w:rPr>
          <w:color w:val="262626"/>
          <w:spacing w:val="2"/>
        </w:rPr>
        <w:t>全球主要市场中利润率最高的美国占</w:t>
      </w:r>
      <w:r>
        <w:rPr>
          <w:rFonts w:ascii="Calibri" w:eastAsia="Calibri"/>
          <w:color w:val="262626"/>
          <w:spacing w:val="2"/>
        </w:rPr>
        <w:t>50%)</w:t>
      </w:r>
      <w:r>
        <w:rPr>
          <w:color w:val="262626"/>
          <w:spacing w:val="2"/>
        </w:rPr>
        <w:t>，海外户用收</w:t>
      </w:r>
      <w:r>
        <w:rPr>
          <w:color w:val="262626"/>
          <w:spacing w:val="3"/>
        </w:rPr>
        <w:t>入占比低，我们预计</w:t>
      </w:r>
      <w:r>
        <w:rPr>
          <w:rFonts w:ascii="Calibri" w:eastAsia="Calibri"/>
          <w:color w:val="262626"/>
        </w:rPr>
        <w:t>2023</w:t>
      </w:r>
      <w:r>
        <w:rPr>
          <w:color w:val="262626"/>
          <w:spacing w:val="3"/>
        </w:rPr>
        <w:t>年盈利大增</w:t>
      </w:r>
      <w:r>
        <w:rPr>
          <w:rFonts w:ascii="Calibri" w:eastAsia="Calibri"/>
          <w:color w:val="262626"/>
        </w:rPr>
        <w:t>168%</w:t>
      </w:r>
      <w:r>
        <w:rPr>
          <w:color w:val="262626"/>
          <w:spacing w:val="3"/>
        </w:rPr>
        <w:t>后，高基数下以量补价</w:t>
      </w:r>
      <w:r>
        <w:rPr>
          <w:rFonts w:ascii="Calibri" w:eastAsia="Calibri"/>
          <w:color w:val="262626"/>
        </w:rPr>
        <w:t>2023-25</w:t>
      </w:r>
      <w:r>
        <w:rPr>
          <w:color w:val="262626"/>
          <w:spacing w:val="1"/>
        </w:rPr>
        <w:t>年复</w:t>
      </w:r>
      <w:r>
        <w:rPr>
          <w:color w:val="262626"/>
          <w:spacing w:val="-1"/>
        </w:rPr>
        <w:t>合增长率仍将达</w:t>
      </w:r>
      <w:r>
        <w:rPr>
          <w:rFonts w:ascii="Calibri" w:eastAsia="Calibri"/>
          <w:color w:val="262626"/>
        </w:rPr>
        <w:t>13.3%</w:t>
      </w:r>
      <w:r>
        <w:rPr>
          <w:color w:val="262626"/>
          <w:spacing w:val="-1"/>
        </w:rPr>
        <w:t>。根据我们预测，目前股价仅对应</w:t>
      </w:r>
      <w:r>
        <w:rPr>
          <w:rFonts w:ascii="Calibri" w:eastAsia="Calibri"/>
          <w:color w:val="262626"/>
        </w:rPr>
        <w:t>13.7</w:t>
      </w:r>
      <w:r>
        <w:rPr>
          <w:color w:val="262626"/>
          <w:spacing w:val="-8"/>
        </w:rPr>
        <w:t>倍</w:t>
      </w:r>
      <w:r>
        <w:rPr>
          <w:rFonts w:ascii="Calibri" w:eastAsia="Calibri"/>
          <w:color w:val="262626"/>
        </w:rPr>
        <w:t>2024</w:t>
      </w:r>
      <w:r>
        <w:rPr>
          <w:color w:val="262626"/>
          <w:spacing w:val="-3"/>
        </w:rPr>
        <w:t xml:space="preserve">年市盈率， </w:t>
      </w:r>
      <w:r>
        <w:rPr>
          <w:color w:val="262626"/>
          <w:spacing w:val="-2"/>
        </w:rPr>
        <w:t>比过去</w:t>
      </w:r>
      <w:r>
        <w:rPr>
          <w:rFonts w:ascii="Calibri" w:eastAsia="Calibri"/>
          <w:color w:val="262626"/>
        </w:rPr>
        <w:t>5</w:t>
      </w:r>
      <w:r>
        <w:rPr>
          <w:color w:val="262626"/>
          <w:spacing w:val="-2"/>
        </w:rPr>
        <w:t>年平均低</w:t>
      </w:r>
      <w:r>
        <w:rPr>
          <w:rFonts w:ascii="Calibri" w:eastAsia="Calibri"/>
          <w:color w:val="262626"/>
        </w:rPr>
        <w:t>50%</w:t>
      </w:r>
      <w:r>
        <w:rPr>
          <w:color w:val="262626"/>
          <w:spacing w:val="-1"/>
        </w:rPr>
        <w:t>以上，我们认为公司已在</w:t>
      </w:r>
      <w:r>
        <w:rPr>
          <w:rFonts w:ascii="Calibri" w:eastAsia="Calibri"/>
          <w:color w:val="262626"/>
        </w:rPr>
        <w:t>2021</w:t>
      </w:r>
      <w:r>
        <w:rPr>
          <w:color w:val="262626"/>
          <w:spacing w:val="-7"/>
        </w:rPr>
        <w:t>至</w:t>
      </w:r>
      <w:r>
        <w:rPr>
          <w:rFonts w:ascii="Calibri" w:eastAsia="Calibri"/>
          <w:color w:val="262626"/>
        </w:rPr>
        <w:t>2023</w:t>
      </w:r>
      <w:r>
        <w:rPr>
          <w:color w:val="262626"/>
          <w:spacing w:val="-2"/>
        </w:rPr>
        <w:t>年间巩固行业龙头地</w:t>
      </w:r>
    </w:p>
    <w:p>
      <w:pPr>
        <w:pStyle w:val="BodyText"/>
        <w:spacing w:line="306" w:lineRule="exact"/>
        <w:ind w:left="1151"/>
      </w:pPr>
      <w:r>
        <w:rPr>
          <w:color w:val="262626"/>
        </w:rPr>
        <w:t>位，因此估值存在较大修复空间，首次覆盖给予</w:t>
      </w:r>
      <w:r>
        <w:rPr>
          <w:rFonts w:ascii="Microsoft JhengHei" w:eastAsia="Microsoft JhengHei" w:hint="eastAsia"/>
          <w:b/>
          <w:color w:val="262626"/>
        </w:rPr>
        <w:t>买入</w:t>
      </w:r>
      <w:r>
        <w:rPr>
          <w:color w:val="262626"/>
        </w:rPr>
        <w:t>评级。</w:t>
      </w:r>
    </w:p>
    <w:p>
      <w:pPr>
        <w:pStyle w:val="BodyText"/>
        <w:spacing w:before="130" w:line="232" w:lineRule="auto"/>
        <w:ind w:left="1151" w:right="3910"/>
        <w:jc w:val="both"/>
      </w:pPr>
      <w:r>
        <w:rPr>
          <w:color w:val="262626"/>
        </w:rPr>
        <w:t>我们同时看好户用逆变器龙头固德威，尽管欧洲去库存导致</w:t>
      </w:r>
      <w:r>
        <w:rPr>
          <w:rFonts w:ascii="Calibri" w:eastAsia="Calibri"/>
          <w:color w:val="262626"/>
        </w:rPr>
        <w:t>2023</w:t>
      </w:r>
      <w:r>
        <w:rPr>
          <w:color w:val="262626"/>
        </w:rPr>
        <w:t>年下半年业绩大幅下降，但随着去库存进入尾声，</w:t>
      </w:r>
      <w:r>
        <w:rPr>
          <w:rFonts w:ascii="Calibri" w:eastAsia="Calibri"/>
          <w:color w:val="262626"/>
        </w:rPr>
        <w:t>2024</w:t>
      </w:r>
      <w:r>
        <w:rPr>
          <w:color w:val="262626"/>
        </w:rPr>
        <w:t>年</w:t>
      </w:r>
      <w:r>
        <w:rPr>
          <w:rFonts w:ascii="Calibri" w:eastAsia="Calibri"/>
          <w:color w:val="262626"/>
        </w:rPr>
        <w:t>1</w:t>
      </w:r>
      <w:r>
        <w:rPr>
          <w:color w:val="262626"/>
        </w:rPr>
        <w:t>季度业绩即将明显回升，在工商业产品放量及户用需求恢复推动下，我们预计</w:t>
      </w:r>
      <w:r>
        <w:rPr>
          <w:rFonts w:ascii="Calibri" w:eastAsia="Calibri"/>
          <w:color w:val="262626"/>
        </w:rPr>
        <w:t>2023-25</w:t>
      </w:r>
      <w:r>
        <w:rPr>
          <w:color w:val="262626"/>
        </w:rPr>
        <w:t>年盈利复合增长率将达</w:t>
      </w:r>
      <w:r>
        <w:rPr>
          <w:rFonts w:ascii="Calibri" w:eastAsia="Calibri"/>
          <w:color w:val="262626"/>
        </w:rPr>
        <w:t>18.6%</w:t>
      </w:r>
      <w:r>
        <w:rPr>
          <w:color w:val="262626"/>
        </w:rPr>
        <w:t>。根据我们预测，目前股价对应</w:t>
      </w:r>
      <w:r>
        <w:rPr>
          <w:rFonts w:ascii="Calibri" w:eastAsia="Calibri"/>
          <w:color w:val="262626"/>
        </w:rPr>
        <w:t>19.8</w:t>
      </w:r>
      <w:r>
        <w:rPr>
          <w:color w:val="262626"/>
        </w:rPr>
        <w:t>倍</w:t>
      </w:r>
      <w:r>
        <w:rPr>
          <w:rFonts w:ascii="Calibri" w:eastAsia="Calibri"/>
          <w:color w:val="262626"/>
        </w:rPr>
        <w:t>2024</w:t>
      </w:r>
      <w:r>
        <w:rPr>
          <w:color w:val="262626"/>
        </w:rPr>
        <w:t>年市盈率，比上市后平均低</w:t>
      </w:r>
    </w:p>
    <w:p>
      <w:pPr>
        <w:pStyle w:val="BodyText"/>
        <w:spacing w:before="12" w:line="160" w:lineRule="auto"/>
        <w:ind w:left="1151" w:right="3910"/>
      </w:pPr>
      <w:r>
        <w:rPr>
          <w:rFonts w:ascii="Calibri" w:eastAsia="Calibri"/>
          <w:color w:val="262626"/>
        </w:rPr>
        <w:t>50%</w:t>
      </w:r>
      <w:r>
        <w:rPr>
          <w:color w:val="262626"/>
        </w:rPr>
        <w:t>以上，我们认为已反映悲观预期，估值也存在修复空间，首次覆盖给予</w:t>
      </w:r>
      <w:r>
        <w:rPr>
          <w:rFonts w:ascii="Microsoft JhengHei" w:eastAsia="Microsoft JhengHei" w:hint="eastAsia"/>
          <w:b/>
          <w:color w:val="262626"/>
        </w:rPr>
        <w:t>买入</w:t>
      </w:r>
      <w:r>
        <w:rPr>
          <w:color w:val="262626"/>
        </w:rPr>
        <w:t>评级。</w:t>
      </w:r>
    </w:p>
    <w:p>
      <w:pPr>
        <w:pStyle w:val="Heading3"/>
        <w:spacing w:before="68"/>
      </w:pPr>
      <w:r>
        <w:rPr>
          <w:color w:val="262626"/>
        </w:rPr>
        <w:t>图表</w:t>
      </w:r>
      <w:r>
        <w:rPr>
          <w:rFonts w:ascii="Calibri" w:eastAsia="Calibri"/>
          <w:color w:val="262626"/>
        </w:rPr>
        <w:t>38: A</w:t>
      </w:r>
      <w:r>
        <w:rPr>
          <w:color w:val="262626"/>
        </w:rPr>
        <w:t>股逆变器企业估值</w:t>
      </w:r>
    </w:p>
    <w:tbl>
      <w:tblPr>
        <w:tblStyle w:val="TableNormal4"/>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1"/>
        <w:gridCol w:w="1183"/>
        <w:gridCol w:w="913"/>
        <w:gridCol w:w="1169"/>
        <w:gridCol w:w="997"/>
        <w:gridCol w:w="993"/>
        <w:gridCol w:w="993"/>
        <w:gridCol w:w="943"/>
        <w:gridCol w:w="993"/>
        <w:gridCol w:w="765"/>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6"/>
          <w:jc w:val="left"/>
        </w:trPr>
        <w:tc>
          <w:tcPr>
            <w:tcW w:w="981" w:type="dxa"/>
            <w:tcBorders>
              <w:top w:val="single" w:sz="4" w:space="0" w:color="000000"/>
            </w:tcBorders>
          </w:tcPr>
          <w:p>
            <w:pPr>
              <w:pStyle w:val="TableParagraph"/>
              <w:spacing w:line="186" w:lineRule="exact"/>
              <w:ind w:left="27"/>
              <w:jc w:val="left"/>
              <w:rPr>
                <w:rFonts w:ascii="Microsoft JhengHei" w:eastAsia="Microsoft JhengHei" w:hint="eastAsia"/>
                <w:b/>
                <w:sz w:val="16"/>
              </w:rPr>
            </w:pPr>
            <w:r>
              <w:rPr>
                <w:rFonts w:ascii="Microsoft JhengHei" w:eastAsia="Microsoft JhengHei" w:hint="eastAsia"/>
                <w:b/>
                <w:sz w:val="16"/>
              </w:rPr>
              <w:t>公司名称</w:t>
            </w:r>
          </w:p>
        </w:tc>
        <w:tc>
          <w:tcPr>
            <w:tcW w:w="1183" w:type="dxa"/>
            <w:tcBorders>
              <w:top w:val="single" w:sz="4" w:space="0" w:color="000000"/>
            </w:tcBorders>
          </w:tcPr>
          <w:p>
            <w:pPr>
              <w:pStyle w:val="TableParagraph"/>
              <w:spacing w:line="186" w:lineRule="exact"/>
              <w:ind w:right="206"/>
              <w:rPr>
                <w:rFonts w:ascii="Microsoft JhengHei" w:eastAsia="Microsoft JhengHei" w:hint="eastAsia"/>
                <w:b/>
                <w:sz w:val="16"/>
              </w:rPr>
            </w:pPr>
            <w:r>
              <w:rPr>
                <w:rFonts w:ascii="Microsoft JhengHei" w:eastAsia="Microsoft JhengHei" w:hint="eastAsia"/>
                <w:b/>
                <w:sz w:val="16"/>
              </w:rPr>
              <w:t>彭博代码</w:t>
            </w:r>
          </w:p>
        </w:tc>
        <w:tc>
          <w:tcPr>
            <w:tcW w:w="913" w:type="dxa"/>
            <w:tcBorders>
              <w:top w:val="single" w:sz="4" w:space="0" w:color="000000"/>
            </w:tcBorders>
          </w:tcPr>
          <w:p>
            <w:pPr>
              <w:pStyle w:val="TableParagraph"/>
              <w:spacing w:line="186" w:lineRule="exact"/>
              <w:ind w:right="127"/>
              <w:rPr>
                <w:rFonts w:ascii="Microsoft JhengHei" w:eastAsia="Microsoft JhengHei" w:hint="eastAsia"/>
                <w:b/>
                <w:sz w:val="16"/>
              </w:rPr>
            </w:pPr>
            <w:r>
              <w:rPr>
                <w:rFonts w:ascii="Microsoft JhengHei" w:eastAsia="Microsoft JhengHei" w:hint="eastAsia"/>
                <w:b/>
                <w:sz w:val="16"/>
              </w:rPr>
              <w:t>收盘价</w:t>
            </w:r>
          </w:p>
        </w:tc>
        <w:tc>
          <w:tcPr>
            <w:tcW w:w="1169" w:type="dxa"/>
            <w:tcBorders>
              <w:top w:val="single" w:sz="4" w:space="0" w:color="000000"/>
            </w:tcBorders>
          </w:tcPr>
          <w:p>
            <w:pPr>
              <w:pStyle w:val="TableParagraph"/>
              <w:spacing w:line="186" w:lineRule="exact"/>
              <w:ind w:right="303"/>
              <w:rPr>
                <w:rFonts w:ascii="Microsoft JhengHei" w:eastAsia="Microsoft JhengHei" w:hint="eastAsia"/>
                <w:b/>
                <w:sz w:val="16"/>
              </w:rPr>
            </w:pPr>
            <w:r>
              <w:rPr>
                <w:rFonts w:ascii="Microsoft JhengHei" w:eastAsia="Microsoft JhengHei" w:hint="eastAsia"/>
                <w:b/>
                <w:sz w:val="16"/>
              </w:rPr>
              <w:t>市值</w:t>
            </w:r>
          </w:p>
        </w:tc>
        <w:tc>
          <w:tcPr>
            <w:tcW w:w="3926" w:type="dxa"/>
            <w:gridSpan w:val="4"/>
            <w:tcBorders>
              <w:top w:val="single" w:sz="4" w:space="0" w:color="000000"/>
            </w:tcBorders>
          </w:tcPr>
          <w:p>
            <w:pPr>
              <w:pStyle w:val="TableParagraph"/>
              <w:spacing w:line="186" w:lineRule="exact"/>
              <w:ind w:left="300"/>
              <w:jc w:val="left"/>
              <w:rPr>
                <w:b/>
                <w:sz w:val="16"/>
              </w:rPr>
            </w:pPr>
            <w:r>
              <w:rPr>
                <w:b/>
                <w:sz w:val="16"/>
              </w:rPr>
              <w:t>———————————</w:t>
            </w:r>
            <w:r>
              <w:rPr>
                <w:rFonts w:ascii="Microsoft JhengHei" w:eastAsia="Microsoft JhengHei" w:hAnsi="Microsoft JhengHei" w:hint="eastAsia"/>
                <w:b/>
                <w:sz w:val="16"/>
              </w:rPr>
              <w:t>市盈率</w:t>
            </w:r>
            <w:r>
              <w:rPr>
                <w:b/>
                <w:sz w:val="16"/>
              </w:rPr>
              <w:t>———————————</w:t>
            </w:r>
          </w:p>
        </w:tc>
        <w:tc>
          <w:tcPr>
            <w:tcW w:w="993" w:type="dxa"/>
            <w:tcBorders>
              <w:top w:val="single" w:sz="4" w:space="0" w:color="000000"/>
            </w:tcBorders>
          </w:tcPr>
          <w:p>
            <w:pPr>
              <w:pStyle w:val="TableParagraph"/>
              <w:spacing w:line="186" w:lineRule="exact"/>
              <w:ind w:right="260"/>
              <w:rPr>
                <w:rFonts w:ascii="Microsoft JhengHei" w:eastAsia="Microsoft JhengHei" w:hint="eastAsia"/>
                <w:b/>
                <w:sz w:val="16"/>
              </w:rPr>
            </w:pPr>
            <w:r>
              <w:rPr>
                <w:rFonts w:ascii="Microsoft JhengHei" w:eastAsia="Microsoft JhengHei" w:hint="eastAsia"/>
                <w:b/>
                <w:sz w:val="16"/>
              </w:rPr>
              <w:t>市净率</w:t>
            </w:r>
          </w:p>
        </w:tc>
        <w:tc>
          <w:tcPr>
            <w:tcW w:w="765" w:type="dxa"/>
            <w:tcBorders>
              <w:top w:val="single" w:sz="4" w:space="0" w:color="000000"/>
            </w:tcBorders>
          </w:tcPr>
          <w:p>
            <w:pPr>
              <w:pStyle w:val="TableParagraph"/>
              <w:spacing w:line="186" w:lineRule="exact"/>
              <w:ind w:right="32"/>
              <w:rPr>
                <w:rFonts w:ascii="Microsoft JhengHei" w:eastAsia="Microsoft JhengHei" w:hint="eastAsia"/>
                <w:b/>
                <w:sz w:val="16"/>
              </w:rPr>
            </w:pPr>
            <w:r>
              <w:rPr>
                <w:rFonts w:ascii="Microsoft JhengHei" w:eastAsia="Microsoft JhengHei" w:hint="eastAsia"/>
                <w:b/>
                <w:sz w:val="16"/>
              </w:rPr>
              <w:t>股息率</w:t>
            </w:r>
          </w:p>
        </w:tc>
      </w:tr>
      <w:tr>
        <w:tblPrEx>
          <w:tblW w:w="0" w:type="auto"/>
          <w:jc w:val="left"/>
          <w:tblInd w:w="1158" w:type="dxa"/>
          <w:tblLayout w:type="fixed"/>
          <w:tblCellMar>
            <w:top w:w="0" w:type="dxa"/>
            <w:left w:w="0" w:type="dxa"/>
            <w:bottom w:w="0" w:type="dxa"/>
            <w:right w:w="0" w:type="dxa"/>
          </w:tblCellMar>
          <w:tblLook w:val="01E0"/>
        </w:tblPrEx>
        <w:trPr>
          <w:trHeight w:val="304"/>
          <w:jc w:val="left"/>
        </w:trPr>
        <w:tc>
          <w:tcPr>
            <w:tcW w:w="981" w:type="dxa"/>
          </w:tcPr>
          <w:p>
            <w:pPr>
              <w:pStyle w:val="TableParagraph"/>
              <w:jc w:val="left"/>
              <w:rPr>
                <w:rFonts w:ascii="Times New Roman"/>
                <w:sz w:val="18"/>
              </w:rPr>
            </w:pPr>
          </w:p>
        </w:tc>
        <w:tc>
          <w:tcPr>
            <w:tcW w:w="1183" w:type="dxa"/>
          </w:tcPr>
          <w:p>
            <w:pPr>
              <w:pStyle w:val="TableParagraph"/>
              <w:jc w:val="left"/>
              <w:rPr>
                <w:rFonts w:ascii="Times New Roman"/>
                <w:sz w:val="18"/>
              </w:rPr>
            </w:pPr>
          </w:p>
        </w:tc>
        <w:tc>
          <w:tcPr>
            <w:tcW w:w="913" w:type="dxa"/>
          </w:tcPr>
          <w:p>
            <w:pPr>
              <w:pStyle w:val="TableParagraph"/>
              <w:jc w:val="left"/>
              <w:rPr>
                <w:rFonts w:ascii="Times New Roman"/>
                <w:sz w:val="18"/>
              </w:rPr>
            </w:pPr>
          </w:p>
        </w:tc>
        <w:tc>
          <w:tcPr>
            <w:tcW w:w="1169" w:type="dxa"/>
          </w:tcPr>
          <w:p>
            <w:pPr>
              <w:pStyle w:val="TableParagraph"/>
              <w:jc w:val="left"/>
              <w:rPr>
                <w:rFonts w:ascii="Times New Roman"/>
                <w:sz w:val="18"/>
              </w:rPr>
            </w:pPr>
          </w:p>
        </w:tc>
        <w:tc>
          <w:tcPr>
            <w:tcW w:w="997" w:type="dxa"/>
          </w:tcPr>
          <w:p>
            <w:pPr>
              <w:pStyle w:val="TableParagraph"/>
              <w:spacing w:before="100"/>
              <w:ind w:right="307"/>
              <w:rPr>
                <w:b/>
                <w:sz w:val="16"/>
              </w:rPr>
            </w:pPr>
            <w:r>
              <w:rPr>
                <w:b/>
                <w:sz w:val="16"/>
              </w:rPr>
              <w:t>2022</w:t>
            </w:r>
          </w:p>
        </w:tc>
        <w:tc>
          <w:tcPr>
            <w:tcW w:w="993" w:type="dxa"/>
          </w:tcPr>
          <w:p>
            <w:pPr>
              <w:pStyle w:val="TableParagraph"/>
              <w:spacing w:before="100"/>
              <w:ind w:left="284" w:right="286"/>
              <w:jc w:val="center"/>
              <w:rPr>
                <w:b/>
                <w:sz w:val="16"/>
              </w:rPr>
            </w:pPr>
            <w:r>
              <w:rPr>
                <w:b/>
                <w:sz w:val="16"/>
              </w:rPr>
              <w:t>2023E</w:t>
            </w:r>
          </w:p>
        </w:tc>
        <w:tc>
          <w:tcPr>
            <w:tcW w:w="993" w:type="dxa"/>
          </w:tcPr>
          <w:p>
            <w:pPr>
              <w:pStyle w:val="TableParagraph"/>
              <w:spacing w:before="100"/>
              <w:ind w:left="283" w:right="287"/>
              <w:jc w:val="center"/>
              <w:rPr>
                <w:b/>
                <w:sz w:val="16"/>
              </w:rPr>
            </w:pPr>
            <w:r>
              <w:rPr>
                <w:b/>
                <w:sz w:val="16"/>
              </w:rPr>
              <w:t>2024E</w:t>
            </w:r>
          </w:p>
        </w:tc>
        <w:tc>
          <w:tcPr>
            <w:tcW w:w="943" w:type="dxa"/>
          </w:tcPr>
          <w:p>
            <w:pPr>
              <w:pStyle w:val="TableParagraph"/>
              <w:spacing w:before="100"/>
              <w:ind w:right="258"/>
              <w:rPr>
                <w:b/>
                <w:sz w:val="16"/>
              </w:rPr>
            </w:pPr>
            <w:r>
              <w:rPr>
                <w:b/>
                <w:sz w:val="16"/>
              </w:rPr>
              <w:t>2025E</w:t>
            </w:r>
          </w:p>
        </w:tc>
        <w:tc>
          <w:tcPr>
            <w:tcW w:w="993" w:type="dxa"/>
          </w:tcPr>
          <w:p>
            <w:pPr>
              <w:pStyle w:val="TableParagraph"/>
              <w:spacing w:before="94" w:line="190" w:lineRule="exact"/>
              <w:ind w:right="259"/>
              <w:rPr>
                <w:rFonts w:ascii="Calibri"/>
                <w:b/>
                <w:sz w:val="16"/>
              </w:rPr>
            </w:pPr>
            <w:r>
              <w:rPr>
                <w:rFonts w:ascii="Calibri"/>
                <w:b/>
                <w:sz w:val="16"/>
              </w:rPr>
              <w:t>2023E</w:t>
            </w:r>
          </w:p>
        </w:tc>
        <w:tc>
          <w:tcPr>
            <w:tcW w:w="765" w:type="dxa"/>
          </w:tcPr>
          <w:p>
            <w:pPr>
              <w:pStyle w:val="TableParagraph"/>
              <w:spacing w:before="94" w:line="190" w:lineRule="exact"/>
              <w:ind w:right="31"/>
              <w:rPr>
                <w:rFonts w:ascii="Calibri"/>
                <w:b/>
                <w:sz w:val="16"/>
              </w:rPr>
            </w:pPr>
            <w:r>
              <w:rPr>
                <w:rFonts w:ascii="Calibri"/>
                <w:b/>
                <w:sz w:val="16"/>
              </w:rPr>
              <w:t>2023E</w:t>
            </w:r>
          </w:p>
        </w:tc>
      </w:tr>
      <w:tr>
        <w:tblPrEx>
          <w:tblW w:w="0" w:type="auto"/>
          <w:jc w:val="left"/>
          <w:tblInd w:w="1158" w:type="dxa"/>
          <w:tblLayout w:type="fixed"/>
          <w:tblCellMar>
            <w:top w:w="0" w:type="dxa"/>
            <w:left w:w="0" w:type="dxa"/>
            <w:bottom w:w="0" w:type="dxa"/>
            <w:right w:w="0" w:type="dxa"/>
          </w:tblCellMar>
          <w:tblLook w:val="01E0"/>
        </w:tblPrEx>
        <w:trPr>
          <w:trHeight w:val="268"/>
          <w:jc w:val="left"/>
        </w:trPr>
        <w:tc>
          <w:tcPr>
            <w:tcW w:w="981" w:type="dxa"/>
            <w:tcBorders>
              <w:bottom w:val="single" w:sz="4" w:space="0" w:color="000000"/>
            </w:tcBorders>
          </w:tcPr>
          <w:p>
            <w:pPr>
              <w:pStyle w:val="TableParagraph"/>
              <w:jc w:val="left"/>
              <w:rPr>
                <w:rFonts w:ascii="Times New Roman"/>
                <w:sz w:val="18"/>
              </w:rPr>
            </w:pPr>
          </w:p>
        </w:tc>
        <w:tc>
          <w:tcPr>
            <w:tcW w:w="1183" w:type="dxa"/>
            <w:tcBorders>
              <w:bottom w:val="single" w:sz="4" w:space="0" w:color="000000"/>
            </w:tcBorders>
          </w:tcPr>
          <w:p>
            <w:pPr>
              <w:pStyle w:val="TableParagraph"/>
              <w:jc w:val="left"/>
              <w:rPr>
                <w:rFonts w:ascii="Times New Roman"/>
                <w:sz w:val="18"/>
              </w:rPr>
            </w:pPr>
          </w:p>
        </w:tc>
        <w:tc>
          <w:tcPr>
            <w:tcW w:w="913" w:type="dxa"/>
            <w:tcBorders>
              <w:bottom w:val="single" w:sz="4" w:space="0" w:color="000000"/>
            </w:tcBorders>
          </w:tcPr>
          <w:p>
            <w:pPr>
              <w:pStyle w:val="TableParagraph"/>
              <w:spacing w:line="248" w:lineRule="exact"/>
              <w:ind w:right="126"/>
              <w:rPr>
                <w:rFonts w:ascii="Calibri" w:eastAsia="Calibri"/>
                <w:b/>
                <w:sz w:val="16"/>
              </w:rPr>
            </w:pPr>
            <w:r>
              <w:rPr>
                <w:rFonts w:ascii="Calibri" w:eastAsia="Calibri"/>
                <w:b/>
                <w:sz w:val="16"/>
              </w:rPr>
              <w:t>(</w:t>
            </w:r>
            <w:r>
              <w:rPr>
                <w:rFonts w:ascii="Microsoft JhengHei" w:eastAsia="Microsoft JhengHei" w:hint="eastAsia"/>
                <w:b/>
                <w:sz w:val="16"/>
              </w:rPr>
              <w:t>人民币</w:t>
            </w:r>
            <w:r>
              <w:rPr>
                <w:rFonts w:ascii="Calibri" w:eastAsia="Calibri"/>
                <w:b/>
                <w:sz w:val="16"/>
              </w:rPr>
              <w:t>)</w:t>
            </w:r>
          </w:p>
        </w:tc>
        <w:tc>
          <w:tcPr>
            <w:tcW w:w="1169" w:type="dxa"/>
            <w:tcBorders>
              <w:bottom w:val="single" w:sz="4" w:space="0" w:color="000000"/>
            </w:tcBorders>
          </w:tcPr>
          <w:p>
            <w:pPr>
              <w:pStyle w:val="TableParagraph"/>
              <w:spacing w:line="248" w:lineRule="exact"/>
              <w:ind w:right="301"/>
              <w:rPr>
                <w:rFonts w:ascii="Calibri" w:eastAsia="Calibri"/>
                <w:b/>
                <w:sz w:val="16"/>
              </w:rPr>
            </w:pPr>
            <w:r>
              <w:rPr>
                <w:rFonts w:ascii="Calibri" w:eastAsia="Calibri"/>
                <w:b/>
                <w:sz w:val="16"/>
              </w:rPr>
              <w:t>(</w:t>
            </w:r>
            <w:r>
              <w:rPr>
                <w:rFonts w:ascii="Microsoft JhengHei" w:eastAsia="Microsoft JhengHei" w:hint="eastAsia"/>
                <w:b/>
                <w:sz w:val="16"/>
              </w:rPr>
              <w:t>亿人民币</w:t>
            </w:r>
            <w:r>
              <w:rPr>
                <w:rFonts w:ascii="Calibri" w:eastAsia="Calibri"/>
                <w:b/>
                <w:sz w:val="16"/>
              </w:rPr>
              <w:t>)</w:t>
            </w:r>
          </w:p>
        </w:tc>
        <w:tc>
          <w:tcPr>
            <w:tcW w:w="997" w:type="dxa"/>
            <w:tcBorders>
              <w:bottom w:val="single" w:sz="4" w:space="0" w:color="000000"/>
            </w:tcBorders>
          </w:tcPr>
          <w:p>
            <w:pPr>
              <w:pStyle w:val="TableParagraph"/>
              <w:spacing w:line="248" w:lineRule="exact"/>
              <w:ind w:right="307"/>
              <w:rPr>
                <w:b/>
                <w:sz w:val="16"/>
              </w:rPr>
            </w:pPr>
            <w:r>
              <w:rPr>
                <w:b/>
                <w:sz w:val="16"/>
              </w:rPr>
              <w:t>(</w:t>
            </w:r>
            <w:r>
              <w:rPr>
                <w:rFonts w:ascii="Microsoft JhengHei" w:eastAsia="Microsoft JhengHei" w:hint="eastAsia"/>
                <w:b/>
                <w:sz w:val="16"/>
              </w:rPr>
              <w:t>倍</w:t>
            </w:r>
            <w:r>
              <w:rPr>
                <w:b/>
                <w:sz w:val="16"/>
              </w:rPr>
              <w:t>)</w:t>
            </w:r>
          </w:p>
        </w:tc>
        <w:tc>
          <w:tcPr>
            <w:tcW w:w="993" w:type="dxa"/>
            <w:tcBorders>
              <w:bottom w:val="single" w:sz="4" w:space="0" w:color="000000"/>
            </w:tcBorders>
          </w:tcPr>
          <w:p>
            <w:pPr>
              <w:pStyle w:val="TableParagraph"/>
              <w:spacing w:line="248" w:lineRule="exact"/>
              <w:ind w:left="284" w:right="157"/>
              <w:jc w:val="center"/>
              <w:rPr>
                <w:b/>
                <w:sz w:val="16"/>
              </w:rPr>
            </w:pPr>
            <w:r>
              <w:rPr>
                <w:b/>
                <w:sz w:val="16"/>
              </w:rPr>
              <w:t>(</w:t>
            </w:r>
            <w:r>
              <w:rPr>
                <w:rFonts w:ascii="Microsoft JhengHei" w:eastAsia="Microsoft JhengHei" w:hint="eastAsia"/>
                <w:b/>
                <w:sz w:val="16"/>
              </w:rPr>
              <w:t>倍</w:t>
            </w:r>
            <w:r>
              <w:rPr>
                <w:b/>
                <w:sz w:val="16"/>
              </w:rPr>
              <w:t>)</w:t>
            </w:r>
          </w:p>
        </w:tc>
        <w:tc>
          <w:tcPr>
            <w:tcW w:w="993" w:type="dxa"/>
            <w:tcBorders>
              <w:bottom w:val="single" w:sz="4" w:space="0" w:color="000000"/>
            </w:tcBorders>
          </w:tcPr>
          <w:p>
            <w:pPr>
              <w:pStyle w:val="TableParagraph"/>
              <w:spacing w:line="248" w:lineRule="exact"/>
              <w:ind w:left="284" w:right="159"/>
              <w:jc w:val="center"/>
              <w:rPr>
                <w:b/>
                <w:sz w:val="16"/>
              </w:rPr>
            </w:pPr>
            <w:r>
              <w:rPr>
                <w:b/>
                <w:sz w:val="16"/>
              </w:rPr>
              <w:t>(</w:t>
            </w:r>
            <w:r>
              <w:rPr>
                <w:rFonts w:ascii="Microsoft JhengHei" w:eastAsia="Microsoft JhengHei" w:hint="eastAsia"/>
                <w:b/>
                <w:sz w:val="16"/>
              </w:rPr>
              <w:t>倍</w:t>
            </w:r>
            <w:r>
              <w:rPr>
                <w:b/>
                <w:sz w:val="16"/>
              </w:rPr>
              <w:t>)</w:t>
            </w:r>
          </w:p>
        </w:tc>
        <w:tc>
          <w:tcPr>
            <w:tcW w:w="943" w:type="dxa"/>
            <w:tcBorders>
              <w:bottom w:val="single" w:sz="4" w:space="0" w:color="000000"/>
            </w:tcBorders>
          </w:tcPr>
          <w:p>
            <w:pPr>
              <w:pStyle w:val="TableParagraph"/>
              <w:spacing w:line="248" w:lineRule="exact"/>
              <w:ind w:right="258"/>
              <w:rPr>
                <w:b/>
                <w:sz w:val="16"/>
              </w:rPr>
            </w:pPr>
            <w:r>
              <w:rPr>
                <w:b/>
                <w:sz w:val="16"/>
              </w:rPr>
              <w:t>(</w:t>
            </w:r>
            <w:r>
              <w:rPr>
                <w:rFonts w:ascii="Microsoft JhengHei" w:eastAsia="Microsoft JhengHei" w:hint="eastAsia"/>
                <w:b/>
                <w:sz w:val="16"/>
              </w:rPr>
              <w:t>倍</w:t>
            </w:r>
            <w:r>
              <w:rPr>
                <w:b/>
                <w:sz w:val="16"/>
              </w:rPr>
              <w:t>)</w:t>
            </w:r>
          </w:p>
        </w:tc>
        <w:tc>
          <w:tcPr>
            <w:tcW w:w="993" w:type="dxa"/>
            <w:tcBorders>
              <w:bottom w:val="single" w:sz="4" w:space="0" w:color="000000"/>
            </w:tcBorders>
          </w:tcPr>
          <w:p>
            <w:pPr>
              <w:pStyle w:val="TableParagraph"/>
              <w:spacing w:line="248" w:lineRule="exact"/>
              <w:ind w:right="259"/>
              <w:rPr>
                <w:rFonts w:ascii="Calibri" w:eastAsia="Calibri"/>
                <w:b/>
                <w:sz w:val="16"/>
              </w:rPr>
            </w:pPr>
            <w:r>
              <w:rPr>
                <w:rFonts w:ascii="Calibri" w:eastAsia="Calibri"/>
                <w:b/>
                <w:sz w:val="16"/>
              </w:rPr>
              <w:t>(</w:t>
            </w:r>
            <w:r>
              <w:rPr>
                <w:rFonts w:ascii="Microsoft JhengHei" w:eastAsia="Microsoft JhengHei" w:hint="eastAsia"/>
                <w:b/>
                <w:sz w:val="16"/>
              </w:rPr>
              <w:t>倍</w:t>
            </w:r>
            <w:r>
              <w:rPr>
                <w:rFonts w:ascii="Calibri" w:eastAsia="Calibri"/>
                <w:b/>
                <w:sz w:val="16"/>
              </w:rPr>
              <w:t>)</w:t>
            </w:r>
          </w:p>
        </w:tc>
        <w:tc>
          <w:tcPr>
            <w:tcW w:w="765" w:type="dxa"/>
            <w:tcBorders>
              <w:bottom w:val="single" w:sz="4" w:space="0" w:color="000000"/>
            </w:tcBorders>
          </w:tcPr>
          <w:p>
            <w:pPr>
              <w:pStyle w:val="TableParagraph"/>
              <w:spacing w:before="47"/>
              <w:ind w:right="30"/>
              <w:rPr>
                <w:rFonts w:ascii="Calibri"/>
                <w:b/>
                <w:sz w:val="16"/>
              </w:rPr>
            </w:pPr>
            <w:r>
              <w:rPr>
                <w:rFonts w:ascii="Calibri"/>
                <w:b/>
                <w:sz w:val="16"/>
              </w:rPr>
              <w:t>(%)</w:t>
            </w:r>
          </w:p>
        </w:tc>
      </w:tr>
      <w:tr>
        <w:tblPrEx>
          <w:tblW w:w="0" w:type="auto"/>
          <w:jc w:val="left"/>
          <w:tblInd w:w="1158" w:type="dxa"/>
          <w:tblLayout w:type="fixed"/>
          <w:tblCellMar>
            <w:top w:w="0" w:type="dxa"/>
            <w:left w:w="0" w:type="dxa"/>
            <w:bottom w:w="0" w:type="dxa"/>
            <w:right w:w="0" w:type="dxa"/>
          </w:tblCellMar>
          <w:tblLook w:val="01E0"/>
        </w:tblPrEx>
        <w:trPr>
          <w:trHeight w:val="248"/>
          <w:jc w:val="left"/>
        </w:trPr>
        <w:tc>
          <w:tcPr>
            <w:tcW w:w="981" w:type="dxa"/>
            <w:tcBorders>
              <w:top w:val="single" w:sz="4" w:space="0" w:color="000000"/>
            </w:tcBorders>
          </w:tcPr>
          <w:p>
            <w:pPr>
              <w:pStyle w:val="TableParagraph"/>
              <w:spacing w:before="11"/>
              <w:ind w:left="27"/>
              <w:jc w:val="left"/>
              <w:rPr>
                <w:rFonts w:ascii="宋体" w:eastAsia="宋体" w:hint="eastAsia"/>
                <w:sz w:val="16"/>
              </w:rPr>
            </w:pPr>
            <w:r>
              <w:rPr>
                <w:rFonts w:ascii="宋体" w:eastAsia="宋体" w:hint="eastAsia"/>
                <w:sz w:val="16"/>
              </w:rPr>
              <w:t>阳光电源</w:t>
            </w:r>
          </w:p>
        </w:tc>
        <w:tc>
          <w:tcPr>
            <w:tcW w:w="1183" w:type="dxa"/>
            <w:tcBorders>
              <w:top w:val="single" w:sz="4" w:space="0" w:color="000000"/>
            </w:tcBorders>
          </w:tcPr>
          <w:p>
            <w:pPr>
              <w:pStyle w:val="TableParagraph"/>
              <w:spacing w:before="39"/>
              <w:ind w:right="205"/>
              <w:rPr>
                <w:sz w:val="16"/>
              </w:rPr>
            </w:pPr>
            <w:r>
              <w:rPr>
                <w:sz w:val="16"/>
              </w:rPr>
              <w:t>300274 CH</w:t>
            </w:r>
          </w:p>
        </w:tc>
        <w:tc>
          <w:tcPr>
            <w:tcW w:w="913" w:type="dxa"/>
            <w:tcBorders>
              <w:top w:val="single" w:sz="4" w:space="0" w:color="000000"/>
            </w:tcBorders>
          </w:tcPr>
          <w:p>
            <w:pPr>
              <w:pStyle w:val="TableParagraph"/>
              <w:spacing w:before="26"/>
              <w:ind w:right="126"/>
              <w:rPr>
                <w:sz w:val="16"/>
              </w:rPr>
            </w:pPr>
            <w:r>
              <w:rPr>
                <w:sz w:val="16"/>
              </w:rPr>
              <w:t>99.4</w:t>
            </w:r>
          </w:p>
        </w:tc>
        <w:tc>
          <w:tcPr>
            <w:tcW w:w="1169" w:type="dxa"/>
            <w:tcBorders>
              <w:top w:val="single" w:sz="4" w:space="0" w:color="000000"/>
            </w:tcBorders>
          </w:tcPr>
          <w:p>
            <w:pPr>
              <w:pStyle w:val="TableParagraph"/>
              <w:spacing w:before="26"/>
              <w:ind w:right="302"/>
              <w:rPr>
                <w:sz w:val="16"/>
              </w:rPr>
            </w:pPr>
            <w:r>
              <w:rPr>
                <w:sz w:val="16"/>
              </w:rPr>
              <w:t>1,164</w:t>
            </w:r>
          </w:p>
        </w:tc>
        <w:tc>
          <w:tcPr>
            <w:tcW w:w="997" w:type="dxa"/>
            <w:tcBorders>
              <w:top w:val="single" w:sz="4" w:space="0" w:color="000000"/>
            </w:tcBorders>
          </w:tcPr>
          <w:p>
            <w:pPr>
              <w:pStyle w:val="TableParagraph"/>
              <w:spacing w:before="26"/>
              <w:ind w:right="307"/>
              <w:rPr>
                <w:sz w:val="16"/>
              </w:rPr>
            </w:pPr>
            <w:r>
              <w:rPr>
                <w:sz w:val="16"/>
              </w:rPr>
              <w:t>41.1</w:t>
            </w:r>
          </w:p>
        </w:tc>
        <w:tc>
          <w:tcPr>
            <w:tcW w:w="993" w:type="dxa"/>
            <w:tcBorders>
              <w:top w:val="single" w:sz="4" w:space="0" w:color="000000"/>
            </w:tcBorders>
          </w:tcPr>
          <w:p>
            <w:pPr>
              <w:pStyle w:val="TableParagraph"/>
              <w:spacing w:before="26"/>
              <w:ind w:left="284" w:right="165"/>
              <w:jc w:val="center"/>
              <w:rPr>
                <w:sz w:val="16"/>
              </w:rPr>
            </w:pPr>
            <w:r>
              <w:rPr>
                <w:sz w:val="16"/>
              </w:rPr>
              <w:t>15.6</w:t>
            </w:r>
          </w:p>
        </w:tc>
        <w:tc>
          <w:tcPr>
            <w:tcW w:w="993" w:type="dxa"/>
            <w:tcBorders>
              <w:top w:val="single" w:sz="4" w:space="0" w:color="000000"/>
            </w:tcBorders>
          </w:tcPr>
          <w:p>
            <w:pPr>
              <w:pStyle w:val="TableParagraph"/>
              <w:spacing w:before="26"/>
              <w:ind w:left="284" w:right="167"/>
              <w:jc w:val="center"/>
              <w:rPr>
                <w:sz w:val="16"/>
              </w:rPr>
            </w:pPr>
            <w:r>
              <w:rPr>
                <w:sz w:val="16"/>
              </w:rPr>
              <w:t>13.7</w:t>
            </w:r>
          </w:p>
        </w:tc>
        <w:tc>
          <w:tcPr>
            <w:tcW w:w="943" w:type="dxa"/>
            <w:tcBorders>
              <w:top w:val="single" w:sz="4" w:space="0" w:color="000000"/>
            </w:tcBorders>
          </w:tcPr>
          <w:p>
            <w:pPr>
              <w:pStyle w:val="TableParagraph"/>
              <w:spacing w:before="26"/>
              <w:ind w:right="258"/>
              <w:rPr>
                <w:sz w:val="16"/>
              </w:rPr>
            </w:pPr>
            <w:r>
              <w:rPr>
                <w:sz w:val="16"/>
              </w:rPr>
              <w:t>11.5</w:t>
            </w:r>
          </w:p>
        </w:tc>
        <w:tc>
          <w:tcPr>
            <w:tcW w:w="993" w:type="dxa"/>
            <w:tcBorders>
              <w:top w:val="single" w:sz="4" w:space="0" w:color="000000"/>
            </w:tcBorders>
          </w:tcPr>
          <w:p>
            <w:pPr>
              <w:pStyle w:val="TableParagraph"/>
              <w:spacing w:before="26"/>
              <w:ind w:right="259"/>
              <w:rPr>
                <w:sz w:val="16"/>
              </w:rPr>
            </w:pPr>
            <w:r>
              <w:rPr>
                <w:sz w:val="16"/>
              </w:rPr>
              <w:t>5.3</w:t>
            </w:r>
          </w:p>
        </w:tc>
        <w:tc>
          <w:tcPr>
            <w:tcW w:w="765" w:type="dxa"/>
            <w:tcBorders>
              <w:top w:val="single" w:sz="4" w:space="0" w:color="000000"/>
            </w:tcBorders>
          </w:tcPr>
          <w:p>
            <w:pPr>
              <w:pStyle w:val="TableParagraph"/>
              <w:spacing w:before="26"/>
              <w:ind w:right="31"/>
              <w:rPr>
                <w:sz w:val="16"/>
              </w:rPr>
            </w:pPr>
            <w:r>
              <w:rPr>
                <w:sz w:val="16"/>
              </w:rPr>
              <w:t>0.7</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81" w:type="dxa"/>
          </w:tcPr>
          <w:p>
            <w:pPr>
              <w:pStyle w:val="TableParagraph"/>
              <w:spacing w:before="27"/>
              <w:ind w:left="27"/>
              <w:jc w:val="left"/>
              <w:rPr>
                <w:rFonts w:ascii="宋体" w:eastAsia="宋体" w:hint="eastAsia"/>
                <w:sz w:val="16"/>
              </w:rPr>
            </w:pPr>
            <w:r>
              <w:rPr>
                <w:rFonts w:ascii="宋体" w:eastAsia="宋体" w:hint="eastAsia"/>
                <w:sz w:val="16"/>
              </w:rPr>
              <w:t>固德威</w:t>
            </w:r>
          </w:p>
        </w:tc>
        <w:tc>
          <w:tcPr>
            <w:tcW w:w="1183" w:type="dxa"/>
          </w:tcPr>
          <w:p>
            <w:pPr>
              <w:pStyle w:val="TableParagraph"/>
              <w:spacing w:before="55"/>
              <w:ind w:right="205"/>
              <w:rPr>
                <w:sz w:val="16"/>
              </w:rPr>
            </w:pPr>
            <w:r>
              <w:rPr>
                <w:sz w:val="16"/>
              </w:rPr>
              <w:t>688390 CH</w:t>
            </w:r>
          </w:p>
        </w:tc>
        <w:tc>
          <w:tcPr>
            <w:tcW w:w="913" w:type="dxa"/>
          </w:tcPr>
          <w:p>
            <w:pPr>
              <w:pStyle w:val="TableParagraph"/>
              <w:spacing w:before="42"/>
              <w:ind w:right="126"/>
              <w:rPr>
                <w:sz w:val="16"/>
              </w:rPr>
            </w:pPr>
            <w:r>
              <w:rPr>
                <w:sz w:val="16"/>
              </w:rPr>
              <w:t>110.88</w:t>
            </w:r>
          </w:p>
        </w:tc>
        <w:tc>
          <w:tcPr>
            <w:tcW w:w="1169" w:type="dxa"/>
          </w:tcPr>
          <w:p>
            <w:pPr>
              <w:pStyle w:val="TableParagraph"/>
              <w:spacing w:before="42"/>
              <w:ind w:right="302"/>
              <w:rPr>
                <w:sz w:val="16"/>
              </w:rPr>
            </w:pPr>
            <w:r>
              <w:rPr>
                <w:sz w:val="16"/>
              </w:rPr>
              <w:t>161</w:t>
            </w:r>
          </w:p>
        </w:tc>
        <w:tc>
          <w:tcPr>
            <w:tcW w:w="997" w:type="dxa"/>
          </w:tcPr>
          <w:p>
            <w:pPr>
              <w:pStyle w:val="TableParagraph"/>
              <w:spacing w:before="42"/>
              <w:ind w:right="307"/>
              <w:rPr>
                <w:sz w:val="16"/>
              </w:rPr>
            </w:pPr>
            <w:r>
              <w:rPr>
                <w:sz w:val="16"/>
              </w:rPr>
              <w:t>29.5</w:t>
            </w:r>
          </w:p>
        </w:tc>
        <w:tc>
          <w:tcPr>
            <w:tcW w:w="993" w:type="dxa"/>
          </w:tcPr>
          <w:p>
            <w:pPr>
              <w:pStyle w:val="TableParagraph"/>
              <w:spacing w:before="42"/>
              <w:ind w:left="284" w:right="165"/>
              <w:jc w:val="center"/>
              <w:rPr>
                <w:sz w:val="16"/>
              </w:rPr>
            </w:pPr>
            <w:r>
              <w:rPr>
                <w:sz w:val="16"/>
              </w:rPr>
              <w:t>16.3</w:t>
            </w:r>
          </w:p>
        </w:tc>
        <w:tc>
          <w:tcPr>
            <w:tcW w:w="993" w:type="dxa"/>
          </w:tcPr>
          <w:p>
            <w:pPr>
              <w:pStyle w:val="TableParagraph"/>
              <w:spacing w:before="42"/>
              <w:ind w:left="284" w:right="167"/>
              <w:jc w:val="center"/>
              <w:rPr>
                <w:sz w:val="16"/>
              </w:rPr>
            </w:pPr>
            <w:r>
              <w:rPr>
                <w:sz w:val="16"/>
              </w:rPr>
              <w:t>12.4</w:t>
            </w:r>
          </w:p>
        </w:tc>
        <w:tc>
          <w:tcPr>
            <w:tcW w:w="943" w:type="dxa"/>
          </w:tcPr>
          <w:p>
            <w:pPr>
              <w:pStyle w:val="TableParagraph"/>
              <w:spacing w:before="42"/>
              <w:ind w:right="258"/>
              <w:rPr>
                <w:sz w:val="16"/>
              </w:rPr>
            </w:pPr>
            <w:r>
              <w:rPr>
                <w:sz w:val="16"/>
              </w:rPr>
              <w:t>9.8</w:t>
            </w:r>
          </w:p>
        </w:tc>
        <w:tc>
          <w:tcPr>
            <w:tcW w:w="993" w:type="dxa"/>
          </w:tcPr>
          <w:p>
            <w:pPr>
              <w:pStyle w:val="TableParagraph"/>
              <w:spacing w:before="42"/>
              <w:ind w:right="259"/>
              <w:rPr>
                <w:sz w:val="16"/>
              </w:rPr>
            </w:pPr>
            <w:r>
              <w:rPr>
                <w:sz w:val="16"/>
              </w:rPr>
              <w:t>5.8</w:t>
            </w:r>
          </w:p>
        </w:tc>
        <w:tc>
          <w:tcPr>
            <w:tcW w:w="765" w:type="dxa"/>
          </w:tcPr>
          <w:p>
            <w:pPr>
              <w:pStyle w:val="TableParagraph"/>
              <w:spacing w:before="42"/>
              <w:ind w:right="31"/>
              <w:rPr>
                <w:sz w:val="16"/>
              </w:rPr>
            </w:pPr>
            <w:r>
              <w:rPr>
                <w:sz w:val="16"/>
              </w:rPr>
              <w:t>1.6</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81" w:type="dxa"/>
          </w:tcPr>
          <w:p>
            <w:pPr>
              <w:pStyle w:val="TableParagraph"/>
              <w:spacing w:before="27"/>
              <w:ind w:left="27"/>
              <w:jc w:val="left"/>
              <w:rPr>
                <w:rFonts w:ascii="宋体" w:eastAsia="宋体" w:hint="eastAsia"/>
                <w:sz w:val="16"/>
              </w:rPr>
            </w:pPr>
            <w:r>
              <w:rPr>
                <w:rFonts w:ascii="宋体" w:eastAsia="宋体" w:hint="eastAsia"/>
                <w:sz w:val="16"/>
              </w:rPr>
              <w:t>锦浪科技</w:t>
            </w:r>
          </w:p>
        </w:tc>
        <w:tc>
          <w:tcPr>
            <w:tcW w:w="1183" w:type="dxa"/>
          </w:tcPr>
          <w:p>
            <w:pPr>
              <w:pStyle w:val="TableParagraph"/>
              <w:spacing w:before="55"/>
              <w:ind w:right="205"/>
              <w:rPr>
                <w:sz w:val="16"/>
              </w:rPr>
            </w:pPr>
            <w:r>
              <w:rPr>
                <w:sz w:val="16"/>
              </w:rPr>
              <w:t>300763 CH</w:t>
            </w:r>
          </w:p>
        </w:tc>
        <w:tc>
          <w:tcPr>
            <w:tcW w:w="913" w:type="dxa"/>
          </w:tcPr>
          <w:p>
            <w:pPr>
              <w:pStyle w:val="TableParagraph"/>
              <w:spacing w:before="42"/>
              <w:ind w:right="126"/>
              <w:rPr>
                <w:sz w:val="16"/>
              </w:rPr>
            </w:pPr>
            <w:r>
              <w:rPr>
                <w:sz w:val="16"/>
              </w:rPr>
              <w:t>66.56</w:t>
            </w:r>
          </w:p>
        </w:tc>
        <w:tc>
          <w:tcPr>
            <w:tcW w:w="1169" w:type="dxa"/>
          </w:tcPr>
          <w:p>
            <w:pPr>
              <w:pStyle w:val="TableParagraph"/>
              <w:spacing w:before="42"/>
              <w:ind w:right="302"/>
              <w:rPr>
                <w:sz w:val="16"/>
              </w:rPr>
            </w:pPr>
            <w:r>
              <w:rPr>
                <w:sz w:val="16"/>
              </w:rPr>
              <w:t>239</w:t>
            </w:r>
          </w:p>
        </w:tc>
        <w:tc>
          <w:tcPr>
            <w:tcW w:w="997" w:type="dxa"/>
          </w:tcPr>
          <w:p>
            <w:pPr>
              <w:pStyle w:val="TableParagraph"/>
              <w:spacing w:before="42"/>
              <w:ind w:right="307"/>
              <w:rPr>
                <w:sz w:val="16"/>
              </w:rPr>
            </w:pPr>
            <w:r>
              <w:rPr>
                <w:sz w:val="16"/>
              </w:rPr>
              <w:t>23.3</w:t>
            </w:r>
          </w:p>
        </w:tc>
        <w:tc>
          <w:tcPr>
            <w:tcW w:w="993" w:type="dxa"/>
          </w:tcPr>
          <w:p>
            <w:pPr>
              <w:pStyle w:val="TableParagraph"/>
              <w:spacing w:before="42"/>
              <w:ind w:left="284" w:right="165"/>
              <w:jc w:val="center"/>
              <w:rPr>
                <w:sz w:val="16"/>
              </w:rPr>
            </w:pPr>
            <w:r>
              <w:rPr>
                <w:sz w:val="16"/>
              </w:rPr>
              <w:t>26.3</w:t>
            </w:r>
          </w:p>
        </w:tc>
        <w:tc>
          <w:tcPr>
            <w:tcW w:w="993" w:type="dxa"/>
          </w:tcPr>
          <w:p>
            <w:pPr>
              <w:pStyle w:val="TableParagraph"/>
              <w:spacing w:before="42"/>
              <w:ind w:left="284" w:right="167"/>
              <w:jc w:val="center"/>
              <w:rPr>
                <w:sz w:val="16"/>
              </w:rPr>
            </w:pPr>
            <w:r>
              <w:rPr>
                <w:sz w:val="16"/>
              </w:rPr>
              <w:t>19.2</w:t>
            </w:r>
          </w:p>
        </w:tc>
        <w:tc>
          <w:tcPr>
            <w:tcW w:w="943" w:type="dxa"/>
          </w:tcPr>
          <w:p>
            <w:pPr>
              <w:pStyle w:val="TableParagraph"/>
              <w:spacing w:before="42"/>
              <w:ind w:right="258"/>
              <w:rPr>
                <w:sz w:val="16"/>
              </w:rPr>
            </w:pPr>
            <w:r>
              <w:rPr>
                <w:sz w:val="16"/>
              </w:rPr>
              <w:t>16.9</w:t>
            </w:r>
          </w:p>
        </w:tc>
        <w:tc>
          <w:tcPr>
            <w:tcW w:w="993" w:type="dxa"/>
          </w:tcPr>
          <w:p>
            <w:pPr>
              <w:pStyle w:val="TableParagraph"/>
              <w:spacing w:before="42"/>
              <w:ind w:right="259"/>
              <w:rPr>
                <w:sz w:val="16"/>
              </w:rPr>
            </w:pPr>
            <w:r>
              <w:rPr>
                <w:sz w:val="16"/>
              </w:rPr>
              <w:t>3.9</w:t>
            </w:r>
          </w:p>
        </w:tc>
        <w:tc>
          <w:tcPr>
            <w:tcW w:w="765" w:type="dxa"/>
          </w:tcPr>
          <w:p>
            <w:pPr>
              <w:pStyle w:val="TableParagraph"/>
              <w:spacing w:before="42"/>
              <w:ind w:right="31"/>
              <w:rPr>
                <w:sz w:val="16"/>
              </w:rPr>
            </w:pPr>
            <w:r>
              <w:rPr>
                <w:sz w:val="16"/>
              </w:rPr>
              <w:t>0.5</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81" w:type="dxa"/>
          </w:tcPr>
          <w:p>
            <w:pPr>
              <w:pStyle w:val="TableParagraph"/>
              <w:spacing w:before="27"/>
              <w:ind w:left="27"/>
              <w:jc w:val="left"/>
              <w:rPr>
                <w:rFonts w:ascii="宋体" w:eastAsia="宋体" w:hint="eastAsia"/>
                <w:sz w:val="16"/>
              </w:rPr>
            </w:pPr>
            <w:r>
              <w:rPr>
                <w:rFonts w:ascii="宋体" w:eastAsia="宋体" w:hint="eastAsia"/>
                <w:sz w:val="16"/>
              </w:rPr>
              <w:t>上能电气</w:t>
            </w:r>
          </w:p>
        </w:tc>
        <w:tc>
          <w:tcPr>
            <w:tcW w:w="1183" w:type="dxa"/>
          </w:tcPr>
          <w:p>
            <w:pPr>
              <w:pStyle w:val="TableParagraph"/>
              <w:spacing w:before="55"/>
              <w:ind w:right="205"/>
              <w:rPr>
                <w:sz w:val="16"/>
              </w:rPr>
            </w:pPr>
            <w:r>
              <w:rPr>
                <w:sz w:val="16"/>
              </w:rPr>
              <w:t>300827 CH</w:t>
            </w:r>
          </w:p>
        </w:tc>
        <w:tc>
          <w:tcPr>
            <w:tcW w:w="913" w:type="dxa"/>
          </w:tcPr>
          <w:p>
            <w:pPr>
              <w:pStyle w:val="TableParagraph"/>
              <w:spacing w:before="42"/>
              <w:ind w:right="126"/>
              <w:rPr>
                <w:sz w:val="16"/>
              </w:rPr>
            </w:pPr>
            <w:r>
              <w:rPr>
                <w:sz w:val="16"/>
              </w:rPr>
              <w:t>27.22</w:t>
            </w:r>
          </w:p>
        </w:tc>
        <w:tc>
          <w:tcPr>
            <w:tcW w:w="1169" w:type="dxa"/>
          </w:tcPr>
          <w:p>
            <w:pPr>
              <w:pStyle w:val="TableParagraph"/>
              <w:spacing w:before="42"/>
              <w:ind w:right="302"/>
              <w:rPr>
                <w:sz w:val="16"/>
              </w:rPr>
            </w:pPr>
            <w:r>
              <w:rPr>
                <w:sz w:val="16"/>
              </w:rPr>
              <w:t>84</w:t>
            </w:r>
          </w:p>
        </w:tc>
        <w:tc>
          <w:tcPr>
            <w:tcW w:w="997" w:type="dxa"/>
          </w:tcPr>
          <w:p>
            <w:pPr>
              <w:pStyle w:val="TableParagraph"/>
              <w:spacing w:before="42"/>
              <w:ind w:right="307"/>
              <w:rPr>
                <w:sz w:val="16"/>
              </w:rPr>
            </w:pPr>
            <w:r>
              <w:rPr>
                <w:sz w:val="16"/>
              </w:rPr>
              <w:t>113.3</w:t>
            </w:r>
          </w:p>
        </w:tc>
        <w:tc>
          <w:tcPr>
            <w:tcW w:w="993" w:type="dxa"/>
          </w:tcPr>
          <w:p>
            <w:pPr>
              <w:pStyle w:val="TableParagraph"/>
              <w:spacing w:before="42"/>
              <w:ind w:left="284" w:right="165"/>
              <w:jc w:val="center"/>
              <w:rPr>
                <w:sz w:val="16"/>
              </w:rPr>
            </w:pPr>
            <w:r>
              <w:rPr>
                <w:sz w:val="16"/>
              </w:rPr>
              <w:t>30.6</w:t>
            </w:r>
          </w:p>
        </w:tc>
        <w:tc>
          <w:tcPr>
            <w:tcW w:w="993" w:type="dxa"/>
          </w:tcPr>
          <w:p>
            <w:pPr>
              <w:pStyle w:val="TableParagraph"/>
              <w:spacing w:before="42"/>
              <w:ind w:left="284" w:right="167"/>
              <w:jc w:val="center"/>
              <w:rPr>
                <w:sz w:val="16"/>
              </w:rPr>
            </w:pPr>
            <w:r>
              <w:rPr>
                <w:sz w:val="16"/>
              </w:rPr>
              <w:t>17.3</w:t>
            </w:r>
          </w:p>
        </w:tc>
        <w:tc>
          <w:tcPr>
            <w:tcW w:w="943" w:type="dxa"/>
          </w:tcPr>
          <w:p>
            <w:pPr>
              <w:pStyle w:val="TableParagraph"/>
              <w:spacing w:before="42"/>
              <w:ind w:right="258"/>
              <w:rPr>
                <w:sz w:val="16"/>
              </w:rPr>
            </w:pPr>
            <w:r>
              <w:rPr>
                <w:sz w:val="16"/>
              </w:rPr>
              <w:t>11.7</w:t>
            </w:r>
          </w:p>
        </w:tc>
        <w:tc>
          <w:tcPr>
            <w:tcW w:w="993" w:type="dxa"/>
          </w:tcPr>
          <w:p>
            <w:pPr>
              <w:pStyle w:val="TableParagraph"/>
              <w:spacing w:before="42"/>
              <w:ind w:right="259"/>
              <w:rPr>
                <w:sz w:val="16"/>
              </w:rPr>
            </w:pPr>
            <w:r>
              <w:rPr>
                <w:sz w:val="16"/>
              </w:rPr>
              <w:t>7.6</w:t>
            </w:r>
          </w:p>
        </w:tc>
        <w:tc>
          <w:tcPr>
            <w:tcW w:w="765" w:type="dxa"/>
          </w:tcPr>
          <w:p>
            <w:pPr>
              <w:pStyle w:val="TableParagraph"/>
              <w:spacing w:before="42"/>
              <w:ind w:right="31"/>
              <w:rPr>
                <w:sz w:val="16"/>
              </w:rPr>
            </w:pPr>
            <w:r>
              <w:rPr>
                <w:sz w:val="16"/>
              </w:rPr>
              <w:t>0.0</w:t>
            </w:r>
          </w:p>
        </w:tc>
      </w:tr>
      <w:tr>
        <w:tblPrEx>
          <w:tblW w:w="0" w:type="auto"/>
          <w:jc w:val="left"/>
          <w:tblInd w:w="1158" w:type="dxa"/>
          <w:tblLayout w:type="fixed"/>
          <w:tblCellMar>
            <w:top w:w="0" w:type="dxa"/>
            <w:left w:w="0" w:type="dxa"/>
            <w:bottom w:w="0" w:type="dxa"/>
            <w:right w:w="0" w:type="dxa"/>
          </w:tblCellMar>
          <w:tblLook w:val="01E0"/>
        </w:tblPrEx>
        <w:trPr>
          <w:trHeight w:val="269"/>
          <w:jc w:val="left"/>
        </w:trPr>
        <w:tc>
          <w:tcPr>
            <w:tcW w:w="981" w:type="dxa"/>
            <w:tcBorders>
              <w:bottom w:val="single" w:sz="4" w:space="0" w:color="000000"/>
            </w:tcBorders>
          </w:tcPr>
          <w:p>
            <w:pPr>
              <w:pStyle w:val="TableParagraph"/>
              <w:spacing w:line="250" w:lineRule="exact"/>
              <w:ind w:left="27"/>
              <w:jc w:val="left"/>
              <w:rPr>
                <w:rFonts w:ascii="Microsoft JhengHei" w:eastAsia="Microsoft JhengHei" w:hint="eastAsia"/>
                <w:b/>
                <w:sz w:val="16"/>
              </w:rPr>
            </w:pPr>
            <w:r>
              <w:rPr>
                <w:rFonts w:ascii="Microsoft JhengHei" w:eastAsia="Microsoft JhengHei" w:hint="eastAsia"/>
                <w:b/>
                <w:sz w:val="16"/>
              </w:rPr>
              <w:t>平均</w:t>
            </w:r>
          </w:p>
        </w:tc>
        <w:tc>
          <w:tcPr>
            <w:tcW w:w="1183" w:type="dxa"/>
            <w:tcBorders>
              <w:bottom w:val="single" w:sz="4" w:space="0" w:color="000000"/>
            </w:tcBorders>
          </w:tcPr>
          <w:p>
            <w:pPr>
              <w:pStyle w:val="TableParagraph"/>
              <w:jc w:val="left"/>
              <w:rPr>
                <w:rFonts w:ascii="Times New Roman"/>
                <w:sz w:val="18"/>
              </w:rPr>
            </w:pPr>
          </w:p>
        </w:tc>
        <w:tc>
          <w:tcPr>
            <w:tcW w:w="913" w:type="dxa"/>
            <w:tcBorders>
              <w:bottom w:val="single" w:sz="4" w:space="0" w:color="000000"/>
            </w:tcBorders>
          </w:tcPr>
          <w:p>
            <w:pPr>
              <w:pStyle w:val="TableParagraph"/>
              <w:jc w:val="left"/>
              <w:rPr>
                <w:rFonts w:ascii="Times New Roman"/>
                <w:sz w:val="18"/>
              </w:rPr>
            </w:pPr>
          </w:p>
        </w:tc>
        <w:tc>
          <w:tcPr>
            <w:tcW w:w="1169" w:type="dxa"/>
            <w:tcBorders>
              <w:bottom w:val="single" w:sz="4" w:space="0" w:color="000000"/>
            </w:tcBorders>
          </w:tcPr>
          <w:p>
            <w:pPr>
              <w:pStyle w:val="TableParagraph"/>
              <w:jc w:val="left"/>
              <w:rPr>
                <w:rFonts w:ascii="Times New Roman"/>
                <w:sz w:val="18"/>
              </w:rPr>
            </w:pPr>
          </w:p>
        </w:tc>
        <w:tc>
          <w:tcPr>
            <w:tcW w:w="997" w:type="dxa"/>
            <w:tcBorders>
              <w:bottom w:val="single" w:sz="4" w:space="0" w:color="000000"/>
            </w:tcBorders>
          </w:tcPr>
          <w:p>
            <w:pPr>
              <w:pStyle w:val="TableParagraph"/>
              <w:spacing w:before="42"/>
              <w:ind w:right="307"/>
              <w:rPr>
                <w:b/>
                <w:sz w:val="16"/>
              </w:rPr>
            </w:pPr>
            <w:r>
              <w:rPr>
                <w:b/>
                <w:sz w:val="16"/>
              </w:rPr>
              <w:t>51.8</w:t>
            </w:r>
          </w:p>
        </w:tc>
        <w:tc>
          <w:tcPr>
            <w:tcW w:w="993" w:type="dxa"/>
            <w:tcBorders>
              <w:bottom w:val="single" w:sz="4" w:space="0" w:color="000000"/>
            </w:tcBorders>
          </w:tcPr>
          <w:p>
            <w:pPr>
              <w:pStyle w:val="TableParagraph"/>
              <w:spacing w:before="42"/>
              <w:ind w:left="284" w:right="165"/>
              <w:jc w:val="center"/>
              <w:rPr>
                <w:b/>
                <w:sz w:val="16"/>
              </w:rPr>
            </w:pPr>
            <w:r>
              <w:rPr>
                <w:b/>
                <w:sz w:val="16"/>
              </w:rPr>
              <w:t>22.2</w:t>
            </w:r>
          </w:p>
        </w:tc>
        <w:tc>
          <w:tcPr>
            <w:tcW w:w="993" w:type="dxa"/>
            <w:tcBorders>
              <w:bottom w:val="single" w:sz="4" w:space="0" w:color="000000"/>
            </w:tcBorders>
          </w:tcPr>
          <w:p>
            <w:pPr>
              <w:pStyle w:val="TableParagraph"/>
              <w:spacing w:before="42"/>
              <w:ind w:left="284" w:right="167"/>
              <w:jc w:val="center"/>
              <w:rPr>
                <w:b/>
                <w:sz w:val="16"/>
              </w:rPr>
            </w:pPr>
            <w:r>
              <w:rPr>
                <w:b/>
                <w:sz w:val="16"/>
              </w:rPr>
              <w:t>15.7</w:t>
            </w:r>
          </w:p>
        </w:tc>
        <w:tc>
          <w:tcPr>
            <w:tcW w:w="943" w:type="dxa"/>
            <w:tcBorders>
              <w:bottom w:val="single" w:sz="4" w:space="0" w:color="000000"/>
            </w:tcBorders>
          </w:tcPr>
          <w:p>
            <w:pPr>
              <w:pStyle w:val="TableParagraph"/>
              <w:spacing w:before="42"/>
              <w:ind w:right="258"/>
              <w:rPr>
                <w:b/>
                <w:sz w:val="16"/>
              </w:rPr>
            </w:pPr>
            <w:r>
              <w:rPr>
                <w:b/>
                <w:sz w:val="16"/>
              </w:rPr>
              <w:t>12.5</w:t>
            </w:r>
          </w:p>
        </w:tc>
        <w:tc>
          <w:tcPr>
            <w:tcW w:w="993" w:type="dxa"/>
            <w:tcBorders>
              <w:bottom w:val="single" w:sz="4" w:space="0" w:color="000000"/>
            </w:tcBorders>
          </w:tcPr>
          <w:p>
            <w:pPr>
              <w:pStyle w:val="TableParagraph"/>
              <w:spacing w:before="42"/>
              <w:ind w:right="259"/>
              <w:rPr>
                <w:b/>
                <w:sz w:val="16"/>
              </w:rPr>
            </w:pPr>
            <w:r>
              <w:rPr>
                <w:b/>
                <w:sz w:val="16"/>
              </w:rPr>
              <w:t>5.6</w:t>
            </w:r>
          </w:p>
        </w:tc>
        <w:tc>
          <w:tcPr>
            <w:tcW w:w="765" w:type="dxa"/>
            <w:tcBorders>
              <w:bottom w:val="single" w:sz="4" w:space="0" w:color="000000"/>
            </w:tcBorders>
          </w:tcPr>
          <w:p>
            <w:pPr>
              <w:pStyle w:val="TableParagraph"/>
              <w:spacing w:before="42"/>
              <w:ind w:right="31"/>
              <w:rPr>
                <w:b/>
                <w:sz w:val="16"/>
              </w:rPr>
            </w:pPr>
            <w:r>
              <w:rPr>
                <w:b/>
                <w:sz w:val="16"/>
              </w:rPr>
              <w:t>0.7</w:t>
            </w:r>
          </w:p>
        </w:tc>
      </w:tr>
    </w:tbl>
    <w:p>
      <w:pPr>
        <w:spacing w:before="0"/>
        <w:ind w:left="1150" w:right="0" w:firstLine="0"/>
        <w:jc w:val="left"/>
        <w:rPr>
          <w:sz w:val="15"/>
        </w:rPr>
      </w:pPr>
      <w:r>
        <w:t>资料来源：Factset一致预期、  *收盘价为3月8日价格</w:t>
      </w:r>
    </w:p>
    <w:p>
      <w:pPr>
        <w:spacing w:after="0"/>
        <w:jc w:val="left"/>
        <w:rPr>
          <w:sz w:val="15"/>
        </w:rPr>
        <w:sectPr>
          <w:headerReference w:type="default" r:id="rId139"/>
          <w:footerReference w:type="default" r:id="rId140"/>
          <w:pgSz w:w="12240" w:h="15840"/>
          <w:pgMar w:top="1720" w:right="0" w:bottom="1380" w:left="0" w:header="708" w:footer="708"/>
          <w:pgNumType w:start="48"/>
          <w:cols w:space="708"/>
        </w:sectPr>
      </w:pPr>
    </w:p>
    <w:p>
      <w:pPr>
        <w:pStyle w:val="BodyText"/>
        <w:rPr>
          <w:sz w:val="20"/>
        </w:rPr>
      </w:pPr>
    </w:p>
    <w:p>
      <w:pPr>
        <w:pStyle w:val="BodyText"/>
        <w:spacing w:before="10"/>
        <w:rPr>
          <w:sz w:val="22"/>
        </w:rPr>
      </w:pPr>
    </w:p>
    <w:p>
      <w:pPr>
        <w:pStyle w:val="Heading1"/>
        <w:spacing w:line="519" w:lineRule="exact"/>
      </w:pPr>
      <w:bookmarkStart w:id="14" w:name="_TOC_250004"/>
      <w:r>
        <w:rPr>
          <w:color w:val="59A1AE"/>
        </w:rPr>
        <w:t>附录：逆变器</w:t>
      </w:r>
      <w:r>
        <w:rPr>
          <w:rFonts w:ascii="Calibri" w:eastAsia="Calibri"/>
          <w:color w:val="59A1AE"/>
        </w:rPr>
        <w:t>--</w:t>
      </w:r>
      <w:bookmarkEnd w:id="14"/>
      <w:r>
        <w:rPr>
          <w:color w:val="59A1AE"/>
        </w:rPr>
        <w:t>光伏发电系统的核心部件</w:t>
      </w:r>
    </w:p>
    <w:p>
      <w:pPr>
        <w:pStyle w:val="Heading2"/>
        <w:spacing w:before="162" w:line="240" w:lineRule="auto"/>
      </w:pPr>
      <w:bookmarkStart w:id="15" w:name="_TOC_250003"/>
      <w:bookmarkEnd w:id="15"/>
      <w:r>
        <w:rPr>
          <w:color w:val="59A1AE"/>
        </w:rPr>
        <w:t>转化直流电为具质量的交流电，其性能对光伏发电量影响较大</w:t>
      </w:r>
    </w:p>
    <w:p>
      <w:pPr>
        <w:pStyle w:val="BodyText"/>
        <w:spacing w:before="97" w:line="232" w:lineRule="auto"/>
        <w:ind w:left="1151" w:right="3913"/>
        <w:jc w:val="both"/>
      </w:pPr>
      <w:r>
        <w:rPr>
          <w:color w:val="262626"/>
        </w:rPr>
        <w:t>逆变器是光伏发电系统的核心部件，它能使光伏发电系统以最大的输出效率将光伏组件产生的直流电转化为电能质量符合标准要求的交流电，输送给本地负载或电网。同时又具备相关保护功能，能保护光伏阵列、电网、人员以及自身安全的电力电子设备。逆变器也是光伏发电系统中唯一具备高度智能化处理功能的设备，是整个各种能量流、信息流、信息处理的中枢，也是用户与光伏系统进行人机交互的重要平台，光伏系统各种发电数据、故障信息都主要通过逆变器进行记录。</w:t>
      </w:r>
    </w:p>
    <w:p>
      <w:pPr>
        <w:pStyle w:val="BodyText"/>
        <w:spacing w:before="2"/>
        <w:rPr>
          <w:sz w:val="15"/>
        </w:rPr>
      </w:pPr>
    </w:p>
    <w:p>
      <w:pPr>
        <w:pStyle w:val="Heading3"/>
        <w:spacing w:before="1"/>
      </w:pPr>
      <w:r>
        <w:rPr>
          <w:color w:val="262626"/>
        </w:rPr>
        <w:t>图表</w:t>
      </w:r>
      <w:r>
        <w:rPr>
          <w:rFonts w:ascii="Calibri" w:eastAsia="Calibri"/>
        </w:rPr>
        <w:t xml:space="preserve">39: </w:t>
      </w:r>
      <w:r>
        <w:rPr>
          <w:color w:val="262626"/>
        </w:rPr>
        <w:t>并网逆变器应用示意图</w:t>
      </w:r>
    </w:p>
    <w:p>
      <w:pPr>
        <w:pStyle w:val="BodyText"/>
        <w:ind w:left="1143"/>
        <w:rPr>
          <w:rFonts w:ascii="Microsoft JhengHei"/>
          <w:sz w:val="20"/>
        </w:rPr>
      </w:pPr>
      <w:r>
        <w:rPr>
          <w:rFonts w:ascii="Microsoft JhengHei"/>
          <w:sz w:val="20"/>
        </w:rPr>
        <w:pict>
          <v:group id="_x0000_i1674" style="width:357.2pt;height:154.75pt;mso-position-horizontal-relative:char;mso-position-vertical-relative:line" coordorigin="0,0" coordsize="7144,3095">
            <v:line id="_x0000_s1675" style="position:absolute" from="0,8" to="7144,8" stroked="t" strokecolor="black" strokeweight="0.75pt">
              <v:stroke dashstyle="solid"/>
            </v:line>
            <v:shape id="_x0000_s1676" type="#_x0000_t75" style="width:6928;height:3080;left:108;position:absolute;top:15" stroked="f">
              <v:imagedata r:id="rId141" o:title=""/>
            </v:shape>
            <w10:wrap type="none"/>
          </v:group>
        </w:pict>
      </w:r>
    </w:p>
    <w:p>
      <w:pPr>
        <w:pStyle w:val="BodyText"/>
        <w:spacing w:before="9"/>
        <w:rPr>
          <w:rFonts w:ascii="Microsoft JhengHei"/>
          <w:b/>
          <w:sz w:val="3"/>
        </w:rPr>
      </w:pPr>
    </w:p>
    <w:p>
      <w:pPr>
        <w:pStyle w:val="BodyText"/>
        <w:spacing w:line="20" w:lineRule="exact"/>
        <w:ind w:left="1143"/>
        <w:rPr>
          <w:rFonts w:ascii="Microsoft JhengHei"/>
          <w:sz w:val="2"/>
        </w:rPr>
      </w:pPr>
      <w:r>
        <w:rPr>
          <w:rFonts w:ascii="Microsoft JhengHei"/>
          <w:sz w:val="2"/>
        </w:rPr>
        <w:pict>
          <v:group id="_x0000_i1677" style="width:357.2pt;height:0.75pt;mso-position-horizontal-relative:char;mso-position-vertical-relative:line" coordorigin="0,0" coordsize="7144,15">
            <v:line id="_x0000_s1678" style="position:absolute" from="0,8" to="7144,8" stroked="t" strokecolor="black" strokeweight="0.75pt">
              <v:stroke dashstyle="solid"/>
            </v:line>
            <w10:wrap type="none"/>
          </v:group>
        </w:pict>
      </w:r>
    </w:p>
    <w:p>
      <w:pPr>
        <w:spacing w:before="0"/>
        <w:ind w:left="1150" w:right="0" w:firstLine="0"/>
        <w:jc w:val="left"/>
        <w:rPr>
          <w:sz w:val="15"/>
        </w:rPr>
      </w:pPr>
      <w:r>
        <w:t xml:space="preserve">资料来源：爱士惟， </w:t>
      </w:r>
    </w:p>
    <w:p>
      <w:pPr>
        <w:pStyle w:val="BodyText"/>
        <w:spacing w:before="7"/>
        <w:rPr>
          <w:sz w:val="13"/>
        </w:rPr>
      </w:pPr>
    </w:p>
    <w:p>
      <w:pPr>
        <w:pStyle w:val="BodyText"/>
        <w:spacing w:before="58" w:line="265" w:lineRule="exact"/>
        <w:ind w:left="1151"/>
        <w:rPr>
          <w:rFonts w:ascii="Calibri" w:eastAsia="Calibri"/>
        </w:rPr>
      </w:pPr>
      <w:r>
        <w:rPr>
          <w:color w:val="262626"/>
        </w:rPr>
        <w:t>衡量逆变器产品技术水平和核心竞争力的技术指标主要包括</w:t>
      </w:r>
      <w:r>
        <w:rPr>
          <w:rFonts w:ascii="Calibri" w:eastAsia="Calibri"/>
          <w:color w:val="262626"/>
          <w:spacing w:val="5"/>
        </w:rPr>
        <w:t>: (</w:t>
      </w:r>
      <w:r>
        <w:rPr>
          <w:rFonts w:ascii="Calibri" w:eastAsia="Calibri"/>
          <w:color w:val="262626"/>
        </w:rPr>
        <w:t>1</w:t>
      </w:r>
      <w:r>
        <w:rPr>
          <w:rFonts w:ascii="Calibri" w:eastAsia="Calibri"/>
          <w:color w:val="262626"/>
          <w:spacing w:val="8"/>
        </w:rPr>
        <w:t xml:space="preserve">) </w:t>
      </w:r>
      <w:r>
        <w:rPr>
          <w:color w:val="262626"/>
        </w:rPr>
        <w:t>转换效率、</w:t>
      </w:r>
      <w:r>
        <w:rPr>
          <w:rFonts w:ascii="Calibri" w:eastAsia="Calibri"/>
          <w:color w:val="262626"/>
        </w:rPr>
        <w:t>(2)</w:t>
      </w:r>
    </w:p>
    <w:p>
      <w:pPr>
        <w:pStyle w:val="BodyText"/>
        <w:spacing w:line="260" w:lineRule="exact"/>
        <w:ind w:left="1151"/>
      </w:pPr>
      <w:r>
        <w:rPr>
          <w:color w:val="333333"/>
          <w:spacing w:val="5"/>
        </w:rPr>
        <w:t>最大功率点跟踪</w:t>
      </w:r>
      <w:r>
        <w:rPr>
          <w:color w:val="262626"/>
          <w:spacing w:val="2"/>
        </w:rPr>
        <w:t>（</w:t>
      </w:r>
      <w:r>
        <w:rPr>
          <w:rFonts w:ascii="Calibri" w:eastAsia="Calibri"/>
          <w:color w:val="262626"/>
          <w:spacing w:val="2"/>
        </w:rPr>
        <w:t>MPPT</w:t>
      </w:r>
      <w:r>
        <w:rPr>
          <w:color w:val="262626"/>
          <w:spacing w:val="2"/>
        </w:rPr>
        <w:t>）</w:t>
      </w:r>
      <w:r>
        <w:rPr>
          <w:color w:val="262626"/>
          <w:spacing w:val="5"/>
        </w:rPr>
        <w:t>电压范围、</w:t>
      </w:r>
      <w:r>
        <w:rPr>
          <w:rFonts w:ascii="Calibri" w:eastAsia="Calibri"/>
          <w:color w:val="262626"/>
        </w:rPr>
        <w:t>(3</w:t>
      </w:r>
      <w:r>
        <w:rPr>
          <w:rFonts w:ascii="Calibri" w:eastAsia="Calibri"/>
          <w:color w:val="262626"/>
          <w:spacing w:val="2"/>
        </w:rPr>
        <w:t xml:space="preserve">) </w:t>
      </w:r>
      <w:r>
        <w:rPr>
          <w:color w:val="262626"/>
          <w:spacing w:val="-1"/>
        </w:rPr>
        <w:t>输入电流</w:t>
      </w:r>
      <w:r>
        <w:rPr>
          <w:rFonts w:ascii="Calibri" w:eastAsia="Calibri"/>
          <w:color w:val="262626"/>
          <w:spacing w:val="2"/>
        </w:rPr>
        <w:t xml:space="preserve">; </w:t>
      </w:r>
      <w:r>
        <w:rPr>
          <w:color w:val="262626"/>
          <w:spacing w:val="-6"/>
        </w:rPr>
        <w:t>以及</w:t>
      </w:r>
      <w:r>
        <w:rPr>
          <w:rFonts w:ascii="Calibri" w:eastAsia="Calibri"/>
          <w:color w:val="262626"/>
        </w:rPr>
        <w:t>(4</w:t>
      </w:r>
      <w:r>
        <w:rPr>
          <w:rFonts w:ascii="Calibri" w:eastAsia="Calibri"/>
          <w:color w:val="262626"/>
          <w:spacing w:val="2"/>
        </w:rPr>
        <w:t xml:space="preserve">) </w:t>
      </w:r>
      <w:r>
        <w:rPr>
          <w:color w:val="262626"/>
          <w:spacing w:val="4"/>
        </w:rPr>
        <w:t>功率密度等。此外</w:t>
      </w:r>
    </w:p>
    <w:p>
      <w:pPr>
        <w:pStyle w:val="BodyText"/>
        <w:spacing w:before="2" w:line="232" w:lineRule="auto"/>
        <w:ind w:left="1151" w:right="3913"/>
      </w:pPr>
      <w:r>
        <w:rPr>
          <w:color w:val="262626"/>
        </w:rPr>
        <w:t>，储能逆变器核心指标还包括并离网切换时间。各厂商逆变器性能指标存在一定差异，对发电量影响较大。</w:t>
      </w:r>
    </w:p>
    <w:p>
      <w:pPr>
        <w:pStyle w:val="BodyText"/>
        <w:spacing w:before="171" w:line="265" w:lineRule="exact"/>
        <w:ind w:left="1151"/>
      </w:pPr>
      <w:r>
        <w:rPr>
          <w:color w:val="262626"/>
          <w:spacing w:val="-4"/>
        </w:rPr>
        <w:t xml:space="preserve">逆变器厂商持续从产品效率、 </w:t>
      </w:r>
      <w:r>
        <w:rPr>
          <w:rFonts w:ascii="Calibri" w:eastAsia="Calibri"/>
          <w:color w:val="262626"/>
        </w:rPr>
        <w:t xml:space="preserve">MPPT  </w:t>
      </w:r>
      <w:r>
        <w:rPr>
          <w:color w:val="262626"/>
        </w:rPr>
        <w:t>设计、组件兼容等多角度对产品进行优化</w:t>
      </w:r>
    </w:p>
    <w:p>
      <w:pPr>
        <w:pStyle w:val="BodyText"/>
        <w:spacing w:line="260" w:lineRule="exact"/>
        <w:ind w:left="1151"/>
      </w:pPr>
      <w:r>
        <w:rPr>
          <w:color w:val="262626"/>
          <w:spacing w:val="-1"/>
        </w:rPr>
        <w:t>。行业最新的组串式逆变器产品实现了</w:t>
      </w:r>
      <w:r>
        <w:rPr>
          <w:rFonts w:ascii="Calibri" w:eastAsia="Calibri"/>
          <w:color w:val="262626"/>
        </w:rPr>
        <w:t>99.01%</w:t>
      </w:r>
      <w:r>
        <w:rPr>
          <w:color w:val="262626"/>
          <w:spacing w:val="-1"/>
        </w:rPr>
        <w:t>的最大效率和</w:t>
      </w:r>
      <w:r>
        <w:rPr>
          <w:rFonts w:ascii="Calibri" w:eastAsia="Calibri"/>
          <w:color w:val="262626"/>
        </w:rPr>
        <w:t>98.52%</w:t>
      </w:r>
      <w:r>
        <w:rPr>
          <w:rFonts w:ascii="Calibri" w:eastAsia="Calibri"/>
          <w:color w:val="262626"/>
          <w:spacing w:val="-3"/>
        </w:rPr>
        <w:t xml:space="preserve"> </w:t>
      </w:r>
      <w:r>
        <w:rPr>
          <w:color w:val="262626"/>
        </w:rPr>
        <w:t>的中国效率</w:t>
      </w:r>
    </w:p>
    <w:p>
      <w:pPr>
        <w:pStyle w:val="BodyText"/>
        <w:spacing w:before="2" w:line="232" w:lineRule="auto"/>
        <w:ind w:left="1151" w:right="3910"/>
      </w:pPr>
      <w:r>
        <w:rPr>
          <w:color w:val="262626"/>
        </w:rPr>
        <w:t>（不同输入电压下反映中国日照资源特征加权总效率的平均值），通过最多</w:t>
      </w:r>
      <w:r>
        <w:rPr>
          <w:rFonts w:ascii="Calibri" w:eastAsia="Calibri"/>
          <w:color w:val="262626"/>
        </w:rPr>
        <w:t xml:space="preserve">14 </w:t>
      </w:r>
      <w:r>
        <w:rPr>
          <w:color w:val="262626"/>
        </w:rPr>
        <w:t xml:space="preserve">路 </w:t>
      </w:r>
      <w:r>
        <w:rPr>
          <w:rFonts w:ascii="Calibri" w:eastAsia="Calibri"/>
          <w:color w:val="262626"/>
        </w:rPr>
        <w:t xml:space="preserve">MPPT </w:t>
      </w:r>
      <w:r>
        <w:rPr>
          <w:color w:val="262626"/>
        </w:rPr>
        <w:t>设计减少组件失配损失，在复杂应用场景中提升系统发电量。</w:t>
      </w:r>
    </w:p>
    <w:p>
      <w:pPr>
        <w:spacing w:after="0" w:line="232" w:lineRule="auto"/>
        <w:sectPr>
          <w:headerReference w:type="default" r:id="rId142"/>
          <w:footerReference w:type="default" r:id="rId143"/>
          <w:pgSz w:w="12240" w:h="15840"/>
          <w:pgMar w:top="1720" w:right="0" w:bottom="1380" w:left="0" w:header="708" w:footer="708"/>
          <w:pgNumType w:start="49"/>
          <w:cols w:space="708"/>
        </w:sectPr>
      </w:pPr>
    </w:p>
    <w:p>
      <w:pPr>
        <w:pStyle w:val="BodyText"/>
        <w:rPr>
          <w:sz w:val="20"/>
        </w:rPr>
      </w:pPr>
    </w:p>
    <w:p>
      <w:pPr>
        <w:pStyle w:val="BodyText"/>
        <w:rPr>
          <w:sz w:val="22"/>
        </w:rPr>
      </w:pPr>
    </w:p>
    <w:p>
      <w:pPr>
        <w:pStyle w:val="Heading3"/>
        <w:spacing w:line="373" w:lineRule="exact"/>
      </w:pPr>
      <w:r>
        <w:t>图表</w:t>
      </w:r>
      <w:r>
        <w:rPr>
          <w:rFonts w:ascii="Calibri" w:eastAsia="Calibri"/>
        </w:rPr>
        <w:t xml:space="preserve">40: </w:t>
      </w:r>
      <w:r>
        <w:t>逆变器核心技术指标</w:t>
      </w:r>
    </w:p>
    <w:p>
      <w:pPr>
        <w:tabs>
          <w:tab w:val="left" w:pos="2746"/>
        </w:tabs>
        <w:spacing w:before="0" w:line="279" w:lineRule="exact"/>
        <w:ind w:left="1151" w:right="0" w:firstLine="0"/>
        <w:jc w:val="left"/>
        <w:rPr>
          <w:rFonts w:ascii="Microsoft JhengHei" w:eastAsia="Microsoft JhengHei" w:hint="eastAsia"/>
          <w:b/>
          <w:sz w:val="16"/>
        </w:rPr>
      </w:pPr>
      <w:r>
        <w:pict>
          <v:shape id="_x0000_s1679" style="width:496.15pt;height:0.1pt;margin-top:17.71pt;margin-left:57.55pt;mso-position-horizontal-relative:page;mso-wrap-distance-left:0;mso-wrap-distance-right:0;position:absolute;z-index:-251531264" coordorigin="1151,354" coordsize="9923,0" path="m1151,354l11074,354e" filled="f" stroked="t" strokecolor="black" strokeweight="0.75pt">
            <v:stroke dashstyle="solid"/>
            <v:path arrowok="t"/>
            <w10:wrap type="topAndBottom"/>
          </v:shape>
        </w:pict>
      </w:r>
      <w:r>
        <w:pict>
          <v:line id="_x0000_s1680" style="mso-position-horizontal-relative:page;position:absolute;z-index:251788288" from="57.55pt,0.9pt" to="553.7pt,0.9pt" stroked="t" strokecolor="black" strokeweight="0.75pt">
            <v:stroke dashstyle="solid"/>
          </v:line>
        </w:pict>
      </w:r>
      <w:r>
        <w:rPr>
          <w:rFonts w:ascii="Microsoft JhengHei" w:eastAsia="Microsoft JhengHei" w:hint="eastAsia"/>
          <w:b/>
          <w:sz w:val="16"/>
        </w:rPr>
        <w:t>指标名称</w:t>
        <w:tab/>
        <w:t>指标说明</w:t>
      </w:r>
    </w:p>
    <w:p>
      <w:pPr>
        <w:tabs>
          <w:tab w:val="left" w:pos="2746"/>
        </w:tabs>
        <w:spacing w:before="0" w:after="102" w:line="242" w:lineRule="auto"/>
        <w:ind w:left="2747" w:right="1172" w:hanging="1596"/>
        <w:jc w:val="left"/>
        <w:rPr>
          <w:sz w:val="16"/>
        </w:rPr>
      </w:pPr>
      <w:r>
        <w:rPr>
          <w:sz w:val="16"/>
        </w:rPr>
        <w:t>转换效率</w:t>
        <w:tab/>
        <w:t>指逆变器在交流端输出的能量与直流端输入的能量的比值，转换效率越高说明能量损耗越小，最终发电效率也就越高</w:t>
      </w:r>
      <w:r>
        <w:rPr>
          <w:spacing w:val="-18"/>
          <w:sz w:val="16"/>
        </w:rPr>
        <w:t xml:space="preserve">， </w:t>
      </w:r>
      <w:r>
        <w:rPr>
          <w:sz w:val="16"/>
        </w:rPr>
        <w:t>其中最大转换效率是指在不同工况下的效率最大值，欧洲效率</w:t>
      </w:r>
      <w:r>
        <w:rPr>
          <w:rFonts w:ascii="Arial Narrow" w:eastAsia="Arial Narrow"/>
          <w:sz w:val="16"/>
        </w:rPr>
        <w:t>/</w:t>
      </w:r>
      <w:r>
        <w:rPr>
          <w:sz w:val="16"/>
        </w:rPr>
        <w:t>中国效率是指在指定工况下测得的加权效率</w:t>
      </w:r>
    </w:p>
    <w:p>
      <w:pPr>
        <w:pStyle w:val="BodyText"/>
        <w:spacing w:line="20" w:lineRule="exact"/>
        <w:ind w:left="1143"/>
        <w:rPr>
          <w:sz w:val="2"/>
        </w:rPr>
      </w:pPr>
      <w:r>
        <w:rPr>
          <w:sz w:val="2"/>
        </w:rPr>
        <w:pict>
          <v:group id="_x0000_i1681" style="width:496.15pt;height:0.75pt;mso-position-horizontal-relative:char;mso-position-vertical-relative:line" coordorigin="0,0" coordsize="9923,15">
            <v:line id="_x0000_s1682" style="position:absolute" from="0,7" to="9923,7" stroked="t" strokecolor="black" strokeweight="0.75pt">
              <v:stroke dashstyle="solid"/>
            </v:line>
            <w10:wrap type="none"/>
          </v:group>
        </w:pict>
      </w:r>
    </w:p>
    <w:p>
      <w:pPr>
        <w:tabs>
          <w:tab w:val="left" w:pos="2746"/>
        </w:tabs>
        <w:spacing w:before="7" w:line="242" w:lineRule="auto"/>
        <w:ind w:left="2747" w:right="1213" w:hanging="1596"/>
        <w:jc w:val="left"/>
        <w:rPr>
          <w:sz w:val="16"/>
        </w:rPr>
      </w:pPr>
      <w:r>
        <w:pict>
          <v:shape id="_x0000_s1683" style="width:496.15pt;height:0.1pt;margin-top:26.56pt;margin-left:57.55pt;mso-position-horizontal-relative:page;mso-wrap-distance-left:0;mso-wrap-distance-right:0;position:absolute;z-index:-251530240" coordorigin="1151,531" coordsize="9923,0" path="m1151,531l11074,531e" filled="f" stroked="t" strokecolor="black" strokeweight="0.75pt">
            <v:stroke dashstyle="solid"/>
            <v:path arrowok="t"/>
            <w10:wrap type="topAndBottom"/>
          </v:shape>
        </w:pict>
      </w:r>
      <w:r>
        <w:rPr>
          <w:rFonts w:ascii="Arial Narrow" w:eastAsia="Arial Narrow"/>
          <w:sz w:val="16"/>
        </w:rPr>
        <w:t>MPPT</w:t>
      </w:r>
      <w:r>
        <w:rPr>
          <w:rFonts w:ascii="Arial Narrow" w:eastAsia="Arial Narrow"/>
          <w:spacing w:val="-1"/>
          <w:sz w:val="16"/>
        </w:rPr>
        <w:t xml:space="preserve"> </w:t>
      </w:r>
      <w:r>
        <w:rPr>
          <w:sz w:val="16"/>
        </w:rPr>
        <w:t>电压范围</w:t>
        <w:tab/>
        <w:t>指逆变器适应组件电压变化的工作电压范围，更宽的</w:t>
      </w:r>
      <w:r>
        <w:rPr>
          <w:spacing w:val="-45"/>
          <w:sz w:val="16"/>
        </w:rPr>
        <w:t xml:space="preserve"> </w:t>
      </w:r>
      <w:r>
        <w:rPr>
          <w:rFonts w:ascii="Arial Narrow" w:eastAsia="Arial Narrow"/>
          <w:sz w:val="16"/>
        </w:rPr>
        <w:t>MPPT</w:t>
      </w:r>
      <w:r>
        <w:rPr>
          <w:rFonts w:ascii="Arial Narrow" w:eastAsia="Arial Narrow"/>
          <w:spacing w:val="-2"/>
          <w:sz w:val="16"/>
        </w:rPr>
        <w:t xml:space="preserve"> </w:t>
      </w:r>
      <w:r>
        <w:rPr>
          <w:sz w:val="16"/>
        </w:rPr>
        <w:t>电压范围可以使产品早启动、晚停机，增加发电时间，提</w:t>
      </w:r>
      <w:r>
        <w:rPr>
          <w:spacing w:val="-13"/>
          <w:sz w:val="16"/>
        </w:rPr>
        <w:t>高</w:t>
      </w:r>
      <w:r>
        <w:rPr>
          <w:sz w:val="16"/>
        </w:rPr>
        <w:t>发电量</w:t>
      </w:r>
    </w:p>
    <w:p>
      <w:pPr>
        <w:tabs>
          <w:tab w:val="left" w:pos="2746"/>
        </w:tabs>
        <w:spacing w:before="0" w:after="102" w:line="242" w:lineRule="auto"/>
        <w:ind w:left="2747" w:right="1172" w:hanging="1596"/>
        <w:jc w:val="left"/>
        <w:rPr>
          <w:sz w:val="16"/>
        </w:rPr>
      </w:pPr>
      <w:r>
        <w:rPr>
          <w:sz w:val="16"/>
        </w:rPr>
        <w:t>输入电流</w:t>
        <w:tab/>
        <w:t>与光伏组件的输出电流有关，组件的输出电流越大，那么对于逆变器的输入能力要求也就越高。逆变器最大输入电流</w:t>
      </w:r>
      <w:r>
        <w:rPr>
          <w:spacing w:val="-18"/>
          <w:sz w:val="16"/>
        </w:rPr>
        <w:t>越</w:t>
      </w:r>
      <w:r>
        <w:rPr>
          <w:sz w:val="16"/>
        </w:rPr>
        <w:t>高，就能适用于更大功率组件，提升逆变器的适配性</w:t>
      </w:r>
    </w:p>
    <w:p>
      <w:pPr>
        <w:pStyle w:val="BodyText"/>
        <w:spacing w:line="20" w:lineRule="exact"/>
        <w:ind w:left="1143"/>
        <w:rPr>
          <w:sz w:val="2"/>
        </w:rPr>
      </w:pPr>
      <w:r>
        <w:rPr>
          <w:sz w:val="2"/>
        </w:rPr>
        <w:pict>
          <v:group id="_x0000_i1684" style="width:496.15pt;height:0.75pt;mso-position-horizontal-relative:char;mso-position-vertical-relative:line" coordorigin="0,0" coordsize="9923,15">
            <v:line id="_x0000_s1685" style="position:absolute" from="0,8" to="9923,8" stroked="t" strokecolor="black" strokeweight="0.75pt">
              <v:stroke dashstyle="solid"/>
            </v:line>
            <w10:wrap type="none"/>
          </v:group>
        </w:pict>
      </w:r>
    </w:p>
    <w:p>
      <w:pPr>
        <w:tabs>
          <w:tab w:val="left" w:pos="2746"/>
        </w:tabs>
        <w:spacing w:before="7" w:line="242" w:lineRule="auto"/>
        <w:ind w:left="2747" w:right="1172" w:hanging="1596"/>
        <w:jc w:val="left"/>
        <w:rPr>
          <w:sz w:val="16"/>
        </w:rPr>
      </w:pPr>
      <w:r>
        <w:pict>
          <v:shape id="_x0000_s1686" style="width:496.15pt;height:0.1pt;margin-top:26.56pt;margin-left:57.55pt;mso-position-horizontal-relative:page;mso-wrap-distance-left:0;mso-wrap-distance-right:0;position:absolute;z-index:-251529216" coordorigin="1151,531" coordsize="9923,0" path="m1151,531l11074,531e" filled="f" stroked="t" strokecolor="black" strokeweight="0.75pt">
            <v:stroke dashstyle="solid"/>
            <v:path arrowok="t"/>
            <w10:wrap type="topAndBottom"/>
          </v:shape>
        </w:pict>
      </w:r>
      <w:r>
        <w:rPr>
          <w:sz w:val="16"/>
        </w:rPr>
        <w:t>功率密度</w:t>
        <w:tab/>
        <w:t>指逆变器额定功率与逆变器设备自身重量的比值，相同功率下，逆变器重量越小，则功率密度越高，能降低用户使用</w:t>
      </w:r>
      <w:r>
        <w:rPr>
          <w:spacing w:val="-18"/>
          <w:sz w:val="16"/>
        </w:rPr>
        <w:t>成</w:t>
      </w:r>
      <w:r>
        <w:rPr>
          <w:sz w:val="16"/>
        </w:rPr>
        <w:t>本，提升使用体验</w:t>
      </w:r>
    </w:p>
    <w:p>
      <w:pPr>
        <w:tabs>
          <w:tab w:val="left" w:pos="2746"/>
        </w:tabs>
        <w:spacing w:before="0" w:after="102" w:line="242" w:lineRule="auto"/>
        <w:ind w:left="2747" w:right="1172" w:hanging="1596"/>
        <w:jc w:val="left"/>
        <w:rPr>
          <w:sz w:val="16"/>
        </w:rPr>
      </w:pPr>
      <w:r>
        <w:rPr>
          <w:sz w:val="16"/>
        </w:rPr>
        <w:t>并离网切换时间</w:t>
        <w:tab/>
        <w:t>指储能逆变器在并网运行模式与离网运行模式之间切换所需要的时间，并离网切换时间的长短将影响用户的体验效果</w:t>
      </w:r>
      <w:r>
        <w:rPr>
          <w:spacing w:val="-18"/>
          <w:sz w:val="16"/>
        </w:rPr>
        <w:t xml:space="preserve">， </w:t>
      </w:r>
      <w:r>
        <w:rPr>
          <w:sz w:val="16"/>
        </w:rPr>
        <w:t>缩短并离网切换时间可以保障负载不断电工作，提升用户体验</w:t>
      </w:r>
    </w:p>
    <w:p>
      <w:pPr>
        <w:pStyle w:val="BodyText"/>
        <w:spacing w:line="20" w:lineRule="exact"/>
        <w:ind w:left="1143"/>
        <w:rPr>
          <w:sz w:val="2"/>
        </w:rPr>
      </w:pPr>
      <w:r>
        <w:rPr>
          <w:sz w:val="2"/>
        </w:rPr>
        <w:pict>
          <v:group id="_x0000_i1687" style="width:496.15pt;height:0.75pt;mso-position-horizontal-relative:char;mso-position-vertical-relative:line" coordorigin="0,0" coordsize="9923,15">
            <v:line id="_x0000_s1688" style="position:absolute" from="0,7" to="9923,7" stroked="t" strokecolor="black" strokeweight="0.75pt">
              <v:stroke dashstyle="solid"/>
            </v:line>
            <w10:wrap type="none"/>
          </v:group>
        </w:pict>
      </w:r>
    </w:p>
    <w:p>
      <w:pPr>
        <w:spacing w:before="0"/>
        <w:ind w:left="1150" w:right="0" w:firstLine="0"/>
        <w:jc w:val="left"/>
        <w:rPr>
          <w:sz w:val="15"/>
        </w:rPr>
      </w:pPr>
      <w:r>
        <w:t xml:space="preserve">资料来源：爱士惟， </w:t>
      </w:r>
    </w:p>
    <w:p>
      <w:pPr>
        <w:pStyle w:val="Heading3"/>
        <w:spacing w:before="79"/>
      </w:pPr>
      <w:r>
        <w:t>图表</w:t>
      </w:r>
      <w:r>
        <w:rPr>
          <w:rFonts w:ascii="Calibri" w:eastAsia="Calibri"/>
        </w:rPr>
        <w:t xml:space="preserve">41: </w:t>
      </w:r>
      <w:r>
        <w:t xml:space="preserve">各内地厂商并网逆变器性能比较（三相 </w:t>
      </w:r>
      <w:r>
        <w:rPr>
          <w:rFonts w:ascii="Calibri" w:eastAsia="Calibri"/>
        </w:rPr>
        <w:t>40kW</w:t>
      </w:r>
      <w:r>
        <w:t>）</w:t>
      </w:r>
    </w:p>
    <w:tbl>
      <w:tblPr>
        <w:tblStyle w:val="TableNormal5"/>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43"/>
        <w:gridCol w:w="1005"/>
        <w:gridCol w:w="1111"/>
        <w:gridCol w:w="1151"/>
        <w:gridCol w:w="1147"/>
        <w:gridCol w:w="1089"/>
        <w:gridCol w:w="1081"/>
        <w:gridCol w:w="905"/>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3"/>
          <w:jc w:val="left"/>
        </w:trPr>
        <w:tc>
          <w:tcPr>
            <w:tcW w:w="2443" w:type="dxa"/>
            <w:tcBorders>
              <w:top w:val="single" w:sz="4" w:space="0" w:color="000000"/>
              <w:bottom w:val="single" w:sz="4" w:space="0" w:color="000000"/>
            </w:tcBorders>
          </w:tcPr>
          <w:p>
            <w:pPr>
              <w:pStyle w:val="TableParagraph"/>
              <w:spacing w:line="244" w:lineRule="exact"/>
              <w:ind w:left="27"/>
              <w:jc w:val="left"/>
              <w:rPr>
                <w:rFonts w:ascii="Microsoft JhengHei" w:eastAsia="Microsoft JhengHei" w:hint="eastAsia"/>
                <w:b/>
                <w:sz w:val="16"/>
              </w:rPr>
            </w:pPr>
            <w:r>
              <w:rPr>
                <w:rFonts w:ascii="Microsoft JhengHei" w:eastAsia="Microsoft JhengHei" w:hint="eastAsia"/>
                <w:b/>
                <w:sz w:val="16"/>
              </w:rPr>
              <w:t>项目</w:t>
            </w:r>
          </w:p>
        </w:tc>
        <w:tc>
          <w:tcPr>
            <w:tcW w:w="1005" w:type="dxa"/>
            <w:tcBorders>
              <w:top w:val="single" w:sz="4" w:space="0" w:color="000000"/>
              <w:bottom w:val="single" w:sz="4" w:space="0" w:color="000000"/>
            </w:tcBorders>
          </w:tcPr>
          <w:p>
            <w:pPr>
              <w:pStyle w:val="TableParagraph"/>
              <w:spacing w:line="244" w:lineRule="exact"/>
              <w:ind w:right="65"/>
              <w:rPr>
                <w:rFonts w:ascii="Microsoft JhengHei" w:eastAsia="Microsoft JhengHei" w:hint="eastAsia"/>
                <w:b/>
                <w:sz w:val="16"/>
              </w:rPr>
            </w:pPr>
            <w:r>
              <w:rPr>
                <w:rFonts w:ascii="Microsoft JhengHei" w:eastAsia="Microsoft JhengHei" w:hint="eastAsia"/>
                <w:b/>
                <w:sz w:val="16"/>
              </w:rPr>
              <w:t>华为</w:t>
            </w:r>
          </w:p>
        </w:tc>
        <w:tc>
          <w:tcPr>
            <w:tcW w:w="1111" w:type="dxa"/>
            <w:tcBorders>
              <w:top w:val="single" w:sz="4" w:space="0" w:color="000000"/>
              <w:bottom w:val="single" w:sz="4" w:space="0" w:color="000000"/>
            </w:tcBorders>
          </w:tcPr>
          <w:p>
            <w:pPr>
              <w:pStyle w:val="TableParagraph"/>
              <w:spacing w:line="244" w:lineRule="exact"/>
              <w:ind w:right="90"/>
              <w:rPr>
                <w:rFonts w:ascii="Microsoft JhengHei" w:eastAsia="Microsoft JhengHei" w:hint="eastAsia"/>
                <w:b/>
                <w:sz w:val="16"/>
              </w:rPr>
            </w:pPr>
            <w:r>
              <w:rPr>
                <w:rFonts w:ascii="Microsoft JhengHei" w:eastAsia="Microsoft JhengHei" w:hint="eastAsia"/>
                <w:b/>
                <w:sz w:val="16"/>
              </w:rPr>
              <w:t>阳光电源</w:t>
            </w:r>
          </w:p>
        </w:tc>
        <w:tc>
          <w:tcPr>
            <w:tcW w:w="1151" w:type="dxa"/>
            <w:tcBorders>
              <w:top w:val="single" w:sz="4" w:space="0" w:color="000000"/>
              <w:bottom w:val="single" w:sz="4" w:space="0" w:color="000000"/>
            </w:tcBorders>
          </w:tcPr>
          <w:p>
            <w:pPr>
              <w:pStyle w:val="TableParagraph"/>
              <w:spacing w:line="244" w:lineRule="exact"/>
              <w:ind w:right="156"/>
              <w:rPr>
                <w:rFonts w:ascii="Microsoft JhengHei" w:eastAsia="Microsoft JhengHei" w:hint="eastAsia"/>
                <w:b/>
                <w:sz w:val="16"/>
              </w:rPr>
            </w:pPr>
            <w:r>
              <w:rPr>
                <w:rFonts w:ascii="Microsoft JhengHei" w:eastAsia="Microsoft JhengHei" w:hint="eastAsia"/>
                <w:b/>
                <w:sz w:val="16"/>
              </w:rPr>
              <w:t>古瑞瓦特</w:t>
            </w:r>
          </w:p>
        </w:tc>
        <w:tc>
          <w:tcPr>
            <w:tcW w:w="1147" w:type="dxa"/>
            <w:tcBorders>
              <w:top w:val="single" w:sz="4" w:space="0" w:color="000000"/>
              <w:bottom w:val="single" w:sz="4" w:space="0" w:color="000000"/>
            </w:tcBorders>
          </w:tcPr>
          <w:p>
            <w:pPr>
              <w:pStyle w:val="TableParagraph"/>
              <w:spacing w:line="244" w:lineRule="exact"/>
              <w:ind w:right="218"/>
              <w:rPr>
                <w:rFonts w:ascii="Microsoft JhengHei" w:eastAsia="Microsoft JhengHei" w:hint="eastAsia"/>
                <w:b/>
                <w:sz w:val="16"/>
              </w:rPr>
            </w:pPr>
            <w:r>
              <w:rPr>
                <w:rFonts w:ascii="Microsoft JhengHei" w:eastAsia="Microsoft JhengHei" w:hint="eastAsia"/>
                <w:b/>
                <w:sz w:val="16"/>
              </w:rPr>
              <w:t>锦浪科技</w:t>
            </w:r>
          </w:p>
        </w:tc>
        <w:tc>
          <w:tcPr>
            <w:tcW w:w="1089" w:type="dxa"/>
            <w:tcBorders>
              <w:top w:val="single" w:sz="4" w:space="0" w:color="000000"/>
              <w:bottom w:val="single" w:sz="4" w:space="0" w:color="000000"/>
            </w:tcBorders>
          </w:tcPr>
          <w:p>
            <w:pPr>
              <w:pStyle w:val="TableParagraph"/>
              <w:spacing w:line="244" w:lineRule="exact"/>
              <w:ind w:right="222"/>
              <w:rPr>
                <w:rFonts w:ascii="Microsoft JhengHei" w:eastAsia="Microsoft JhengHei" w:hint="eastAsia"/>
                <w:b/>
                <w:sz w:val="16"/>
              </w:rPr>
            </w:pPr>
            <w:r>
              <w:rPr>
                <w:rFonts w:ascii="Microsoft JhengHei" w:eastAsia="Microsoft JhengHei" w:hint="eastAsia"/>
                <w:b/>
                <w:sz w:val="16"/>
              </w:rPr>
              <w:t>固德威</w:t>
            </w:r>
          </w:p>
        </w:tc>
        <w:tc>
          <w:tcPr>
            <w:tcW w:w="1081" w:type="dxa"/>
            <w:tcBorders>
              <w:top w:val="single" w:sz="4" w:space="0" w:color="000000"/>
              <w:bottom w:val="single" w:sz="4" w:space="0" w:color="000000"/>
            </w:tcBorders>
          </w:tcPr>
          <w:p>
            <w:pPr>
              <w:pStyle w:val="TableParagraph"/>
              <w:spacing w:line="244" w:lineRule="exact"/>
              <w:ind w:right="218"/>
              <w:rPr>
                <w:rFonts w:ascii="Microsoft JhengHei" w:eastAsia="Microsoft JhengHei" w:hint="eastAsia"/>
                <w:b/>
                <w:sz w:val="16"/>
              </w:rPr>
            </w:pPr>
            <w:r>
              <w:rPr>
                <w:rFonts w:ascii="Microsoft JhengHei" w:eastAsia="Microsoft JhengHei" w:hint="eastAsia"/>
                <w:b/>
                <w:sz w:val="16"/>
              </w:rPr>
              <w:t>上能电气</w:t>
            </w:r>
          </w:p>
        </w:tc>
        <w:tc>
          <w:tcPr>
            <w:tcW w:w="905" w:type="dxa"/>
            <w:tcBorders>
              <w:top w:val="single" w:sz="4" w:space="0" w:color="000000"/>
              <w:bottom w:val="single" w:sz="4" w:space="0" w:color="000000"/>
            </w:tcBorders>
          </w:tcPr>
          <w:p>
            <w:pPr>
              <w:pStyle w:val="TableParagraph"/>
              <w:spacing w:before="28"/>
              <w:ind w:right="34"/>
              <w:rPr>
                <w:b/>
                <w:sz w:val="16"/>
              </w:rPr>
            </w:pPr>
            <w:r>
              <w:rPr>
                <w:b/>
                <w:sz w:val="16"/>
              </w:rPr>
              <w:t>SolarEdge</w:t>
            </w:r>
          </w:p>
        </w:tc>
      </w:tr>
      <w:tr>
        <w:tblPrEx>
          <w:tblW w:w="0" w:type="auto"/>
          <w:jc w:val="left"/>
          <w:tblInd w:w="1158" w:type="dxa"/>
          <w:tblLayout w:type="fixed"/>
          <w:tblCellMar>
            <w:top w:w="0" w:type="dxa"/>
            <w:left w:w="0" w:type="dxa"/>
            <w:bottom w:w="0" w:type="dxa"/>
            <w:right w:w="0" w:type="dxa"/>
          </w:tblCellMar>
          <w:tblLook w:val="01E0"/>
        </w:tblPrEx>
        <w:trPr>
          <w:trHeight w:val="420"/>
          <w:jc w:val="left"/>
        </w:trPr>
        <w:tc>
          <w:tcPr>
            <w:tcW w:w="2443" w:type="dxa"/>
            <w:tcBorders>
              <w:top w:val="single" w:sz="4" w:space="0" w:color="000000"/>
            </w:tcBorders>
          </w:tcPr>
          <w:p>
            <w:pPr>
              <w:pStyle w:val="TableParagraph"/>
              <w:spacing w:before="12"/>
              <w:ind w:left="27"/>
              <w:jc w:val="left"/>
              <w:rPr>
                <w:rFonts w:ascii="宋体" w:eastAsia="宋体" w:hint="eastAsia"/>
                <w:sz w:val="16"/>
              </w:rPr>
            </w:pPr>
            <w:r>
              <w:rPr>
                <w:rFonts w:ascii="宋体" w:eastAsia="宋体" w:hint="eastAsia"/>
                <w:sz w:val="16"/>
              </w:rPr>
              <w:t>产品型号</w:t>
            </w:r>
          </w:p>
        </w:tc>
        <w:tc>
          <w:tcPr>
            <w:tcW w:w="1005" w:type="dxa"/>
            <w:tcBorders>
              <w:top w:val="single" w:sz="4" w:space="0" w:color="000000"/>
            </w:tcBorders>
          </w:tcPr>
          <w:p>
            <w:pPr>
              <w:pStyle w:val="TableParagraph"/>
              <w:spacing w:before="28"/>
              <w:ind w:left="326" w:right="63"/>
              <w:jc w:val="left"/>
              <w:rPr>
                <w:sz w:val="16"/>
              </w:rPr>
            </w:pPr>
            <w:r>
              <w:rPr>
                <w:sz w:val="16"/>
              </w:rPr>
              <w:t>SUN2000- 40KTL-M3</w:t>
            </w:r>
          </w:p>
        </w:tc>
        <w:tc>
          <w:tcPr>
            <w:tcW w:w="1111" w:type="dxa"/>
            <w:tcBorders>
              <w:top w:val="single" w:sz="4" w:space="0" w:color="000000"/>
            </w:tcBorders>
          </w:tcPr>
          <w:p>
            <w:pPr>
              <w:pStyle w:val="TableParagraph"/>
              <w:spacing w:before="28"/>
              <w:ind w:right="89"/>
              <w:rPr>
                <w:sz w:val="16"/>
              </w:rPr>
            </w:pPr>
            <w:r>
              <w:rPr>
                <w:sz w:val="16"/>
              </w:rPr>
              <w:t>SG40CX-P2-CN</w:t>
            </w:r>
          </w:p>
        </w:tc>
        <w:tc>
          <w:tcPr>
            <w:tcW w:w="1151" w:type="dxa"/>
            <w:tcBorders>
              <w:top w:val="single" w:sz="4" w:space="0" w:color="000000"/>
            </w:tcBorders>
          </w:tcPr>
          <w:p>
            <w:pPr>
              <w:pStyle w:val="TableParagraph"/>
              <w:spacing w:before="28"/>
              <w:ind w:right="155"/>
              <w:rPr>
                <w:sz w:val="16"/>
              </w:rPr>
            </w:pPr>
            <w:r>
              <w:rPr>
                <w:sz w:val="16"/>
              </w:rPr>
              <w:t>MID40KTL3-X2</w:t>
            </w:r>
          </w:p>
        </w:tc>
        <w:tc>
          <w:tcPr>
            <w:tcW w:w="1147" w:type="dxa"/>
            <w:tcBorders>
              <w:top w:val="single" w:sz="4" w:space="0" w:color="000000"/>
            </w:tcBorders>
          </w:tcPr>
          <w:p>
            <w:pPr>
              <w:pStyle w:val="TableParagraph"/>
              <w:spacing w:before="28"/>
              <w:ind w:right="217"/>
              <w:rPr>
                <w:sz w:val="16"/>
              </w:rPr>
            </w:pPr>
            <w:r>
              <w:rPr>
                <w:spacing w:val="-1"/>
                <w:sz w:val="16"/>
              </w:rPr>
              <w:t>GCI-40K-5G-</w:t>
            </w:r>
          </w:p>
          <w:p>
            <w:pPr>
              <w:pStyle w:val="TableParagraph"/>
              <w:ind w:right="216"/>
              <w:rPr>
                <w:sz w:val="16"/>
              </w:rPr>
            </w:pPr>
            <w:r>
              <w:rPr>
                <w:sz w:val="16"/>
              </w:rPr>
              <w:t>PLUS</w:t>
            </w:r>
          </w:p>
        </w:tc>
        <w:tc>
          <w:tcPr>
            <w:tcW w:w="1089" w:type="dxa"/>
            <w:tcBorders>
              <w:top w:val="single" w:sz="4" w:space="0" w:color="000000"/>
            </w:tcBorders>
          </w:tcPr>
          <w:p>
            <w:pPr>
              <w:pStyle w:val="TableParagraph"/>
              <w:spacing w:before="28"/>
              <w:ind w:right="221"/>
              <w:rPr>
                <w:sz w:val="16"/>
              </w:rPr>
            </w:pPr>
            <w:r>
              <w:rPr>
                <w:sz w:val="16"/>
              </w:rPr>
              <w:t>GW40KMT</w:t>
            </w:r>
          </w:p>
        </w:tc>
        <w:tc>
          <w:tcPr>
            <w:tcW w:w="1081" w:type="dxa"/>
            <w:tcBorders>
              <w:top w:val="single" w:sz="4" w:space="0" w:color="000000"/>
            </w:tcBorders>
          </w:tcPr>
          <w:p>
            <w:pPr>
              <w:pStyle w:val="TableParagraph"/>
              <w:spacing w:before="28"/>
              <w:ind w:right="216"/>
              <w:rPr>
                <w:sz w:val="16"/>
              </w:rPr>
            </w:pPr>
            <w:r>
              <w:rPr>
                <w:sz w:val="16"/>
              </w:rPr>
              <w:t>SN40PT</w:t>
            </w:r>
          </w:p>
        </w:tc>
        <w:tc>
          <w:tcPr>
            <w:tcW w:w="905" w:type="dxa"/>
            <w:tcBorders>
              <w:top w:val="single" w:sz="4" w:space="0" w:color="000000"/>
            </w:tcBorders>
          </w:tcPr>
          <w:p>
            <w:pPr>
              <w:pStyle w:val="TableParagraph"/>
              <w:spacing w:before="28"/>
              <w:ind w:right="34"/>
              <w:rPr>
                <w:sz w:val="16"/>
              </w:rPr>
            </w:pPr>
            <w:r>
              <w:rPr>
                <w:sz w:val="16"/>
              </w:rPr>
              <w:t>SE40K</w:t>
            </w:r>
          </w:p>
        </w:tc>
      </w:tr>
      <w:tr>
        <w:tblPrEx>
          <w:tblW w:w="0" w:type="auto"/>
          <w:jc w:val="left"/>
          <w:tblInd w:w="1158" w:type="dxa"/>
          <w:tblLayout w:type="fixed"/>
          <w:tblCellMar>
            <w:top w:w="0" w:type="dxa"/>
            <w:left w:w="0" w:type="dxa"/>
            <w:bottom w:w="0" w:type="dxa"/>
            <w:right w:w="0" w:type="dxa"/>
          </w:tblCellMar>
          <w:tblLook w:val="01E0"/>
        </w:tblPrEx>
        <w:trPr>
          <w:trHeight w:val="254"/>
          <w:jc w:val="left"/>
        </w:trPr>
        <w:tc>
          <w:tcPr>
            <w:tcW w:w="2443" w:type="dxa"/>
          </w:tcPr>
          <w:p>
            <w:pPr>
              <w:pStyle w:val="TableParagraph"/>
              <w:spacing w:before="15"/>
              <w:ind w:left="27"/>
              <w:jc w:val="left"/>
              <w:rPr>
                <w:rFonts w:ascii="宋体" w:eastAsia="宋体" w:hint="eastAsia"/>
                <w:sz w:val="16"/>
              </w:rPr>
            </w:pPr>
            <w:r>
              <w:rPr>
                <w:rFonts w:ascii="宋体" w:eastAsia="宋体" w:hint="eastAsia"/>
                <w:sz w:val="16"/>
              </w:rPr>
              <w:t>额定功率（</w:t>
            </w:r>
            <w:r>
              <w:rPr>
                <w:sz w:val="16"/>
              </w:rPr>
              <w:t>kW</w:t>
            </w:r>
            <w:r>
              <w:rPr>
                <w:rFonts w:ascii="宋体" w:eastAsia="宋体" w:hint="eastAsia"/>
                <w:sz w:val="16"/>
              </w:rPr>
              <w:t>）</w:t>
            </w:r>
          </w:p>
        </w:tc>
        <w:tc>
          <w:tcPr>
            <w:tcW w:w="1005" w:type="dxa"/>
          </w:tcPr>
          <w:p>
            <w:pPr>
              <w:pStyle w:val="TableParagraph"/>
              <w:spacing w:before="30"/>
              <w:ind w:right="64"/>
              <w:rPr>
                <w:sz w:val="16"/>
              </w:rPr>
            </w:pPr>
            <w:r>
              <w:rPr>
                <w:sz w:val="16"/>
              </w:rPr>
              <w:t>40</w:t>
            </w:r>
          </w:p>
        </w:tc>
        <w:tc>
          <w:tcPr>
            <w:tcW w:w="1111" w:type="dxa"/>
          </w:tcPr>
          <w:p>
            <w:pPr>
              <w:pStyle w:val="TableParagraph"/>
              <w:spacing w:before="30"/>
              <w:ind w:right="89"/>
              <w:rPr>
                <w:sz w:val="16"/>
              </w:rPr>
            </w:pPr>
            <w:r>
              <w:rPr>
                <w:sz w:val="16"/>
              </w:rPr>
              <w:t>40</w:t>
            </w:r>
          </w:p>
        </w:tc>
        <w:tc>
          <w:tcPr>
            <w:tcW w:w="1151" w:type="dxa"/>
          </w:tcPr>
          <w:p>
            <w:pPr>
              <w:pStyle w:val="TableParagraph"/>
              <w:spacing w:before="30"/>
              <w:ind w:right="155"/>
              <w:rPr>
                <w:sz w:val="16"/>
              </w:rPr>
            </w:pPr>
            <w:r>
              <w:rPr>
                <w:sz w:val="16"/>
              </w:rPr>
              <w:t>40</w:t>
            </w:r>
          </w:p>
        </w:tc>
        <w:tc>
          <w:tcPr>
            <w:tcW w:w="1147" w:type="dxa"/>
          </w:tcPr>
          <w:p>
            <w:pPr>
              <w:pStyle w:val="TableParagraph"/>
              <w:spacing w:before="30"/>
              <w:ind w:right="217"/>
              <w:rPr>
                <w:sz w:val="16"/>
              </w:rPr>
            </w:pPr>
            <w:r>
              <w:rPr>
                <w:sz w:val="16"/>
              </w:rPr>
              <w:t>40</w:t>
            </w:r>
          </w:p>
        </w:tc>
        <w:tc>
          <w:tcPr>
            <w:tcW w:w="1089" w:type="dxa"/>
          </w:tcPr>
          <w:p>
            <w:pPr>
              <w:pStyle w:val="TableParagraph"/>
              <w:spacing w:before="30"/>
              <w:ind w:right="221"/>
              <w:rPr>
                <w:sz w:val="16"/>
              </w:rPr>
            </w:pPr>
            <w:r>
              <w:rPr>
                <w:sz w:val="16"/>
              </w:rPr>
              <w:t>40</w:t>
            </w:r>
          </w:p>
        </w:tc>
        <w:tc>
          <w:tcPr>
            <w:tcW w:w="1081" w:type="dxa"/>
          </w:tcPr>
          <w:p>
            <w:pPr>
              <w:pStyle w:val="TableParagraph"/>
              <w:spacing w:before="30"/>
              <w:ind w:right="217"/>
              <w:rPr>
                <w:sz w:val="16"/>
              </w:rPr>
            </w:pPr>
            <w:r>
              <w:rPr>
                <w:sz w:val="16"/>
              </w:rPr>
              <w:t>40</w:t>
            </w:r>
          </w:p>
        </w:tc>
        <w:tc>
          <w:tcPr>
            <w:tcW w:w="905" w:type="dxa"/>
          </w:tcPr>
          <w:p>
            <w:pPr>
              <w:pStyle w:val="TableParagraph"/>
              <w:spacing w:before="30"/>
              <w:ind w:right="35"/>
              <w:rPr>
                <w:sz w:val="16"/>
              </w:rPr>
            </w:pPr>
            <w:r>
              <w:rPr>
                <w:sz w:val="16"/>
              </w:rPr>
              <w:t>40</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2443" w:type="dxa"/>
          </w:tcPr>
          <w:p>
            <w:pPr>
              <w:pStyle w:val="TableParagraph"/>
              <w:spacing w:before="24"/>
              <w:ind w:left="27"/>
              <w:jc w:val="left"/>
              <w:rPr>
                <w:rFonts w:ascii="宋体" w:eastAsia="宋体" w:hint="eastAsia"/>
                <w:sz w:val="16"/>
              </w:rPr>
            </w:pPr>
            <w:r>
              <w:rPr>
                <w:rFonts w:ascii="宋体" w:eastAsia="宋体" w:hint="eastAsia"/>
                <w:sz w:val="16"/>
              </w:rPr>
              <w:t>最大转换效率</w:t>
            </w:r>
          </w:p>
        </w:tc>
        <w:tc>
          <w:tcPr>
            <w:tcW w:w="1005" w:type="dxa"/>
          </w:tcPr>
          <w:p>
            <w:pPr>
              <w:pStyle w:val="TableParagraph"/>
              <w:spacing w:before="40"/>
              <w:ind w:right="64"/>
              <w:rPr>
                <w:sz w:val="16"/>
              </w:rPr>
            </w:pPr>
            <w:r>
              <w:rPr>
                <w:sz w:val="16"/>
              </w:rPr>
              <w:t>98.60%</w:t>
            </w:r>
          </w:p>
        </w:tc>
        <w:tc>
          <w:tcPr>
            <w:tcW w:w="1111" w:type="dxa"/>
          </w:tcPr>
          <w:p>
            <w:pPr>
              <w:pStyle w:val="TableParagraph"/>
              <w:spacing w:before="40"/>
              <w:ind w:right="89"/>
              <w:rPr>
                <w:sz w:val="16"/>
              </w:rPr>
            </w:pPr>
            <w:r>
              <w:rPr>
                <w:sz w:val="16"/>
              </w:rPr>
              <w:t>98.60%</w:t>
            </w:r>
          </w:p>
        </w:tc>
        <w:tc>
          <w:tcPr>
            <w:tcW w:w="1151" w:type="dxa"/>
          </w:tcPr>
          <w:p>
            <w:pPr>
              <w:pStyle w:val="TableParagraph"/>
              <w:spacing w:before="40"/>
              <w:ind w:right="155"/>
              <w:rPr>
                <w:sz w:val="16"/>
              </w:rPr>
            </w:pPr>
            <w:r>
              <w:rPr>
                <w:sz w:val="16"/>
              </w:rPr>
              <w:t>98.80%</w:t>
            </w:r>
          </w:p>
        </w:tc>
        <w:tc>
          <w:tcPr>
            <w:tcW w:w="1147" w:type="dxa"/>
          </w:tcPr>
          <w:p>
            <w:pPr>
              <w:pStyle w:val="TableParagraph"/>
              <w:spacing w:before="40"/>
              <w:ind w:right="217"/>
              <w:rPr>
                <w:sz w:val="16"/>
              </w:rPr>
            </w:pPr>
            <w:r>
              <w:rPr>
                <w:sz w:val="16"/>
              </w:rPr>
              <w:t>98.70%</w:t>
            </w:r>
          </w:p>
        </w:tc>
        <w:tc>
          <w:tcPr>
            <w:tcW w:w="1089" w:type="dxa"/>
          </w:tcPr>
          <w:p>
            <w:pPr>
              <w:pStyle w:val="TableParagraph"/>
              <w:spacing w:before="40"/>
              <w:ind w:right="221"/>
              <w:rPr>
                <w:sz w:val="16"/>
              </w:rPr>
            </w:pPr>
            <w:r>
              <w:rPr>
                <w:sz w:val="16"/>
              </w:rPr>
              <w:t>98.60%</w:t>
            </w:r>
          </w:p>
        </w:tc>
        <w:tc>
          <w:tcPr>
            <w:tcW w:w="1081" w:type="dxa"/>
          </w:tcPr>
          <w:p>
            <w:pPr>
              <w:pStyle w:val="TableParagraph"/>
              <w:spacing w:before="40"/>
              <w:ind w:right="217"/>
              <w:rPr>
                <w:sz w:val="16"/>
              </w:rPr>
            </w:pPr>
            <w:r>
              <w:rPr>
                <w:sz w:val="16"/>
              </w:rPr>
              <w:t>98.60%</w:t>
            </w:r>
          </w:p>
        </w:tc>
        <w:tc>
          <w:tcPr>
            <w:tcW w:w="905" w:type="dxa"/>
          </w:tcPr>
          <w:p>
            <w:pPr>
              <w:pStyle w:val="TableParagraph"/>
              <w:spacing w:before="40"/>
              <w:ind w:right="35"/>
              <w:rPr>
                <w:sz w:val="16"/>
              </w:rPr>
            </w:pPr>
            <w:r>
              <w:rPr>
                <w:sz w:val="16"/>
              </w:rPr>
              <w:t>98.10%</w:t>
            </w:r>
          </w:p>
        </w:tc>
      </w:tr>
      <w:tr>
        <w:tblPrEx>
          <w:tblW w:w="0" w:type="auto"/>
          <w:jc w:val="left"/>
          <w:tblInd w:w="1158" w:type="dxa"/>
          <w:tblLayout w:type="fixed"/>
          <w:tblCellMar>
            <w:top w:w="0" w:type="dxa"/>
            <w:left w:w="0" w:type="dxa"/>
            <w:bottom w:w="0" w:type="dxa"/>
            <w:right w:w="0" w:type="dxa"/>
          </w:tblCellMar>
          <w:tblLook w:val="01E0"/>
        </w:tblPrEx>
        <w:trPr>
          <w:trHeight w:val="261"/>
          <w:jc w:val="left"/>
        </w:trPr>
        <w:tc>
          <w:tcPr>
            <w:tcW w:w="2443" w:type="dxa"/>
          </w:tcPr>
          <w:p>
            <w:pPr>
              <w:pStyle w:val="TableParagraph"/>
              <w:spacing w:before="24"/>
              <w:ind w:left="27"/>
              <w:jc w:val="left"/>
              <w:rPr>
                <w:rFonts w:ascii="宋体" w:eastAsia="宋体" w:hint="eastAsia"/>
                <w:sz w:val="16"/>
              </w:rPr>
            </w:pPr>
            <w:r>
              <w:rPr>
                <w:rFonts w:ascii="宋体" w:eastAsia="宋体" w:hint="eastAsia"/>
                <w:sz w:val="16"/>
              </w:rPr>
              <w:t>中国效率</w:t>
            </w:r>
          </w:p>
        </w:tc>
        <w:tc>
          <w:tcPr>
            <w:tcW w:w="1005" w:type="dxa"/>
          </w:tcPr>
          <w:p>
            <w:pPr>
              <w:pStyle w:val="TableParagraph"/>
              <w:spacing w:before="40"/>
              <w:ind w:right="64"/>
              <w:rPr>
                <w:sz w:val="16"/>
              </w:rPr>
            </w:pPr>
            <w:r>
              <w:rPr>
                <w:sz w:val="16"/>
              </w:rPr>
              <w:t>98.00%</w:t>
            </w:r>
          </w:p>
        </w:tc>
        <w:tc>
          <w:tcPr>
            <w:tcW w:w="1111" w:type="dxa"/>
          </w:tcPr>
          <w:p>
            <w:pPr>
              <w:pStyle w:val="TableParagraph"/>
              <w:spacing w:before="40"/>
              <w:ind w:right="89"/>
              <w:rPr>
                <w:sz w:val="16"/>
              </w:rPr>
            </w:pPr>
            <w:r>
              <w:rPr>
                <w:sz w:val="16"/>
              </w:rPr>
              <w:t>98.00%</w:t>
            </w:r>
          </w:p>
        </w:tc>
        <w:tc>
          <w:tcPr>
            <w:tcW w:w="1151" w:type="dxa"/>
          </w:tcPr>
          <w:p>
            <w:pPr>
              <w:pStyle w:val="TableParagraph"/>
              <w:spacing w:before="40"/>
              <w:ind w:right="155"/>
              <w:rPr>
                <w:sz w:val="16"/>
              </w:rPr>
            </w:pPr>
            <w:r>
              <w:rPr>
                <w:sz w:val="16"/>
              </w:rPr>
              <w:t>98.50%</w:t>
            </w:r>
          </w:p>
        </w:tc>
        <w:tc>
          <w:tcPr>
            <w:tcW w:w="1147" w:type="dxa"/>
          </w:tcPr>
          <w:p>
            <w:pPr>
              <w:pStyle w:val="TableParagraph"/>
              <w:spacing w:before="40"/>
              <w:ind w:right="217"/>
              <w:rPr>
                <w:sz w:val="16"/>
              </w:rPr>
            </w:pPr>
            <w:r>
              <w:rPr>
                <w:sz w:val="16"/>
              </w:rPr>
              <w:t>98.10%</w:t>
            </w:r>
          </w:p>
        </w:tc>
        <w:tc>
          <w:tcPr>
            <w:tcW w:w="1089" w:type="dxa"/>
          </w:tcPr>
          <w:p>
            <w:pPr>
              <w:pStyle w:val="TableParagraph"/>
              <w:spacing w:before="40"/>
              <w:ind w:right="221"/>
              <w:rPr>
                <w:sz w:val="16"/>
              </w:rPr>
            </w:pPr>
            <w:r>
              <w:rPr>
                <w:sz w:val="16"/>
              </w:rPr>
              <w:t>98.30%</w:t>
            </w:r>
          </w:p>
        </w:tc>
        <w:tc>
          <w:tcPr>
            <w:tcW w:w="1081" w:type="dxa"/>
          </w:tcPr>
          <w:p>
            <w:pPr>
              <w:pStyle w:val="TableParagraph"/>
              <w:spacing w:before="40"/>
              <w:ind w:right="217"/>
              <w:rPr>
                <w:sz w:val="16"/>
              </w:rPr>
            </w:pPr>
            <w:r>
              <w:rPr>
                <w:sz w:val="16"/>
              </w:rPr>
              <w:t>98.00%</w:t>
            </w:r>
          </w:p>
        </w:tc>
        <w:tc>
          <w:tcPr>
            <w:tcW w:w="905" w:type="dxa"/>
          </w:tcPr>
          <w:p>
            <w:pPr>
              <w:pStyle w:val="TableParagraph"/>
              <w:spacing w:before="40"/>
              <w:ind w:right="35"/>
              <w:rPr>
                <w:sz w:val="16"/>
              </w:rPr>
            </w:pPr>
            <w:r>
              <w:rPr>
                <w:sz w:val="16"/>
              </w:rPr>
              <w:t>98.00%</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2443" w:type="dxa"/>
          </w:tcPr>
          <w:p>
            <w:pPr>
              <w:pStyle w:val="TableParagraph"/>
              <w:spacing w:before="27"/>
              <w:ind w:left="27"/>
              <w:jc w:val="left"/>
              <w:rPr>
                <w:rFonts w:ascii="宋体" w:eastAsia="宋体" w:hint="eastAsia"/>
                <w:sz w:val="16"/>
              </w:rPr>
            </w:pPr>
            <w:r>
              <w:rPr>
                <w:sz w:val="16"/>
              </w:rPr>
              <w:t xml:space="preserve">MPPT </w:t>
            </w:r>
            <w:r>
              <w:rPr>
                <w:rFonts w:ascii="宋体" w:eastAsia="宋体" w:hint="eastAsia"/>
                <w:sz w:val="16"/>
              </w:rPr>
              <w:t>电压范围（</w:t>
            </w:r>
            <w:r>
              <w:rPr>
                <w:sz w:val="16"/>
              </w:rPr>
              <w:t>V</w:t>
            </w:r>
            <w:r>
              <w:rPr>
                <w:rFonts w:ascii="宋体" w:eastAsia="宋体" w:hint="eastAsia"/>
                <w:sz w:val="16"/>
              </w:rPr>
              <w:t>）</w:t>
            </w:r>
          </w:p>
        </w:tc>
        <w:tc>
          <w:tcPr>
            <w:tcW w:w="1005" w:type="dxa"/>
          </w:tcPr>
          <w:p>
            <w:pPr>
              <w:pStyle w:val="TableParagraph"/>
              <w:spacing w:before="43"/>
              <w:ind w:right="64"/>
              <w:rPr>
                <w:sz w:val="16"/>
              </w:rPr>
            </w:pPr>
            <w:r>
              <w:rPr>
                <w:sz w:val="16"/>
              </w:rPr>
              <w:t>200-1000</w:t>
            </w:r>
          </w:p>
        </w:tc>
        <w:tc>
          <w:tcPr>
            <w:tcW w:w="1111" w:type="dxa"/>
          </w:tcPr>
          <w:p>
            <w:pPr>
              <w:pStyle w:val="TableParagraph"/>
              <w:spacing w:before="43"/>
              <w:ind w:right="89"/>
              <w:rPr>
                <w:sz w:val="16"/>
              </w:rPr>
            </w:pPr>
            <w:r>
              <w:rPr>
                <w:sz w:val="16"/>
              </w:rPr>
              <w:t>160-1000</w:t>
            </w:r>
          </w:p>
        </w:tc>
        <w:tc>
          <w:tcPr>
            <w:tcW w:w="1151" w:type="dxa"/>
          </w:tcPr>
          <w:p>
            <w:pPr>
              <w:pStyle w:val="TableParagraph"/>
              <w:spacing w:before="43"/>
              <w:ind w:right="155"/>
              <w:rPr>
                <w:sz w:val="16"/>
              </w:rPr>
            </w:pPr>
            <w:r>
              <w:rPr>
                <w:sz w:val="16"/>
              </w:rPr>
              <w:t>200-1000</w:t>
            </w:r>
          </w:p>
        </w:tc>
        <w:tc>
          <w:tcPr>
            <w:tcW w:w="1147" w:type="dxa"/>
          </w:tcPr>
          <w:p>
            <w:pPr>
              <w:pStyle w:val="TableParagraph"/>
              <w:spacing w:before="43"/>
              <w:ind w:right="217"/>
              <w:rPr>
                <w:sz w:val="16"/>
              </w:rPr>
            </w:pPr>
            <w:r>
              <w:rPr>
                <w:sz w:val="16"/>
              </w:rPr>
              <w:t>200-1000</w:t>
            </w:r>
          </w:p>
        </w:tc>
        <w:tc>
          <w:tcPr>
            <w:tcW w:w="1089" w:type="dxa"/>
          </w:tcPr>
          <w:p>
            <w:pPr>
              <w:pStyle w:val="TableParagraph"/>
              <w:spacing w:before="43"/>
              <w:ind w:right="221"/>
              <w:rPr>
                <w:sz w:val="16"/>
              </w:rPr>
            </w:pPr>
            <w:r>
              <w:rPr>
                <w:sz w:val="16"/>
              </w:rPr>
              <w:t>200-950</w:t>
            </w:r>
          </w:p>
        </w:tc>
        <w:tc>
          <w:tcPr>
            <w:tcW w:w="1081" w:type="dxa"/>
          </w:tcPr>
          <w:p>
            <w:pPr>
              <w:pStyle w:val="TableParagraph"/>
              <w:spacing w:before="43"/>
              <w:ind w:right="217"/>
              <w:rPr>
                <w:sz w:val="16"/>
              </w:rPr>
            </w:pPr>
            <w:r>
              <w:rPr>
                <w:sz w:val="16"/>
              </w:rPr>
              <w:t>200-1000</w:t>
            </w:r>
          </w:p>
        </w:tc>
        <w:tc>
          <w:tcPr>
            <w:tcW w:w="905" w:type="dxa"/>
          </w:tcPr>
          <w:p>
            <w:pPr>
              <w:pStyle w:val="TableParagraph"/>
              <w:spacing w:before="27"/>
              <w:ind w:right="36"/>
              <w:rPr>
                <w:rFonts w:ascii="宋体" w:eastAsia="宋体" w:hint="eastAsia"/>
                <w:sz w:val="16"/>
              </w:rPr>
            </w:pPr>
            <w:r>
              <w:rPr>
                <w:rFonts w:ascii="宋体" w:eastAsia="宋体" w:hint="eastAsia"/>
                <w:sz w:val="16"/>
              </w:rPr>
              <w:t>未披露</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2443" w:type="dxa"/>
          </w:tcPr>
          <w:p>
            <w:pPr>
              <w:pStyle w:val="TableParagraph"/>
              <w:spacing w:before="27"/>
              <w:ind w:left="27"/>
              <w:jc w:val="left"/>
              <w:rPr>
                <w:rFonts w:ascii="宋体" w:eastAsia="宋体" w:hint="eastAsia"/>
                <w:sz w:val="16"/>
              </w:rPr>
            </w:pPr>
            <w:r>
              <w:rPr>
                <w:rFonts w:ascii="宋体" w:eastAsia="宋体" w:hint="eastAsia"/>
                <w:sz w:val="16"/>
              </w:rPr>
              <w:t>单路</w:t>
            </w:r>
            <w:r>
              <w:rPr>
                <w:sz w:val="16"/>
              </w:rPr>
              <w:t xml:space="preserve">MPPT </w:t>
            </w:r>
            <w:r>
              <w:rPr>
                <w:rFonts w:ascii="宋体" w:eastAsia="宋体" w:hint="eastAsia"/>
                <w:sz w:val="16"/>
              </w:rPr>
              <w:t>最大输入电流（</w:t>
            </w:r>
            <w:r>
              <w:rPr>
                <w:sz w:val="16"/>
              </w:rPr>
              <w:t>A</w:t>
            </w:r>
            <w:r>
              <w:rPr>
                <w:rFonts w:ascii="宋体" w:eastAsia="宋体" w:hint="eastAsia"/>
                <w:sz w:val="16"/>
              </w:rPr>
              <w:t>）</w:t>
            </w:r>
          </w:p>
        </w:tc>
        <w:tc>
          <w:tcPr>
            <w:tcW w:w="1005" w:type="dxa"/>
          </w:tcPr>
          <w:p>
            <w:pPr>
              <w:pStyle w:val="TableParagraph"/>
              <w:spacing w:before="43"/>
              <w:ind w:right="64"/>
              <w:rPr>
                <w:sz w:val="16"/>
              </w:rPr>
            </w:pPr>
            <w:r>
              <w:rPr>
                <w:sz w:val="16"/>
              </w:rPr>
              <w:t>27</w:t>
            </w:r>
          </w:p>
        </w:tc>
        <w:tc>
          <w:tcPr>
            <w:tcW w:w="1111" w:type="dxa"/>
          </w:tcPr>
          <w:p>
            <w:pPr>
              <w:pStyle w:val="TableParagraph"/>
              <w:spacing w:before="43"/>
              <w:ind w:right="89"/>
              <w:rPr>
                <w:sz w:val="16"/>
              </w:rPr>
            </w:pPr>
            <w:r>
              <w:rPr>
                <w:sz w:val="16"/>
              </w:rPr>
              <w:t>30</w:t>
            </w:r>
          </w:p>
        </w:tc>
        <w:tc>
          <w:tcPr>
            <w:tcW w:w="1151" w:type="dxa"/>
          </w:tcPr>
          <w:p>
            <w:pPr>
              <w:pStyle w:val="TableParagraph"/>
              <w:spacing w:before="43"/>
              <w:ind w:right="155"/>
              <w:rPr>
                <w:sz w:val="16"/>
              </w:rPr>
            </w:pPr>
            <w:r>
              <w:rPr>
                <w:sz w:val="16"/>
              </w:rPr>
              <w:t>32</w:t>
            </w:r>
          </w:p>
        </w:tc>
        <w:tc>
          <w:tcPr>
            <w:tcW w:w="1147" w:type="dxa"/>
          </w:tcPr>
          <w:p>
            <w:pPr>
              <w:pStyle w:val="TableParagraph"/>
              <w:spacing w:before="43"/>
              <w:ind w:right="217"/>
              <w:rPr>
                <w:sz w:val="16"/>
              </w:rPr>
            </w:pPr>
            <w:r>
              <w:rPr>
                <w:sz w:val="16"/>
              </w:rPr>
              <w:t>32</w:t>
            </w:r>
          </w:p>
        </w:tc>
        <w:tc>
          <w:tcPr>
            <w:tcW w:w="1089" w:type="dxa"/>
          </w:tcPr>
          <w:p>
            <w:pPr>
              <w:pStyle w:val="TableParagraph"/>
              <w:spacing w:before="43"/>
              <w:ind w:right="221"/>
              <w:rPr>
                <w:sz w:val="16"/>
              </w:rPr>
            </w:pPr>
            <w:r>
              <w:rPr>
                <w:sz w:val="16"/>
              </w:rPr>
              <w:t>30</w:t>
            </w:r>
          </w:p>
        </w:tc>
        <w:tc>
          <w:tcPr>
            <w:tcW w:w="1081" w:type="dxa"/>
          </w:tcPr>
          <w:p>
            <w:pPr>
              <w:pStyle w:val="TableParagraph"/>
              <w:spacing w:before="43"/>
              <w:ind w:right="217"/>
              <w:rPr>
                <w:sz w:val="16"/>
              </w:rPr>
            </w:pPr>
            <w:r>
              <w:rPr>
                <w:sz w:val="16"/>
              </w:rPr>
              <w:t>40</w:t>
            </w:r>
          </w:p>
        </w:tc>
        <w:tc>
          <w:tcPr>
            <w:tcW w:w="905" w:type="dxa"/>
          </w:tcPr>
          <w:p>
            <w:pPr>
              <w:pStyle w:val="TableParagraph"/>
              <w:spacing w:before="43"/>
              <w:ind w:right="35"/>
              <w:rPr>
                <w:sz w:val="16"/>
              </w:rPr>
            </w:pPr>
            <w:r>
              <w:rPr>
                <w:sz w:val="16"/>
              </w:rPr>
              <w:t>48.25</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2443" w:type="dxa"/>
          </w:tcPr>
          <w:p>
            <w:pPr>
              <w:pStyle w:val="TableParagraph"/>
              <w:spacing w:before="27"/>
              <w:ind w:left="27"/>
              <w:jc w:val="left"/>
              <w:rPr>
                <w:rFonts w:ascii="宋体" w:eastAsia="宋体" w:hint="eastAsia"/>
                <w:sz w:val="16"/>
              </w:rPr>
            </w:pPr>
            <w:r>
              <w:rPr>
                <w:rFonts w:ascii="宋体" w:eastAsia="宋体" w:hint="eastAsia"/>
                <w:sz w:val="16"/>
              </w:rPr>
              <w:t>重量（</w:t>
            </w:r>
            <w:r>
              <w:rPr>
                <w:sz w:val="16"/>
              </w:rPr>
              <w:t>kg</w:t>
            </w:r>
            <w:r>
              <w:rPr>
                <w:rFonts w:ascii="宋体" w:eastAsia="宋体" w:hint="eastAsia"/>
                <w:sz w:val="16"/>
              </w:rPr>
              <w:t>）</w:t>
            </w:r>
          </w:p>
        </w:tc>
        <w:tc>
          <w:tcPr>
            <w:tcW w:w="1005" w:type="dxa"/>
          </w:tcPr>
          <w:p>
            <w:pPr>
              <w:pStyle w:val="TableParagraph"/>
              <w:spacing w:before="43"/>
              <w:ind w:right="64"/>
              <w:rPr>
                <w:sz w:val="16"/>
              </w:rPr>
            </w:pPr>
            <w:r>
              <w:rPr>
                <w:sz w:val="16"/>
              </w:rPr>
              <w:t>43</w:t>
            </w:r>
          </w:p>
        </w:tc>
        <w:tc>
          <w:tcPr>
            <w:tcW w:w="1111" w:type="dxa"/>
          </w:tcPr>
          <w:p>
            <w:pPr>
              <w:pStyle w:val="TableParagraph"/>
              <w:spacing w:before="43"/>
              <w:ind w:right="89"/>
              <w:rPr>
                <w:sz w:val="16"/>
              </w:rPr>
            </w:pPr>
            <w:r>
              <w:rPr>
                <w:sz w:val="16"/>
              </w:rPr>
              <w:t>35</w:t>
            </w:r>
          </w:p>
        </w:tc>
        <w:tc>
          <w:tcPr>
            <w:tcW w:w="1151" w:type="dxa"/>
          </w:tcPr>
          <w:p>
            <w:pPr>
              <w:pStyle w:val="TableParagraph"/>
              <w:spacing w:before="43"/>
              <w:ind w:right="155"/>
              <w:rPr>
                <w:sz w:val="16"/>
              </w:rPr>
            </w:pPr>
            <w:r>
              <w:rPr>
                <w:sz w:val="16"/>
              </w:rPr>
              <w:t>37</w:t>
            </w:r>
          </w:p>
        </w:tc>
        <w:tc>
          <w:tcPr>
            <w:tcW w:w="1147" w:type="dxa"/>
          </w:tcPr>
          <w:p>
            <w:pPr>
              <w:pStyle w:val="TableParagraph"/>
              <w:spacing w:before="43"/>
              <w:ind w:right="217"/>
              <w:rPr>
                <w:sz w:val="16"/>
              </w:rPr>
            </w:pPr>
            <w:r>
              <w:rPr>
                <w:sz w:val="16"/>
              </w:rPr>
              <w:t>37</w:t>
            </w:r>
          </w:p>
        </w:tc>
        <w:tc>
          <w:tcPr>
            <w:tcW w:w="1089" w:type="dxa"/>
          </w:tcPr>
          <w:p>
            <w:pPr>
              <w:pStyle w:val="TableParagraph"/>
              <w:spacing w:before="43"/>
              <w:ind w:right="221"/>
              <w:rPr>
                <w:sz w:val="16"/>
              </w:rPr>
            </w:pPr>
            <w:r>
              <w:rPr>
                <w:sz w:val="16"/>
              </w:rPr>
              <w:t>42</w:t>
            </w:r>
          </w:p>
        </w:tc>
        <w:tc>
          <w:tcPr>
            <w:tcW w:w="1081" w:type="dxa"/>
          </w:tcPr>
          <w:p>
            <w:pPr>
              <w:pStyle w:val="TableParagraph"/>
              <w:spacing w:before="43"/>
              <w:ind w:right="217"/>
              <w:rPr>
                <w:sz w:val="16"/>
              </w:rPr>
            </w:pPr>
            <w:r>
              <w:rPr>
                <w:sz w:val="16"/>
              </w:rPr>
              <w:t>32</w:t>
            </w:r>
          </w:p>
        </w:tc>
        <w:tc>
          <w:tcPr>
            <w:tcW w:w="905" w:type="dxa"/>
          </w:tcPr>
          <w:p>
            <w:pPr>
              <w:pStyle w:val="TableParagraph"/>
              <w:spacing w:before="43"/>
              <w:ind w:right="35"/>
              <w:rPr>
                <w:sz w:val="16"/>
              </w:rPr>
            </w:pPr>
            <w:r>
              <w:rPr>
                <w:sz w:val="16"/>
              </w:rPr>
              <w:t>32</w:t>
            </w:r>
          </w:p>
        </w:tc>
      </w:tr>
      <w:tr>
        <w:tblPrEx>
          <w:tblW w:w="0" w:type="auto"/>
          <w:jc w:val="left"/>
          <w:tblInd w:w="1158" w:type="dxa"/>
          <w:tblLayout w:type="fixed"/>
          <w:tblCellMar>
            <w:top w:w="0" w:type="dxa"/>
            <w:left w:w="0" w:type="dxa"/>
            <w:bottom w:w="0" w:type="dxa"/>
            <w:right w:w="0" w:type="dxa"/>
          </w:tblCellMar>
          <w:tblLook w:val="01E0"/>
        </w:tblPrEx>
        <w:trPr>
          <w:trHeight w:val="278"/>
          <w:jc w:val="left"/>
        </w:trPr>
        <w:tc>
          <w:tcPr>
            <w:tcW w:w="2443" w:type="dxa"/>
            <w:tcBorders>
              <w:bottom w:val="single" w:sz="4" w:space="0" w:color="000000"/>
            </w:tcBorders>
          </w:tcPr>
          <w:p>
            <w:pPr>
              <w:pStyle w:val="TableParagraph"/>
              <w:spacing w:before="27"/>
              <w:ind w:left="27"/>
              <w:jc w:val="left"/>
              <w:rPr>
                <w:rFonts w:ascii="宋体" w:eastAsia="宋体" w:hint="eastAsia"/>
                <w:sz w:val="16"/>
              </w:rPr>
            </w:pPr>
            <w:r>
              <w:rPr>
                <w:rFonts w:ascii="宋体" w:eastAsia="宋体" w:hint="eastAsia"/>
                <w:sz w:val="16"/>
              </w:rPr>
              <w:t>功率密度（</w:t>
            </w:r>
            <w:r>
              <w:rPr>
                <w:sz w:val="16"/>
              </w:rPr>
              <w:t>kW/kg</w:t>
            </w:r>
            <w:r>
              <w:rPr>
                <w:rFonts w:ascii="宋体" w:eastAsia="宋体" w:hint="eastAsia"/>
                <w:sz w:val="16"/>
              </w:rPr>
              <w:t>）</w:t>
            </w:r>
          </w:p>
        </w:tc>
        <w:tc>
          <w:tcPr>
            <w:tcW w:w="1005" w:type="dxa"/>
            <w:tcBorders>
              <w:bottom w:val="single" w:sz="4" w:space="0" w:color="000000"/>
            </w:tcBorders>
          </w:tcPr>
          <w:p>
            <w:pPr>
              <w:pStyle w:val="TableParagraph"/>
              <w:spacing w:before="43"/>
              <w:ind w:right="64"/>
              <w:rPr>
                <w:sz w:val="16"/>
              </w:rPr>
            </w:pPr>
            <w:r>
              <w:rPr>
                <w:sz w:val="16"/>
              </w:rPr>
              <w:t>0.93</w:t>
            </w:r>
          </w:p>
        </w:tc>
        <w:tc>
          <w:tcPr>
            <w:tcW w:w="1111" w:type="dxa"/>
            <w:tcBorders>
              <w:bottom w:val="single" w:sz="4" w:space="0" w:color="000000"/>
            </w:tcBorders>
          </w:tcPr>
          <w:p>
            <w:pPr>
              <w:pStyle w:val="TableParagraph"/>
              <w:spacing w:before="43"/>
              <w:ind w:right="89"/>
              <w:rPr>
                <w:sz w:val="16"/>
              </w:rPr>
            </w:pPr>
            <w:r>
              <w:rPr>
                <w:sz w:val="16"/>
              </w:rPr>
              <w:t>1.14</w:t>
            </w:r>
          </w:p>
        </w:tc>
        <w:tc>
          <w:tcPr>
            <w:tcW w:w="1151" w:type="dxa"/>
            <w:tcBorders>
              <w:bottom w:val="single" w:sz="4" w:space="0" w:color="000000"/>
            </w:tcBorders>
          </w:tcPr>
          <w:p>
            <w:pPr>
              <w:pStyle w:val="TableParagraph"/>
              <w:spacing w:before="43"/>
              <w:ind w:right="155"/>
              <w:rPr>
                <w:sz w:val="16"/>
              </w:rPr>
            </w:pPr>
            <w:r>
              <w:rPr>
                <w:sz w:val="16"/>
              </w:rPr>
              <w:t>1.08</w:t>
            </w:r>
          </w:p>
        </w:tc>
        <w:tc>
          <w:tcPr>
            <w:tcW w:w="1147" w:type="dxa"/>
            <w:tcBorders>
              <w:bottom w:val="single" w:sz="4" w:space="0" w:color="000000"/>
            </w:tcBorders>
          </w:tcPr>
          <w:p>
            <w:pPr>
              <w:pStyle w:val="TableParagraph"/>
              <w:spacing w:before="43"/>
              <w:ind w:right="217"/>
              <w:rPr>
                <w:sz w:val="16"/>
              </w:rPr>
            </w:pPr>
            <w:r>
              <w:rPr>
                <w:sz w:val="16"/>
              </w:rPr>
              <w:t>1.08</w:t>
            </w:r>
          </w:p>
        </w:tc>
        <w:tc>
          <w:tcPr>
            <w:tcW w:w="1089" w:type="dxa"/>
            <w:tcBorders>
              <w:bottom w:val="single" w:sz="4" w:space="0" w:color="000000"/>
            </w:tcBorders>
          </w:tcPr>
          <w:p>
            <w:pPr>
              <w:pStyle w:val="TableParagraph"/>
              <w:spacing w:before="43"/>
              <w:ind w:right="221"/>
              <w:rPr>
                <w:sz w:val="16"/>
              </w:rPr>
            </w:pPr>
            <w:r>
              <w:rPr>
                <w:sz w:val="16"/>
              </w:rPr>
              <w:t>0.95</w:t>
            </w:r>
          </w:p>
        </w:tc>
        <w:tc>
          <w:tcPr>
            <w:tcW w:w="1081" w:type="dxa"/>
            <w:tcBorders>
              <w:bottom w:val="single" w:sz="4" w:space="0" w:color="000000"/>
            </w:tcBorders>
          </w:tcPr>
          <w:p>
            <w:pPr>
              <w:pStyle w:val="TableParagraph"/>
              <w:spacing w:before="43"/>
              <w:ind w:right="217"/>
              <w:rPr>
                <w:sz w:val="16"/>
              </w:rPr>
            </w:pPr>
            <w:r>
              <w:rPr>
                <w:sz w:val="16"/>
              </w:rPr>
              <w:t>1.25</w:t>
            </w:r>
          </w:p>
        </w:tc>
        <w:tc>
          <w:tcPr>
            <w:tcW w:w="905" w:type="dxa"/>
            <w:tcBorders>
              <w:bottom w:val="single" w:sz="4" w:space="0" w:color="000000"/>
            </w:tcBorders>
          </w:tcPr>
          <w:p>
            <w:pPr>
              <w:pStyle w:val="TableParagraph"/>
              <w:spacing w:before="43"/>
              <w:ind w:right="35"/>
              <w:rPr>
                <w:sz w:val="16"/>
              </w:rPr>
            </w:pPr>
            <w:r>
              <w:rPr>
                <w:sz w:val="16"/>
              </w:rPr>
              <w:t>1.25</w:t>
            </w:r>
          </w:p>
        </w:tc>
      </w:tr>
      <w:tr>
        <w:tblPrEx>
          <w:tblW w:w="0" w:type="auto"/>
          <w:jc w:val="left"/>
          <w:tblInd w:w="1158" w:type="dxa"/>
          <w:tblLayout w:type="fixed"/>
          <w:tblCellMar>
            <w:top w:w="0" w:type="dxa"/>
            <w:left w:w="0" w:type="dxa"/>
            <w:bottom w:w="0" w:type="dxa"/>
            <w:right w:w="0" w:type="dxa"/>
          </w:tblCellMar>
          <w:tblLook w:val="01E0"/>
        </w:tblPrEx>
        <w:trPr>
          <w:trHeight w:val="173"/>
          <w:jc w:val="left"/>
        </w:trPr>
        <w:tc>
          <w:tcPr>
            <w:tcW w:w="2443" w:type="dxa"/>
            <w:tcBorders>
              <w:top w:val="single" w:sz="4" w:space="0" w:color="000000"/>
            </w:tcBorders>
          </w:tcPr>
          <w:p>
            <w:pPr>
              <w:pStyle w:val="TableParagraph"/>
              <w:spacing w:line="154" w:lineRule="exact"/>
              <w:ind w:left="-1"/>
              <w:jc w:val="left"/>
              <w:rPr>
                <w:rFonts w:ascii="宋体" w:eastAsia="宋体" w:hint="eastAsia"/>
                <w:sz w:val="15"/>
              </w:rPr>
            </w:pPr>
            <w:r>
              <w:rPr>
                <w:rFonts w:ascii="宋体" w:eastAsia="宋体" w:hint="eastAsia"/>
                <w:sz w:val="15"/>
              </w:rPr>
              <w:t>资料来源：公司资料，交银国际</w:t>
            </w:r>
          </w:p>
        </w:tc>
        <w:tc>
          <w:tcPr>
            <w:tcW w:w="1005" w:type="dxa"/>
            <w:tcBorders>
              <w:top w:val="single" w:sz="4" w:space="0" w:color="000000"/>
            </w:tcBorders>
          </w:tcPr>
          <w:p>
            <w:pPr>
              <w:pStyle w:val="TableParagraph"/>
              <w:jc w:val="left"/>
              <w:rPr>
                <w:rFonts w:ascii="Times New Roman"/>
                <w:sz w:val="10"/>
              </w:rPr>
            </w:pPr>
          </w:p>
        </w:tc>
        <w:tc>
          <w:tcPr>
            <w:tcW w:w="1111" w:type="dxa"/>
            <w:tcBorders>
              <w:top w:val="single" w:sz="4" w:space="0" w:color="000000"/>
            </w:tcBorders>
          </w:tcPr>
          <w:p>
            <w:pPr>
              <w:pStyle w:val="TableParagraph"/>
              <w:jc w:val="left"/>
              <w:rPr>
                <w:rFonts w:ascii="Times New Roman"/>
                <w:sz w:val="10"/>
              </w:rPr>
            </w:pPr>
          </w:p>
        </w:tc>
        <w:tc>
          <w:tcPr>
            <w:tcW w:w="1151" w:type="dxa"/>
            <w:tcBorders>
              <w:top w:val="single" w:sz="4" w:space="0" w:color="000000"/>
            </w:tcBorders>
          </w:tcPr>
          <w:p>
            <w:pPr>
              <w:pStyle w:val="TableParagraph"/>
              <w:jc w:val="left"/>
              <w:rPr>
                <w:rFonts w:ascii="Times New Roman"/>
                <w:sz w:val="10"/>
              </w:rPr>
            </w:pPr>
          </w:p>
        </w:tc>
        <w:tc>
          <w:tcPr>
            <w:tcW w:w="1147" w:type="dxa"/>
            <w:tcBorders>
              <w:top w:val="single" w:sz="4" w:space="0" w:color="000000"/>
            </w:tcBorders>
          </w:tcPr>
          <w:p>
            <w:pPr>
              <w:pStyle w:val="TableParagraph"/>
              <w:jc w:val="left"/>
              <w:rPr>
                <w:rFonts w:ascii="Times New Roman"/>
                <w:sz w:val="10"/>
              </w:rPr>
            </w:pPr>
          </w:p>
        </w:tc>
        <w:tc>
          <w:tcPr>
            <w:tcW w:w="1089" w:type="dxa"/>
            <w:tcBorders>
              <w:top w:val="single" w:sz="4" w:space="0" w:color="000000"/>
            </w:tcBorders>
          </w:tcPr>
          <w:p>
            <w:pPr>
              <w:pStyle w:val="TableParagraph"/>
              <w:jc w:val="left"/>
              <w:rPr>
                <w:rFonts w:ascii="Times New Roman"/>
                <w:sz w:val="10"/>
              </w:rPr>
            </w:pPr>
          </w:p>
        </w:tc>
        <w:tc>
          <w:tcPr>
            <w:tcW w:w="1081" w:type="dxa"/>
            <w:tcBorders>
              <w:top w:val="single" w:sz="4" w:space="0" w:color="000000"/>
            </w:tcBorders>
          </w:tcPr>
          <w:p>
            <w:pPr>
              <w:pStyle w:val="TableParagraph"/>
              <w:jc w:val="left"/>
              <w:rPr>
                <w:rFonts w:ascii="Times New Roman"/>
                <w:sz w:val="10"/>
              </w:rPr>
            </w:pPr>
          </w:p>
        </w:tc>
        <w:tc>
          <w:tcPr>
            <w:tcW w:w="905" w:type="dxa"/>
            <w:tcBorders>
              <w:top w:val="single" w:sz="4" w:space="0" w:color="000000"/>
            </w:tcBorders>
          </w:tcPr>
          <w:p>
            <w:pPr>
              <w:pStyle w:val="TableParagraph"/>
              <w:jc w:val="left"/>
              <w:rPr>
                <w:rFonts w:ascii="Times New Roman"/>
                <w:sz w:val="10"/>
              </w:rPr>
            </w:pPr>
          </w:p>
        </w:tc>
      </w:tr>
    </w:tbl>
    <w:p>
      <w:pPr>
        <w:pStyle w:val="BodyText"/>
        <w:spacing w:before="1"/>
        <w:rPr>
          <w:rFonts w:ascii="Microsoft JhengHei"/>
          <w:b/>
          <w:sz w:val="11"/>
        </w:rPr>
      </w:pPr>
    </w:p>
    <w:p>
      <w:pPr>
        <w:pStyle w:val="Heading2"/>
        <w:spacing w:line="240" w:lineRule="auto"/>
      </w:pPr>
      <w:bookmarkStart w:id="16" w:name="_TOC_250002"/>
      <w:bookmarkEnd w:id="16"/>
      <w:r>
        <w:rPr>
          <w:color w:val="59A1AE"/>
        </w:rPr>
        <w:t>组串式为主流，单台功率将持续提升</w:t>
      </w:r>
    </w:p>
    <w:p>
      <w:pPr>
        <w:pStyle w:val="BodyText"/>
        <w:spacing w:before="92"/>
        <w:ind w:left="1151"/>
        <w:rPr>
          <w:rFonts w:ascii="Calibri" w:eastAsia="Calibri"/>
        </w:rPr>
      </w:pPr>
      <w:r>
        <w:rPr>
          <w:color w:val="262626"/>
        </w:rPr>
        <w:t>按照技术路线，光伏逆变器可分为</w:t>
      </w:r>
      <w:r>
        <w:rPr>
          <w:rFonts w:ascii="Calibri" w:eastAsia="Calibri"/>
          <w:color w:val="262626"/>
        </w:rPr>
        <w:t>:</w:t>
      </w:r>
    </w:p>
    <w:p>
      <w:pPr>
        <w:pStyle w:val="ListParagraph"/>
        <w:numPr>
          <w:ilvl w:val="0"/>
          <w:numId w:val="2"/>
        </w:numPr>
        <w:tabs>
          <w:tab w:val="left" w:pos="1510"/>
          <w:tab w:val="left" w:pos="1511"/>
        </w:tabs>
        <w:spacing w:before="151" w:after="0" w:line="196" w:lineRule="auto"/>
        <w:ind w:left="1511" w:right="3913" w:hanging="360"/>
        <w:jc w:val="left"/>
        <w:rPr>
          <w:sz w:val="21"/>
        </w:rPr>
      </w:pPr>
      <w:r>
        <w:rPr>
          <w:rFonts w:ascii="Microsoft JhengHei" w:eastAsia="Microsoft JhengHei" w:hint="eastAsia"/>
          <w:b/>
          <w:color w:val="262626"/>
          <w:sz w:val="21"/>
        </w:rPr>
        <w:t>集中式逆变器</w:t>
      </w:r>
      <w:r>
        <w:rPr>
          <w:rFonts w:ascii="Calibri" w:eastAsia="Calibri"/>
          <w:b/>
          <w:color w:val="262626"/>
          <w:spacing w:val="12"/>
          <w:sz w:val="21"/>
        </w:rPr>
        <w:t xml:space="preserve">: </w:t>
      </w:r>
      <w:r>
        <w:rPr>
          <w:color w:val="262626"/>
          <w:spacing w:val="-6"/>
          <w:sz w:val="21"/>
        </w:rPr>
        <w:t xml:space="preserve">采用集中 </w:t>
      </w:r>
      <w:r>
        <w:rPr>
          <w:rFonts w:ascii="Calibri" w:eastAsia="Calibri"/>
          <w:color w:val="262626"/>
          <w:sz w:val="21"/>
        </w:rPr>
        <w:t>MPPT</w:t>
      </w:r>
      <w:r>
        <w:rPr>
          <w:color w:val="262626"/>
          <w:sz w:val="21"/>
        </w:rPr>
        <w:t>，集中并网方式优势为更成熟的技术及更低的初始投资成本。主要应用于集中式大型地面电站，单台功率较大。</w:t>
      </w:r>
    </w:p>
    <w:p>
      <w:pPr>
        <w:pStyle w:val="ListParagraph"/>
        <w:numPr>
          <w:ilvl w:val="0"/>
          <w:numId w:val="2"/>
        </w:numPr>
        <w:tabs>
          <w:tab w:val="left" w:pos="1510"/>
          <w:tab w:val="left" w:pos="1511"/>
        </w:tabs>
        <w:spacing w:before="113" w:after="0" w:line="358" w:lineRule="exact"/>
        <w:ind w:left="1510" w:right="0" w:hanging="360"/>
        <w:jc w:val="left"/>
        <w:rPr>
          <w:sz w:val="21"/>
        </w:rPr>
      </w:pPr>
      <w:r>
        <w:rPr>
          <w:rFonts w:ascii="Microsoft JhengHei" w:eastAsia="Microsoft JhengHei" w:hint="eastAsia"/>
          <w:b/>
          <w:color w:val="262626"/>
          <w:sz w:val="21"/>
        </w:rPr>
        <w:t>组串式逆变器</w:t>
      </w:r>
      <w:r>
        <w:rPr>
          <w:rFonts w:ascii="Calibri" w:eastAsia="Calibri"/>
          <w:b/>
          <w:color w:val="262626"/>
          <w:sz w:val="21"/>
        </w:rPr>
        <w:t xml:space="preserve">: </w:t>
      </w:r>
      <w:r>
        <w:rPr>
          <w:color w:val="262626"/>
          <w:spacing w:val="-6"/>
          <w:sz w:val="21"/>
        </w:rPr>
        <w:t xml:space="preserve">主要优势在于其多路 </w:t>
      </w:r>
      <w:r>
        <w:rPr>
          <w:rFonts w:ascii="Calibri" w:eastAsia="Calibri"/>
          <w:color w:val="262626"/>
          <w:sz w:val="21"/>
        </w:rPr>
        <w:t xml:space="preserve">MPPT </w:t>
      </w:r>
      <w:r>
        <w:rPr>
          <w:color w:val="262626"/>
          <w:sz w:val="21"/>
        </w:rPr>
        <w:t>功能，配置灵活，智能化程度高</w:t>
      </w:r>
    </w:p>
    <w:p>
      <w:pPr>
        <w:pStyle w:val="BodyText"/>
        <w:spacing w:line="236" w:lineRule="exact"/>
        <w:ind w:left="1511"/>
      </w:pPr>
      <w:r>
        <w:rPr>
          <w:color w:val="262626"/>
        </w:rPr>
        <w:t>，一旦逆变器出现故障，对发电量带来的损失更小，可应用于户用电站、</w:t>
      </w:r>
    </w:p>
    <w:p>
      <w:pPr>
        <w:pStyle w:val="BodyText"/>
        <w:spacing w:line="260" w:lineRule="exact"/>
        <w:ind w:left="1511"/>
      </w:pPr>
      <w:r>
        <w:rPr>
          <w:color w:val="262626"/>
        </w:rPr>
        <w:t>工商业电站及地面电站等各种场景，应用场景广泛，单台功率低于集中式</w:t>
      </w:r>
    </w:p>
    <w:p>
      <w:pPr>
        <w:pStyle w:val="BodyText"/>
        <w:spacing w:line="265" w:lineRule="exact"/>
        <w:ind w:left="1511"/>
      </w:pPr>
      <w:r>
        <w:rPr>
          <w:color w:val="262626"/>
        </w:rPr>
        <w:t>。</w:t>
      </w:r>
    </w:p>
    <w:p>
      <w:pPr>
        <w:pStyle w:val="ListParagraph"/>
        <w:numPr>
          <w:ilvl w:val="0"/>
          <w:numId w:val="2"/>
        </w:numPr>
        <w:tabs>
          <w:tab w:val="left" w:pos="1511"/>
        </w:tabs>
        <w:spacing w:before="101" w:after="0" w:line="240" w:lineRule="auto"/>
        <w:ind w:left="1510" w:right="0" w:hanging="360"/>
        <w:jc w:val="both"/>
        <w:rPr>
          <w:sz w:val="21"/>
        </w:rPr>
      </w:pPr>
      <w:r>
        <w:rPr>
          <w:rFonts w:ascii="Microsoft JhengHei" w:eastAsia="Microsoft JhengHei" w:hint="eastAsia"/>
          <w:b/>
          <w:color w:val="262626"/>
          <w:spacing w:val="-2"/>
          <w:sz w:val="21"/>
        </w:rPr>
        <w:t>集散式逆变器</w:t>
      </w:r>
      <w:r>
        <w:rPr>
          <w:rFonts w:ascii="Calibri" w:eastAsia="Calibri"/>
          <w:b/>
          <w:color w:val="262626"/>
          <w:sz w:val="21"/>
        </w:rPr>
        <w:t xml:space="preserve">: </w:t>
      </w:r>
      <w:r>
        <w:rPr>
          <w:color w:val="262626"/>
          <w:sz w:val="21"/>
        </w:rPr>
        <w:t>目前市场份额较小，功能介于集中式和组串式逆变器之间。</w:t>
      </w:r>
    </w:p>
    <w:p>
      <w:pPr>
        <w:pStyle w:val="ListParagraph"/>
        <w:numPr>
          <w:ilvl w:val="0"/>
          <w:numId w:val="2"/>
        </w:numPr>
        <w:tabs>
          <w:tab w:val="left" w:pos="1511"/>
        </w:tabs>
        <w:spacing w:before="85" w:after="0" w:line="213" w:lineRule="auto"/>
        <w:ind w:left="1511" w:right="3911" w:hanging="360"/>
        <w:jc w:val="both"/>
        <w:rPr>
          <w:sz w:val="21"/>
        </w:rPr>
      </w:pPr>
      <w:r>
        <w:rPr>
          <w:rFonts w:ascii="Microsoft JhengHei" w:eastAsia="Microsoft JhengHei" w:hint="eastAsia"/>
          <w:b/>
          <w:color w:val="262626"/>
          <w:sz w:val="21"/>
        </w:rPr>
        <w:t>微型逆变器</w:t>
      </w:r>
      <w:r>
        <w:rPr>
          <w:rFonts w:ascii="Calibri" w:eastAsia="Calibri"/>
          <w:b/>
          <w:color w:val="262626"/>
          <w:sz w:val="21"/>
        </w:rPr>
        <w:t xml:space="preserve">: </w:t>
      </w:r>
      <w:r>
        <w:rPr>
          <w:color w:val="262626"/>
          <w:spacing w:val="-5"/>
          <w:sz w:val="21"/>
        </w:rPr>
        <w:t xml:space="preserve">可以对每块组件进行独立 </w:t>
      </w:r>
      <w:r>
        <w:rPr>
          <w:rFonts w:ascii="Calibri" w:eastAsia="Calibri"/>
          <w:color w:val="262626"/>
          <w:sz w:val="21"/>
        </w:rPr>
        <w:t xml:space="preserve">MPPT </w:t>
      </w:r>
      <w:r>
        <w:rPr>
          <w:color w:val="262626"/>
          <w:sz w:val="21"/>
        </w:rPr>
        <w:t>控制，实现组件级关断，安全性较高，但相应单台功率最小，单位功率成本较高，不适用于大规模的发电场景，仅适用于户用场景。</w:t>
      </w:r>
    </w:p>
    <w:p>
      <w:pPr>
        <w:spacing w:after="0" w:line="213" w:lineRule="auto"/>
        <w:jc w:val="both"/>
        <w:rPr>
          <w:sz w:val="21"/>
        </w:rPr>
        <w:sectPr>
          <w:headerReference w:type="default" r:id="rId144"/>
          <w:footerReference w:type="default" r:id="rId145"/>
          <w:pgSz w:w="12240" w:h="15840"/>
          <w:pgMar w:top="1720" w:right="0" w:bottom="1380" w:left="0" w:header="708" w:footer="708"/>
          <w:pgNumType w:start="50"/>
          <w:cols w:space="708"/>
        </w:sectPr>
      </w:pPr>
    </w:p>
    <w:p>
      <w:pPr>
        <w:pStyle w:val="BodyText"/>
        <w:rPr>
          <w:sz w:val="20"/>
        </w:rPr>
      </w:pPr>
    </w:p>
    <w:p>
      <w:pPr>
        <w:pStyle w:val="BodyText"/>
        <w:spacing w:before="5"/>
        <w:rPr>
          <w:sz w:val="23"/>
        </w:rPr>
      </w:pPr>
    </w:p>
    <w:p>
      <w:pPr>
        <w:pStyle w:val="BodyText"/>
        <w:spacing w:before="58"/>
        <w:ind w:left="1151"/>
      </w:pPr>
      <w:r>
        <w:rPr>
          <w:color w:val="262626"/>
        </w:rPr>
        <w:t>光伏逆变器按功能分类：</w:t>
      </w:r>
    </w:p>
    <w:p>
      <w:pPr>
        <w:pStyle w:val="ListParagraph"/>
        <w:numPr>
          <w:ilvl w:val="0"/>
          <w:numId w:val="1"/>
        </w:numPr>
        <w:tabs>
          <w:tab w:val="left" w:pos="1510"/>
          <w:tab w:val="left" w:pos="1511"/>
        </w:tabs>
        <w:spacing w:before="102" w:after="0" w:line="358" w:lineRule="exact"/>
        <w:ind w:left="1510" w:right="0" w:hanging="360"/>
        <w:jc w:val="left"/>
        <w:rPr>
          <w:sz w:val="21"/>
        </w:rPr>
      </w:pPr>
      <w:r>
        <w:rPr>
          <w:color w:val="262626"/>
          <w:spacing w:val="3"/>
          <w:sz w:val="21"/>
        </w:rPr>
        <w:t>按照</w:t>
      </w:r>
      <w:r>
        <w:rPr>
          <w:rFonts w:ascii="Microsoft JhengHei" w:eastAsia="Microsoft JhengHei" w:hint="eastAsia"/>
          <w:b/>
          <w:color w:val="262626"/>
          <w:sz w:val="21"/>
        </w:rPr>
        <w:t>电力是否能够储存</w:t>
      </w:r>
      <w:r>
        <w:rPr>
          <w:color w:val="262626"/>
          <w:sz w:val="21"/>
        </w:rPr>
        <w:t>，光伏逆变器可分为并网逆变器和储能逆变器（即</w:t>
      </w:r>
    </w:p>
    <w:p>
      <w:pPr>
        <w:pStyle w:val="BodyText"/>
        <w:spacing w:line="241" w:lineRule="exact"/>
        <w:ind w:left="1511"/>
      </w:pPr>
      <w:r>
        <w:rPr>
          <w:rFonts w:ascii="Calibri" w:eastAsia="Calibri"/>
          <w:color w:val="262626"/>
        </w:rPr>
        <w:t>PCS</w:t>
      </w:r>
      <w:r>
        <w:rPr>
          <w:color w:val="262626"/>
        </w:rPr>
        <w:t>）。</w:t>
      </w:r>
    </w:p>
    <w:p>
      <w:pPr>
        <w:pStyle w:val="ListParagraph"/>
        <w:numPr>
          <w:ilvl w:val="0"/>
          <w:numId w:val="1"/>
        </w:numPr>
        <w:tabs>
          <w:tab w:val="left" w:pos="1510"/>
          <w:tab w:val="left" w:pos="1511"/>
        </w:tabs>
        <w:spacing w:before="101" w:after="0" w:line="358" w:lineRule="exact"/>
        <w:ind w:left="1510" w:right="0" w:hanging="360"/>
        <w:jc w:val="left"/>
        <w:rPr>
          <w:sz w:val="21"/>
        </w:rPr>
      </w:pPr>
      <w:r>
        <w:rPr>
          <w:color w:val="262626"/>
          <w:spacing w:val="3"/>
          <w:sz w:val="21"/>
        </w:rPr>
        <w:t>按照</w:t>
      </w:r>
      <w:r>
        <w:rPr>
          <w:rFonts w:ascii="Microsoft JhengHei" w:eastAsia="Microsoft JhengHei" w:hint="eastAsia"/>
          <w:b/>
          <w:color w:val="262626"/>
          <w:sz w:val="21"/>
        </w:rPr>
        <w:t>输出交流电的相数</w:t>
      </w:r>
      <w:r>
        <w:rPr>
          <w:color w:val="262626"/>
          <w:sz w:val="21"/>
        </w:rPr>
        <w:t>分类，光伏逆变器可分为单相逆变器和三相逆变器</w:t>
      </w:r>
    </w:p>
    <w:p>
      <w:pPr>
        <w:pStyle w:val="BodyText"/>
        <w:spacing w:line="236" w:lineRule="exact"/>
        <w:ind w:left="1511"/>
      </w:pPr>
      <w:r>
        <w:rPr>
          <w:color w:val="262626"/>
        </w:rPr>
        <w:t>，逆变器输出相数主要由其接入的电网类型决定，单相逆变器以小功率户</w:t>
      </w:r>
    </w:p>
    <w:p>
      <w:pPr>
        <w:pStyle w:val="BodyText"/>
        <w:spacing w:line="265" w:lineRule="exact"/>
        <w:ind w:left="1511"/>
      </w:pPr>
      <w:r>
        <w:rPr>
          <w:color w:val="262626"/>
        </w:rPr>
        <w:t>用逆变器为主，三相逆变器主要为功率较大的工商业及户用逆变器。</w:t>
      </w:r>
    </w:p>
    <w:p>
      <w:pPr>
        <w:pStyle w:val="ListParagraph"/>
        <w:numPr>
          <w:ilvl w:val="0"/>
          <w:numId w:val="1"/>
        </w:numPr>
        <w:tabs>
          <w:tab w:val="left" w:pos="1510"/>
          <w:tab w:val="left" w:pos="1511"/>
        </w:tabs>
        <w:spacing w:before="152" w:after="0" w:line="196" w:lineRule="auto"/>
        <w:ind w:left="1511" w:right="3911" w:hanging="360"/>
        <w:jc w:val="left"/>
        <w:rPr>
          <w:sz w:val="21"/>
        </w:rPr>
      </w:pPr>
      <w:r>
        <w:rPr>
          <w:color w:val="262626"/>
          <w:spacing w:val="3"/>
          <w:sz w:val="21"/>
        </w:rPr>
        <w:t>按照</w:t>
      </w:r>
      <w:r>
        <w:rPr>
          <w:rFonts w:ascii="Microsoft JhengHei" w:eastAsia="Microsoft JhengHei" w:hint="eastAsia"/>
          <w:b/>
          <w:color w:val="262626"/>
          <w:spacing w:val="1"/>
          <w:sz w:val="21"/>
        </w:rPr>
        <w:t>应用场景</w:t>
      </w:r>
      <w:r>
        <w:rPr>
          <w:color w:val="262626"/>
          <w:sz w:val="21"/>
        </w:rPr>
        <w:t>，光伏逆变器可分为户用逆变器、工商业逆变器、地面电站逆变器。</w:t>
      </w:r>
    </w:p>
    <w:p>
      <w:pPr>
        <w:pStyle w:val="Heading3"/>
        <w:spacing w:before="90"/>
      </w:pPr>
      <w:r>
        <w:t>图表</w:t>
      </w:r>
      <w:r>
        <w:rPr>
          <w:rFonts w:ascii="Calibri" w:eastAsia="Calibri"/>
        </w:rPr>
        <w:t>42:</w:t>
      </w:r>
      <w:r>
        <w:t>不同技术路线逆变器对比</w:t>
      </w:r>
    </w:p>
    <w:tbl>
      <w:tblPr>
        <w:tblStyle w:val="TableNormal6"/>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84"/>
        <w:gridCol w:w="1995"/>
        <w:gridCol w:w="2004"/>
        <w:gridCol w:w="2040"/>
        <w:gridCol w:w="1999"/>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5"/>
          <w:jc w:val="left"/>
        </w:trPr>
        <w:tc>
          <w:tcPr>
            <w:tcW w:w="1884" w:type="dxa"/>
            <w:tcBorders>
              <w:top w:val="single" w:sz="4" w:space="0" w:color="000000"/>
              <w:bottom w:val="single" w:sz="4" w:space="0" w:color="000000"/>
            </w:tcBorders>
          </w:tcPr>
          <w:p>
            <w:pPr>
              <w:pStyle w:val="TableParagraph"/>
              <w:spacing w:line="216" w:lineRule="exact"/>
              <w:jc w:val="left"/>
              <w:rPr>
                <w:rFonts w:ascii="Microsoft JhengHei" w:eastAsia="Microsoft JhengHei" w:hint="eastAsia"/>
                <w:b/>
                <w:sz w:val="16"/>
              </w:rPr>
            </w:pPr>
            <w:r>
              <w:rPr>
                <w:rFonts w:ascii="Microsoft JhengHei" w:eastAsia="Microsoft JhengHei" w:hint="eastAsia"/>
                <w:b/>
                <w:sz w:val="16"/>
              </w:rPr>
              <w:t>项目</w:t>
            </w:r>
          </w:p>
        </w:tc>
        <w:tc>
          <w:tcPr>
            <w:tcW w:w="1995" w:type="dxa"/>
            <w:tcBorders>
              <w:top w:val="single" w:sz="4" w:space="0" w:color="000000"/>
              <w:bottom w:val="single" w:sz="4" w:space="0" w:color="000000"/>
            </w:tcBorders>
          </w:tcPr>
          <w:p>
            <w:pPr>
              <w:pStyle w:val="TableParagraph"/>
              <w:spacing w:line="216" w:lineRule="exact"/>
              <w:ind w:left="63"/>
              <w:jc w:val="left"/>
              <w:rPr>
                <w:rFonts w:ascii="Microsoft JhengHei" w:eastAsia="Microsoft JhengHei" w:hint="eastAsia"/>
                <w:b/>
                <w:sz w:val="16"/>
              </w:rPr>
            </w:pPr>
            <w:r>
              <w:rPr>
                <w:rFonts w:ascii="Microsoft JhengHei" w:eastAsia="Microsoft JhengHei" w:hint="eastAsia"/>
                <w:b/>
                <w:sz w:val="16"/>
              </w:rPr>
              <w:t>集中式逆变器</w:t>
            </w:r>
          </w:p>
        </w:tc>
        <w:tc>
          <w:tcPr>
            <w:tcW w:w="2004" w:type="dxa"/>
            <w:tcBorders>
              <w:top w:val="single" w:sz="4" w:space="0" w:color="000000"/>
              <w:bottom w:val="single" w:sz="4" w:space="0" w:color="000000"/>
            </w:tcBorders>
          </w:tcPr>
          <w:p>
            <w:pPr>
              <w:pStyle w:val="TableParagraph"/>
              <w:spacing w:line="216" w:lineRule="exact"/>
              <w:ind w:left="90"/>
              <w:jc w:val="left"/>
              <w:rPr>
                <w:rFonts w:ascii="Microsoft JhengHei" w:eastAsia="Microsoft JhengHei" w:hint="eastAsia"/>
                <w:b/>
                <w:sz w:val="16"/>
              </w:rPr>
            </w:pPr>
            <w:r>
              <w:rPr>
                <w:rFonts w:ascii="Microsoft JhengHei" w:eastAsia="Microsoft JhengHei" w:hint="eastAsia"/>
                <w:b/>
                <w:sz w:val="16"/>
              </w:rPr>
              <w:t>组串式逆变器</w:t>
            </w:r>
          </w:p>
        </w:tc>
        <w:tc>
          <w:tcPr>
            <w:tcW w:w="2040" w:type="dxa"/>
            <w:tcBorders>
              <w:top w:val="single" w:sz="4" w:space="0" w:color="000000"/>
              <w:bottom w:val="single" w:sz="4" w:space="0" w:color="000000"/>
            </w:tcBorders>
          </w:tcPr>
          <w:p>
            <w:pPr>
              <w:pStyle w:val="TableParagraph"/>
              <w:spacing w:line="216" w:lineRule="exact"/>
              <w:ind w:left="107"/>
              <w:jc w:val="left"/>
              <w:rPr>
                <w:rFonts w:ascii="Microsoft JhengHei" w:eastAsia="Microsoft JhengHei" w:hint="eastAsia"/>
                <w:b/>
                <w:sz w:val="16"/>
              </w:rPr>
            </w:pPr>
            <w:r>
              <w:rPr>
                <w:rFonts w:ascii="Microsoft JhengHei" w:eastAsia="Microsoft JhengHei" w:hint="eastAsia"/>
                <w:b/>
                <w:sz w:val="16"/>
              </w:rPr>
              <w:t>集散型逆变器</w:t>
            </w:r>
          </w:p>
        </w:tc>
        <w:tc>
          <w:tcPr>
            <w:tcW w:w="1999" w:type="dxa"/>
            <w:tcBorders>
              <w:top w:val="single" w:sz="4" w:space="0" w:color="000000"/>
              <w:bottom w:val="single" w:sz="4" w:space="0" w:color="000000"/>
            </w:tcBorders>
          </w:tcPr>
          <w:p>
            <w:pPr>
              <w:pStyle w:val="TableParagraph"/>
              <w:spacing w:line="216" w:lineRule="exact"/>
              <w:ind w:left="90"/>
              <w:jc w:val="left"/>
              <w:rPr>
                <w:rFonts w:ascii="Microsoft JhengHei" w:eastAsia="Microsoft JhengHei" w:hint="eastAsia"/>
                <w:b/>
                <w:sz w:val="16"/>
              </w:rPr>
            </w:pPr>
            <w:r>
              <w:rPr>
                <w:rFonts w:ascii="Microsoft JhengHei" w:eastAsia="Microsoft JhengHei" w:hint="eastAsia"/>
                <w:b/>
                <w:sz w:val="16"/>
              </w:rPr>
              <w:t>微型逆变器</w:t>
            </w:r>
          </w:p>
        </w:tc>
      </w:tr>
      <w:tr>
        <w:tblPrEx>
          <w:tblW w:w="0" w:type="auto"/>
          <w:jc w:val="left"/>
          <w:tblInd w:w="1158" w:type="dxa"/>
          <w:tblLayout w:type="fixed"/>
          <w:tblCellMar>
            <w:top w:w="0" w:type="dxa"/>
            <w:left w:w="0" w:type="dxa"/>
            <w:bottom w:w="0" w:type="dxa"/>
            <w:right w:w="0" w:type="dxa"/>
          </w:tblCellMar>
          <w:tblLook w:val="01E0"/>
        </w:tblPrEx>
        <w:trPr>
          <w:trHeight w:val="420"/>
          <w:jc w:val="left"/>
        </w:trPr>
        <w:tc>
          <w:tcPr>
            <w:tcW w:w="1884" w:type="dxa"/>
            <w:tcBorders>
              <w:top w:val="single" w:sz="4" w:space="0" w:color="000000"/>
            </w:tcBorders>
          </w:tcPr>
          <w:p>
            <w:pPr>
              <w:pStyle w:val="TableParagraph"/>
              <w:spacing w:line="200" w:lineRule="exact"/>
              <w:jc w:val="left"/>
              <w:rPr>
                <w:rFonts w:ascii="宋体" w:eastAsia="宋体" w:hint="eastAsia"/>
                <w:sz w:val="16"/>
              </w:rPr>
            </w:pPr>
            <w:r>
              <w:rPr>
                <w:rFonts w:ascii="宋体" w:eastAsia="宋体" w:hint="eastAsia"/>
                <w:sz w:val="16"/>
              </w:rPr>
              <w:t>工作原理</w:t>
            </w:r>
          </w:p>
        </w:tc>
        <w:tc>
          <w:tcPr>
            <w:tcW w:w="1995" w:type="dxa"/>
            <w:tcBorders>
              <w:top w:val="single" w:sz="4" w:space="0" w:color="000000"/>
            </w:tcBorders>
          </w:tcPr>
          <w:p>
            <w:pPr>
              <w:pStyle w:val="TableParagraph"/>
              <w:spacing w:line="200" w:lineRule="exact"/>
              <w:ind w:left="63"/>
              <w:jc w:val="left"/>
              <w:rPr>
                <w:rFonts w:ascii="宋体" w:eastAsia="宋体" w:hint="eastAsia"/>
                <w:sz w:val="16"/>
              </w:rPr>
            </w:pPr>
            <w:r>
              <w:rPr>
                <w:rFonts w:ascii="宋体" w:eastAsia="宋体" w:hint="eastAsia"/>
                <w:sz w:val="16"/>
              </w:rPr>
              <w:t>对多列并行的光伏组串</w:t>
            </w:r>
          </w:p>
          <w:p>
            <w:pPr>
              <w:pStyle w:val="TableParagraph"/>
              <w:spacing w:before="3" w:line="197" w:lineRule="exact"/>
              <w:ind w:left="63"/>
              <w:jc w:val="left"/>
              <w:rPr>
                <w:rFonts w:ascii="宋体" w:eastAsia="宋体" w:hint="eastAsia"/>
                <w:sz w:val="16"/>
              </w:rPr>
            </w:pPr>
            <w:r>
              <w:rPr>
                <w:sz w:val="16"/>
              </w:rPr>
              <w:t xml:space="preserve">MPPT </w:t>
            </w:r>
            <w:r>
              <w:rPr>
                <w:rFonts w:ascii="宋体" w:eastAsia="宋体" w:hint="eastAsia"/>
                <w:sz w:val="16"/>
              </w:rPr>
              <w:t>后，转为交流电并入</w:t>
            </w:r>
          </w:p>
        </w:tc>
        <w:tc>
          <w:tcPr>
            <w:tcW w:w="2004" w:type="dxa"/>
            <w:tcBorders>
              <w:top w:val="single" w:sz="4" w:space="0" w:color="000000"/>
            </w:tcBorders>
          </w:tcPr>
          <w:p>
            <w:pPr>
              <w:pStyle w:val="TableParagraph"/>
              <w:spacing w:line="200" w:lineRule="exact"/>
              <w:ind w:left="90"/>
              <w:jc w:val="left"/>
              <w:rPr>
                <w:rFonts w:ascii="宋体" w:eastAsia="宋体" w:hint="eastAsia"/>
                <w:sz w:val="16"/>
              </w:rPr>
            </w:pPr>
            <w:r>
              <w:rPr>
                <w:rFonts w:ascii="宋体" w:eastAsia="宋体" w:hint="eastAsia"/>
                <w:sz w:val="16"/>
              </w:rPr>
              <w:t>对单组或多组光伏组串</w:t>
            </w:r>
          </w:p>
          <w:p>
            <w:pPr>
              <w:pStyle w:val="TableParagraph"/>
              <w:spacing w:before="3" w:line="197" w:lineRule="exact"/>
              <w:ind w:left="90"/>
              <w:jc w:val="left"/>
              <w:rPr>
                <w:rFonts w:ascii="宋体" w:eastAsia="宋体" w:hint="eastAsia"/>
                <w:sz w:val="16"/>
              </w:rPr>
            </w:pPr>
            <w:r>
              <w:rPr>
                <w:sz w:val="16"/>
              </w:rPr>
              <w:t>MPPT</w:t>
            </w:r>
            <w:r>
              <w:rPr>
                <w:rFonts w:ascii="宋体" w:eastAsia="宋体" w:hint="eastAsia"/>
                <w:sz w:val="16"/>
              </w:rPr>
              <w:t>，转为交流电后并入</w:t>
            </w:r>
          </w:p>
        </w:tc>
        <w:tc>
          <w:tcPr>
            <w:tcW w:w="2040" w:type="dxa"/>
            <w:tcBorders>
              <w:top w:val="single" w:sz="4" w:space="0" w:color="000000"/>
            </w:tcBorders>
          </w:tcPr>
          <w:p>
            <w:pPr>
              <w:pStyle w:val="TableParagraph"/>
              <w:spacing w:line="200" w:lineRule="exact"/>
              <w:ind w:left="107"/>
              <w:jc w:val="left"/>
              <w:rPr>
                <w:rFonts w:ascii="宋体" w:eastAsia="宋体" w:hint="eastAsia"/>
                <w:sz w:val="16"/>
              </w:rPr>
            </w:pPr>
            <w:r>
              <w:rPr>
                <w:rFonts w:ascii="宋体" w:eastAsia="宋体" w:hint="eastAsia"/>
                <w:sz w:val="16"/>
              </w:rPr>
              <w:t>通过前置多个</w:t>
            </w:r>
            <w:r>
              <w:rPr>
                <w:sz w:val="16"/>
              </w:rPr>
              <w:t>MPPT</w:t>
            </w:r>
            <w:r>
              <w:rPr>
                <w:spacing w:val="-3"/>
                <w:sz w:val="16"/>
              </w:rPr>
              <w:t xml:space="preserve"> </w:t>
            </w:r>
            <w:r>
              <w:rPr>
                <w:rFonts w:ascii="宋体" w:eastAsia="宋体" w:hint="eastAsia"/>
                <w:sz w:val="16"/>
              </w:rPr>
              <w:t>控制优</w:t>
            </w:r>
          </w:p>
          <w:p>
            <w:pPr>
              <w:pStyle w:val="TableParagraph"/>
              <w:spacing w:before="3" w:line="197" w:lineRule="exact"/>
              <w:ind w:left="107"/>
              <w:jc w:val="left"/>
              <w:rPr>
                <w:rFonts w:ascii="宋体" w:eastAsia="宋体" w:hint="eastAsia"/>
                <w:sz w:val="16"/>
              </w:rPr>
            </w:pPr>
            <w:r>
              <w:rPr>
                <w:rFonts w:ascii="宋体" w:eastAsia="宋体" w:hint="eastAsia"/>
                <w:sz w:val="16"/>
              </w:rPr>
              <w:t>化器，实现多路</w:t>
            </w:r>
            <w:r>
              <w:rPr>
                <w:sz w:val="16"/>
              </w:rPr>
              <w:t>MPPT</w:t>
            </w:r>
            <w:r>
              <w:rPr>
                <w:spacing w:val="-3"/>
                <w:sz w:val="16"/>
              </w:rPr>
              <w:t xml:space="preserve"> </w:t>
            </w:r>
            <w:r>
              <w:rPr>
                <w:rFonts w:ascii="宋体" w:eastAsia="宋体" w:hint="eastAsia"/>
                <w:sz w:val="16"/>
              </w:rPr>
              <w:t>寻优</w:t>
            </w:r>
          </w:p>
        </w:tc>
        <w:tc>
          <w:tcPr>
            <w:tcW w:w="1999" w:type="dxa"/>
            <w:tcBorders>
              <w:top w:val="single" w:sz="4" w:space="0" w:color="000000"/>
            </w:tcBorders>
          </w:tcPr>
          <w:p>
            <w:pPr>
              <w:pStyle w:val="TableParagraph"/>
              <w:spacing w:line="200" w:lineRule="exact"/>
              <w:ind w:left="90"/>
              <w:jc w:val="left"/>
              <w:rPr>
                <w:rFonts w:ascii="宋体" w:eastAsia="宋体" w:hint="eastAsia"/>
                <w:sz w:val="16"/>
              </w:rPr>
            </w:pPr>
            <w:r>
              <w:rPr>
                <w:rFonts w:ascii="宋体" w:eastAsia="宋体" w:hint="eastAsia"/>
                <w:spacing w:val="-24"/>
                <w:sz w:val="16"/>
              </w:rPr>
              <w:t>对 单 个 组 件 进 行</w:t>
            </w:r>
            <w:r>
              <w:rPr>
                <w:sz w:val="16"/>
              </w:rPr>
              <w:t xml:space="preserve">MPPT </w:t>
            </w:r>
            <w:r>
              <w:rPr>
                <w:rFonts w:ascii="宋体" w:eastAsia="宋体" w:hint="eastAsia"/>
                <w:sz w:val="16"/>
              </w:rPr>
              <w:t>后</w:t>
            </w:r>
          </w:p>
          <w:p>
            <w:pPr>
              <w:pStyle w:val="TableParagraph"/>
              <w:spacing w:before="3" w:line="197" w:lineRule="exact"/>
              <w:ind w:left="90"/>
              <w:jc w:val="left"/>
              <w:rPr>
                <w:rFonts w:ascii="宋体" w:eastAsia="宋体" w:hint="eastAsia"/>
                <w:sz w:val="16"/>
              </w:rPr>
            </w:pPr>
            <w:r>
              <w:rPr>
                <w:rFonts w:ascii="宋体" w:eastAsia="宋体" w:hint="eastAsia"/>
                <w:sz w:val="16"/>
              </w:rPr>
              <w:t>直接转换为交流电，转换</w:t>
            </w:r>
          </w:p>
        </w:tc>
      </w:tr>
      <w:tr>
        <w:tblPrEx>
          <w:tblW w:w="0" w:type="auto"/>
          <w:jc w:val="left"/>
          <w:tblInd w:w="1158" w:type="dxa"/>
          <w:tblLayout w:type="fixed"/>
          <w:tblCellMar>
            <w:top w:w="0" w:type="dxa"/>
            <w:left w:w="0" w:type="dxa"/>
            <w:bottom w:w="0" w:type="dxa"/>
            <w:right w:w="0" w:type="dxa"/>
          </w:tblCellMar>
          <w:tblLook w:val="01E0"/>
        </w:tblPrEx>
        <w:trPr>
          <w:trHeight w:val="206"/>
          <w:jc w:val="left"/>
        </w:trPr>
        <w:tc>
          <w:tcPr>
            <w:tcW w:w="1884" w:type="dxa"/>
          </w:tcPr>
          <w:p>
            <w:pPr>
              <w:pStyle w:val="TableParagraph"/>
              <w:jc w:val="left"/>
              <w:rPr>
                <w:rFonts w:ascii="Times New Roman"/>
                <w:sz w:val="14"/>
              </w:rPr>
            </w:pPr>
          </w:p>
        </w:tc>
        <w:tc>
          <w:tcPr>
            <w:tcW w:w="1995" w:type="dxa"/>
          </w:tcPr>
          <w:p>
            <w:pPr>
              <w:pStyle w:val="TableParagraph"/>
              <w:spacing w:line="187" w:lineRule="exact"/>
              <w:ind w:left="63"/>
              <w:jc w:val="left"/>
              <w:rPr>
                <w:rFonts w:ascii="宋体" w:eastAsia="宋体" w:hint="eastAsia"/>
                <w:sz w:val="16"/>
              </w:rPr>
            </w:pPr>
            <w:r>
              <w:rPr>
                <w:rFonts w:ascii="宋体" w:eastAsia="宋体" w:hint="eastAsia"/>
                <w:sz w:val="16"/>
              </w:rPr>
              <w:t>电网</w:t>
            </w:r>
          </w:p>
        </w:tc>
        <w:tc>
          <w:tcPr>
            <w:tcW w:w="2004" w:type="dxa"/>
          </w:tcPr>
          <w:p>
            <w:pPr>
              <w:pStyle w:val="TableParagraph"/>
              <w:spacing w:line="187" w:lineRule="exact"/>
              <w:ind w:left="90"/>
              <w:jc w:val="left"/>
              <w:rPr>
                <w:rFonts w:ascii="宋体" w:eastAsia="宋体" w:hint="eastAsia"/>
                <w:sz w:val="16"/>
              </w:rPr>
            </w:pPr>
            <w:r>
              <w:rPr>
                <w:rFonts w:ascii="宋体" w:eastAsia="宋体" w:hint="eastAsia"/>
                <w:sz w:val="16"/>
              </w:rPr>
              <w:t>电网</w:t>
            </w:r>
          </w:p>
        </w:tc>
        <w:tc>
          <w:tcPr>
            <w:tcW w:w="2040" w:type="dxa"/>
          </w:tcPr>
          <w:p>
            <w:pPr>
              <w:pStyle w:val="TableParagraph"/>
              <w:spacing w:line="187" w:lineRule="exact"/>
              <w:ind w:left="107"/>
              <w:jc w:val="left"/>
              <w:rPr>
                <w:rFonts w:ascii="宋体" w:eastAsia="宋体" w:hint="eastAsia"/>
                <w:sz w:val="16"/>
              </w:rPr>
            </w:pPr>
            <w:r>
              <w:rPr>
                <w:rFonts w:ascii="宋体" w:eastAsia="宋体" w:hint="eastAsia"/>
                <w:sz w:val="16"/>
              </w:rPr>
              <w:t>功能</w:t>
            </w:r>
          </w:p>
        </w:tc>
        <w:tc>
          <w:tcPr>
            <w:tcW w:w="1999" w:type="dxa"/>
          </w:tcPr>
          <w:p>
            <w:pPr>
              <w:pStyle w:val="TableParagraph"/>
              <w:spacing w:line="187" w:lineRule="exact"/>
              <w:ind w:left="90"/>
              <w:jc w:val="left"/>
              <w:rPr>
                <w:rFonts w:ascii="宋体" w:eastAsia="宋体" w:hint="eastAsia"/>
                <w:sz w:val="16"/>
              </w:rPr>
            </w:pPr>
            <w:r>
              <w:rPr>
                <w:rFonts w:ascii="宋体" w:eastAsia="宋体" w:hint="eastAsia"/>
                <w:sz w:val="16"/>
              </w:rPr>
              <w:t>后的各组件交流电汇集后</w:t>
            </w:r>
          </w:p>
        </w:tc>
      </w:tr>
      <w:tr>
        <w:tblPrEx>
          <w:tblW w:w="0" w:type="auto"/>
          <w:jc w:val="left"/>
          <w:tblInd w:w="1158" w:type="dxa"/>
          <w:tblLayout w:type="fixed"/>
          <w:tblCellMar>
            <w:top w:w="0" w:type="dxa"/>
            <w:left w:w="0" w:type="dxa"/>
            <w:bottom w:w="0" w:type="dxa"/>
            <w:right w:w="0" w:type="dxa"/>
          </w:tblCellMar>
          <w:tblLook w:val="01E0"/>
        </w:tblPrEx>
        <w:trPr>
          <w:trHeight w:val="211"/>
          <w:jc w:val="left"/>
        </w:trPr>
        <w:tc>
          <w:tcPr>
            <w:tcW w:w="1884" w:type="dxa"/>
          </w:tcPr>
          <w:p>
            <w:pPr>
              <w:pStyle w:val="TableParagraph"/>
              <w:jc w:val="left"/>
              <w:rPr>
                <w:rFonts w:ascii="Times New Roman"/>
                <w:sz w:val="14"/>
              </w:rPr>
            </w:pPr>
          </w:p>
        </w:tc>
        <w:tc>
          <w:tcPr>
            <w:tcW w:w="1995" w:type="dxa"/>
          </w:tcPr>
          <w:p>
            <w:pPr>
              <w:pStyle w:val="TableParagraph"/>
              <w:jc w:val="left"/>
              <w:rPr>
                <w:rFonts w:ascii="Times New Roman"/>
                <w:sz w:val="14"/>
              </w:rPr>
            </w:pPr>
          </w:p>
        </w:tc>
        <w:tc>
          <w:tcPr>
            <w:tcW w:w="2004" w:type="dxa"/>
          </w:tcPr>
          <w:p>
            <w:pPr>
              <w:pStyle w:val="TableParagraph"/>
              <w:jc w:val="left"/>
              <w:rPr>
                <w:rFonts w:ascii="Times New Roman"/>
                <w:sz w:val="14"/>
              </w:rPr>
            </w:pPr>
          </w:p>
        </w:tc>
        <w:tc>
          <w:tcPr>
            <w:tcW w:w="2040" w:type="dxa"/>
          </w:tcPr>
          <w:p>
            <w:pPr>
              <w:pStyle w:val="TableParagraph"/>
              <w:jc w:val="left"/>
              <w:rPr>
                <w:rFonts w:ascii="Times New Roman"/>
                <w:sz w:val="14"/>
              </w:rPr>
            </w:pPr>
          </w:p>
        </w:tc>
        <w:tc>
          <w:tcPr>
            <w:tcW w:w="1999" w:type="dxa"/>
          </w:tcPr>
          <w:p>
            <w:pPr>
              <w:pStyle w:val="TableParagraph"/>
              <w:spacing w:line="191" w:lineRule="exact"/>
              <w:ind w:left="90"/>
              <w:jc w:val="left"/>
              <w:rPr>
                <w:rFonts w:ascii="宋体" w:eastAsia="宋体" w:hint="eastAsia"/>
                <w:sz w:val="16"/>
              </w:rPr>
            </w:pPr>
            <w:r>
              <w:rPr>
                <w:rFonts w:ascii="宋体" w:eastAsia="宋体" w:hint="eastAsia"/>
                <w:sz w:val="16"/>
              </w:rPr>
              <w:t>并入电网</w:t>
            </w:r>
          </w:p>
        </w:tc>
      </w:tr>
      <w:tr>
        <w:tblPrEx>
          <w:tblW w:w="0" w:type="auto"/>
          <w:jc w:val="left"/>
          <w:tblInd w:w="1158" w:type="dxa"/>
          <w:tblLayout w:type="fixed"/>
          <w:tblCellMar>
            <w:top w:w="0" w:type="dxa"/>
            <w:left w:w="0" w:type="dxa"/>
            <w:bottom w:w="0" w:type="dxa"/>
            <w:right w:w="0" w:type="dxa"/>
          </w:tblCellMar>
          <w:tblLook w:val="01E0"/>
        </w:tblPrEx>
        <w:trPr>
          <w:trHeight w:val="233"/>
          <w:jc w:val="left"/>
        </w:trPr>
        <w:tc>
          <w:tcPr>
            <w:tcW w:w="1884" w:type="dxa"/>
          </w:tcPr>
          <w:p>
            <w:pPr>
              <w:pStyle w:val="TableParagraph"/>
              <w:spacing w:before="17" w:line="197" w:lineRule="exact"/>
              <w:jc w:val="left"/>
              <w:rPr>
                <w:rFonts w:ascii="宋体" w:eastAsia="宋体" w:hint="eastAsia"/>
                <w:sz w:val="16"/>
              </w:rPr>
            </w:pPr>
            <w:r>
              <w:rPr>
                <w:sz w:val="16"/>
              </w:rPr>
              <w:t>MPPT</w:t>
            </w:r>
            <w:r>
              <w:rPr>
                <w:rFonts w:ascii="宋体" w:eastAsia="宋体" w:hint="eastAsia"/>
                <w:sz w:val="16"/>
              </w:rPr>
              <w:t>对应组件数量</w:t>
            </w:r>
          </w:p>
        </w:tc>
        <w:tc>
          <w:tcPr>
            <w:tcW w:w="1995" w:type="dxa"/>
          </w:tcPr>
          <w:p>
            <w:pPr>
              <w:pStyle w:val="TableParagraph"/>
              <w:spacing w:before="17" w:line="197" w:lineRule="exact"/>
              <w:ind w:left="63"/>
              <w:jc w:val="left"/>
              <w:rPr>
                <w:rFonts w:ascii="宋体" w:eastAsia="宋体" w:hint="eastAsia"/>
                <w:sz w:val="16"/>
              </w:rPr>
            </w:pPr>
            <w:r>
              <w:rPr>
                <w:rFonts w:ascii="宋体" w:eastAsia="宋体" w:hint="eastAsia"/>
                <w:sz w:val="16"/>
              </w:rPr>
              <w:t>系统层级，数量较多的组</w:t>
            </w:r>
          </w:p>
        </w:tc>
        <w:tc>
          <w:tcPr>
            <w:tcW w:w="2004" w:type="dxa"/>
          </w:tcPr>
          <w:p>
            <w:pPr>
              <w:pStyle w:val="TableParagraph"/>
              <w:spacing w:before="17" w:line="197" w:lineRule="exact"/>
              <w:ind w:left="90"/>
              <w:jc w:val="left"/>
              <w:rPr>
                <w:rFonts w:ascii="宋体" w:eastAsia="宋体" w:hint="eastAsia"/>
                <w:sz w:val="16"/>
              </w:rPr>
            </w:pPr>
            <w:r>
              <w:rPr>
                <w:rFonts w:ascii="宋体" w:eastAsia="宋体" w:hint="eastAsia"/>
                <w:sz w:val="16"/>
              </w:rPr>
              <w:t>单</w:t>
            </w:r>
            <w:r>
              <w:rPr>
                <w:sz w:val="16"/>
              </w:rPr>
              <w:t>/</w:t>
            </w:r>
            <w:r>
              <w:rPr>
                <w:rFonts w:ascii="宋体" w:eastAsia="宋体" w:hint="eastAsia"/>
                <w:sz w:val="16"/>
              </w:rPr>
              <w:t>多个组串层级</w:t>
            </w:r>
          </w:p>
        </w:tc>
        <w:tc>
          <w:tcPr>
            <w:tcW w:w="2040" w:type="dxa"/>
          </w:tcPr>
          <w:p>
            <w:pPr>
              <w:pStyle w:val="TableParagraph"/>
              <w:spacing w:before="17" w:line="197" w:lineRule="exact"/>
              <w:ind w:left="107"/>
              <w:jc w:val="left"/>
              <w:rPr>
                <w:rFonts w:ascii="宋体" w:eastAsia="宋体" w:hint="eastAsia"/>
                <w:sz w:val="16"/>
              </w:rPr>
            </w:pPr>
            <w:r>
              <w:rPr>
                <w:rFonts w:ascii="宋体" w:eastAsia="宋体" w:hint="eastAsia"/>
                <w:sz w:val="16"/>
              </w:rPr>
              <w:t>多个组串层级</w:t>
            </w:r>
          </w:p>
        </w:tc>
        <w:tc>
          <w:tcPr>
            <w:tcW w:w="1999" w:type="dxa"/>
          </w:tcPr>
          <w:p>
            <w:pPr>
              <w:pStyle w:val="TableParagraph"/>
              <w:spacing w:before="17" w:line="197" w:lineRule="exact"/>
              <w:ind w:left="90"/>
              <w:jc w:val="left"/>
              <w:rPr>
                <w:rFonts w:ascii="宋体" w:eastAsia="宋体" w:hint="eastAsia"/>
                <w:sz w:val="16"/>
              </w:rPr>
            </w:pPr>
            <w:r>
              <w:rPr>
                <w:rFonts w:ascii="宋体" w:eastAsia="宋体" w:hint="eastAsia"/>
                <w:sz w:val="16"/>
              </w:rPr>
              <w:t>组件层级</w:t>
            </w:r>
          </w:p>
        </w:tc>
      </w:tr>
      <w:tr>
        <w:tblPrEx>
          <w:tblW w:w="0" w:type="auto"/>
          <w:jc w:val="left"/>
          <w:tblInd w:w="1158" w:type="dxa"/>
          <w:tblLayout w:type="fixed"/>
          <w:tblCellMar>
            <w:top w:w="0" w:type="dxa"/>
            <w:left w:w="0" w:type="dxa"/>
            <w:bottom w:w="0" w:type="dxa"/>
            <w:right w:w="0" w:type="dxa"/>
          </w:tblCellMar>
          <w:tblLook w:val="01E0"/>
        </w:tblPrEx>
        <w:trPr>
          <w:trHeight w:val="210"/>
          <w:jc w:val="left"/>
        </w:trPr>
        <w:tc>
          <w:tcPr>
            <w:tcW w:w="1884" w:type="dxa"/>
          </w:tcPr>
          <w:p>
            <w:pPr>
              <w:pStyle w:val="TableParagraph"/>
              <w:jc w:val="left"/>
              <w:rPr>
                <w:rFonts w:ascii="Times New Roman"/>
                <w:sz w:val="14"/>
              </w:rPr>
            </w:pPr>
          </w:p>
        </w:tc>
        <w:tc>
          <w:tcPr>
            <w:tcW w:w="1995" w:type="dxa"/>
          </w:tcPr>
          <w:p>
            <w:pPr>
              <w:pStyle w:val="TableParagraph"/>
              <w:spacing w:line="190" w:lineRule="exact"/>
              <w:ind w:left="63"/>
              <w:jc w:val="left"/>
              <w:rPr>
                <w:rFonts w:ascii="宋体" w:eastAsia="宋体" w:hint="eastAsia"/>
                <w:sz w:val="16"/>
              </w:rPr>
            </w:pPr>
            <w:r>
              <w:rPr>
                <w:rFonts w:ascii="宋体" w:eastAsia="宋体" w:hint="eastAsia"/>
                <w:sz w:val="16"/>
              </w:rPr>
              <w:t>串</w:t>
            </w:r>
          </w:p>
        </w:tc>
        <w:tc>
          <w:tcPr>
            <w:tcW w:w="2004" w:type="dxa"/>
          </w:tcPr>
          <w:p>
            <w:pPr>
              <w:pStyle w:val="TableParagraph"/>
              <w:jc w:val="left"/>
              <w:rPr>
                <w:rFonts w:ascii="Times New Roman"/>
                <w:sz w:val="14"/>
              </w:rPr>
            </w:pPr>
          </w:p>
        </w:tc>
        <w:tc>
          <w:tcPr>
            <w:tcW w:w="2040" w:type="dxa"/>
          </w:tcPr>
          <w:p>
            <w:pPr>
              <w:pStyle w:val="TableParagraph"/>
              <w:jc w:val="left"/>
              <w:rPr>
                <w:rFonts w:ascii="Times New Roman"/>
                <w:sz w:val="14"/>
              </w:rPr>
            </w:pPr>
          </w:p>
        </w:tc>
        <w:tc>
          <w:tcPr>
            <w:tcW w:w="1999" w:type="dxa"/>
          </w:tcPr>
          <w:p>
            <w:pPr>
              <w:pStyle w:val="TableParagraph"/>
              <w:jc w:val="left"/>
              <w:rPr>
                <w:rFonts w:ascii="Times New Roman"/>
                <w:sz w:val="14"/>
              </w:rPr>
            </w:pPr>
          </w:p>
        </w:tc>
      </w:tr>
      <w:tr>
        <w:tblPrEx>
          <w:tblW w:w="0" w:type="auto"/>
          <w:jc w:val="left"/>
          <w:tblInd w:w="1158" w:type="dxa"/>
          <w:tblLayout w:type="fixed"/>
          <w:tblCellMar>
            <w:top w:w="0" w:type="dxa"/>
            <w:left w:w="0" w:type="dxa"/>
            <w:bottom w:w="0" w:type="dxa"/>
            <w:right w:w="0" w:type="dxa"/>
          </w:tblCellMar>
          <w:tblLook w:val="01E0"/>
        </w:tblPrEx>
        <w:trPr>
          <w:trHeight w:val="250"/>
          <w:jc w:val="left"/>
        </w:trPr>
        <w:tc>
          <w:tcPr>
            <w:tcW w:w="1884" w:type="dxa"/>
          </w:tcPr>
          <w:p>
            <w:pPr>
              <w:pStyle w:val="TableParagraph"/>
              <w:spacing w:before="17"/>
              <w:jc w:val="left"/>
              <w:rPr>
                <w:rFonts w:ascii="宋体" w:eastAsia="宋体" w:hint="eastAsia"/>
                <w:sz w:val="16"/>
              </w:rPr>
            </w:pPr>
            <w:r>
              <w:rPr>
                <w:rFonts w:ascii="宋体" w:eastAsia="宋体" w:hint="eastAsia"/>
                <w:sz w:val="16"/>
              </w:rPr>
              <w:t>常见输出功率范围</w:t>
            </w:r>
          </w:p>
        </w:tc>
        <w:tc>
          <w:tcPr>
            <w:tcW w:w="1995" w:type="dxa"/>
          </w:tcPr>
          <w:p>
            <w:pPr>
              <w:pStyle w:val="TableParagraph"/>
              <w:spacing w:before="17"/>
              <w:ind w:left="63"/>
              <w:jc w:val="left"/>
              <w:rPr>
                <w:rFonts w:ascii="宋体" w:eastAsia="宋体" w:hint="eastAsia"/>
                <w:sz w:val="16"/>
              </w:rPr>
            </w:pPr>
            <w:r>
              <w:rPr>
                <w:sz w:val="16"/>
              </w:rPr>
              <w:t xml:space="preserve">500kW </w:t>
            </w:r>
            <w:r>
              <w:rPr>
                <w:rFonts w:ascii="宋体" w:eastAsia="宋体" w:hint="eastAsia"/>
                <w:sz w:val="16"/>
              </w:rPr>
              <w:t>以上</w:t>
            </w:r>
          </w:p>
        </w:tc>
        <w:tc>
          <w:tcPr>
            <w:tcW w:w="2004" w:type="dxa"/>
          </w:tcPr>
          <w:p>
            <w:pPr>
              <w:pStyle w:val="TableParagraph"/>
              <w:spacing w:before="32"/>
              <w:ind w:left="90"/>
              <w:jc w:val="left"/>
              <w:rPr>
                <w:sz w:val="16"/>
              </w:rPr>
            </w:pPr>
            <w:r>
              <w:rPr>
                <w:sz w:val="16"/>
              </w:rPr>
              <w:t>1-350kW</w:t>
            </w:r>
          </w:p>
        </w:tc>
        <w:tc>
          <w:tcPr>
            <w:tcW w:w="2040" w:type="dxa"/>
          </w:tcPr>
          <w:p>
            <w:pPr>
              <w:pStyle w:val="TableParagraph"/>
              <w:spacing w:before="17"/>
              <w:ind w:left="107"/>
              <w:jc w:val="left"/>
              <w:rPr>
                <w:rFonts w:ascii="宋体" w:eastAsia="宋体" w:hint="eastAsia"/>
                <w:sz w:val="16"/>
              </w:rPr>
            </w:pPr>
            <w:r>
              <w:rPr>
                <w:sz w:val="16"/>
              </w:rPr>
              <w:t xml:space="preserve">1MW </w:t>
            </w:r>
            <w:r>
              <w:rPr>
                <w:rFonts w:ascii="宋体" w:eastAsia="宋体" w:hint="eastAsia"/>
                <w:sz w:val="16"/>
              </w:rPr>
              <w:t>以上</w:t>
            </w:r>
          </w:p>
        </w:tc>
        <w:tc>
          <w:tcPr>
            <w:tcW w:w="1999" w:type="dxa"/>
          </w:tcPr>
          <w:p>
            <w:pPr>
              <w:pStyle w:val="TableParagraph"/>
              <w:spacing w:before="32"/>
              <w:ind w:left="90"/>
              <w:jc w:val="left"/>
              <w:rPr>
                <w:sz w:val="16"/>
              </w:rPr>
            </w:pPr>
            <w:r>
              <w:rPr>
                <w:sz w:val="16"/>
              </w:rPr>
              <w:t>0.25-2kW</w:t>
            </w:r>
          </w:p>
        </w:tc>
      </w:tr>
      <w:tr>
        <w:tblPrEx>
          <w:tblW w:w="0" w:type="auto"/>
          <w:jc w:val="left"/>
          <w:tblInd w:w="1158" w:type="dxa"/>
          <w:tblLayout w:type="fixed"/>
          <w:tblCellMar>
            <w:top w:w="0" w:type="dxa"/>
            <w:left w:w="0" w:type="dxa"/>
            <w:bottom w:w="0" w:type="dxa"/>
            <w:right w:w="0" w:type="dxa"/>
          </w:tblCellMar>
          <w:tblLook w:val="01E0"/>
        </w:tblPrEx>
        <w:trPr>
          <w:trHeight w:val="232"/>
          <w:jc w:val="left"/>
        </w:trPr>
        <w:tc>
          <w:tcPr>
            <w:tcW w:w="1884" w:type="dxa"/>
          </w:tcPr>
          <w:p>
            <w:pPr>
              <w:pStyle w:val="TableParagraph"/>
              <w:spacing w:before="2"/>
              <w:jc w:val="left"/>
              <w:rPr>
                <w:rFonts w:ascii="宋体" w:eastAsia="宋体" w:hint="eastAsia"/>
                <w:sz w:val="16"/>
              </w:rPr>
            </w:pPr>
            <w:r>
              <w:rPr>
                <w:rFonts w:ascii="宋体" w:eastAsia="宋体" w:hint="eastAsia"/>
                <w:sz w:val="16"/>
              </w:rPr>
              <w:t>发电效率</w:t>
            </w:r>
          </w:p>
        </w:tc>
        <w:tc>
          <w:tcPr>
            <w:tcW w:w="1995" w:type="dxa"/>
          </w:tcPr>
          <w:p>
            <w:pPr>
              <w:pStyle w:val="TableParagraph"/>
              <w:spacing w:before="2"/>
              <w:ind w:left="63"/>
              <w:jc w:val="left"/>
              <w:rPr>
                <w:rFonts w:ascii="宋体" w:eastAsia="宋体" w:hint="eastAsia"/>
                <w:sz w:val="16"/>
              </w:rPr>
            </w:pPr>
            <w:r>
              <w:rPr>
                <w:rFonts w:ascii="宋体" w:eastAsia="宋体" w:hint="eastAsia"/>
                <w:sz w:val="16"/>
              </w:rPr>
              <w:t>一般</w:t>
            </w:r>
          </w:p>
        </w:tc>
        <w:tc>
          <w:tcPr>
            <w:tcW w:w="2004" w:type="dxa"/>
          </w:tcPr>
          <w:p>
            <w:pPr>
              <w:pStyle w:val="TableParagraph"/>
              <w:spacing w:before="2"/>
              <w:ind w:left="90"/>
              <w:jc w:val="left"/>
              <w:rPr>
                <w:rFonts w:ascii="宋体" w:eastAsia="宋体" w:hint="eastAsia"/>
                <w:sz w:val="16"/>
              </w:rPr>
            </w:pPr>
            <w:r>
              <w:rPr>
                <w:rFonts w:ascii="宋体" w:eastAsia="宋体" w:hint="eastAsia"/>
                <w:sz w:val="16"/>
              </w:rPr>
              <w:t>高</w:t>
            </w:r>
          </w:p>
        </w:tc>
        <w:tc>
          <w:tcPr>
            <w:tcW w:w="2040" w:type="dxa"/>
          </w:tcPr>
          <w:p>
            <w:pPr>
              <w:pStyle w:val="TableParagraph"/>
              <w:spacing w:before="2"/>
              <w:ind w:left="107"/>
              <w:jc w:val="left"/>
              <w:rPr>
                <w:rFonts w:ascii="宋体" w:eastAsia="宋体" w:hint="eastAsia"/>
                <w:sz w:val="16"/>
              </w:rPr>
            </w:pPr>
            <w:r>
              <w:rPr>
                <w:rFonts w:ascii="宋体" w:eastAsia="宋体" w:hint="eastAsia"/>
                <w:sz w:val="16"/>
              </w:rPr>
              <w:t>高</w:t>
            </w:r>
          </w:p>
        </w:tc>
        <w:tc>
          <w:tcPr>
            <w:tcW w:w="1999" w:type="dxa"/>
          </w:tcPr>
          <w:p>
            <w:pPr>
              <w:pStyle w:val="TableParagraph"/>
              <w:spacing w:before="2"/>
              <w:ind w:left="90"/>
              <w:jc w:val="left"/>
              <w:rPr>
                <w:rFonts w:ascii="宋体" w:eastAsia="宋体" w:hint="eastAsia"/>
                <w:sz w:val="16"/>
              </w:rPr>
            </w:pPr>
            <w:r>
              <w:rPr>
                <w:rFonts w:ascii="宋体" w:eastAsia="宋体" w:hint="eastAsia"/>
                <w:sz w:val="16"/>
              </w:rPr>
              <w:t>最高</w:t>
            </w:r>
          </w:p>
        </w:tc>
      </w:tr>
      <w:tr>
        <w:tblPrEx>
          <w:tblW w:w="0" w:type="auto"/>
          <w:jc w:val="left"/>
          <w:tblInd w:w="1158" w:type="dxa"/>
          <w:tblLayout w:type="fixed"/>
          <w:tblCellMar>
            <w:top w:w="0" w:type="dxa"/>
            <w:left w:w="0" w:type="dxa"/>
            <w:bottom w:w="0" w:type="dxa"/>
            <w:right w:w="0" w:type="dxa"/>
          </w:tblCellMar>
          <w:tblLook w:val="01E0"/>
        </w:tblPrEx>
        <w:trPr>
          <w:trHeight w:val="235"/>
          <w:jc w:val="left"/>
        </w:trPr>
        <w:tc>
          <w:tcPr>
            <w:tcW w:w="1884" w:type="dxa"/>
          </w:tcPr>
          <w:p>
            <w:pPr>
              <w:pStyle w:val="TableParagraph"/>
              <w:spacing w:before="6"/>
              <w:jc w:val="left"/>
              <w:rPr>
                <w:rFonts w:ascii="宋体" w:eastAsia="宋体" w:hint="eastAsia"/>
                <w:sz w:val="16"/>
              </w:rPr>
            </w:pPr>
            <w:r>
              <w:rPr>
                <w:rFonts w:ascii="宋体" w:eastAsia="宋体" w:hint="eastAsia"/>
                <w:sz w:val="16"/>
              </w:rPr>
              <w:t>逆变器成本</w:t>
            </w:r>
          </w:p>
        </w:tc>
        <w:tc>
          <w:tcPr>
            <w:tcW w:w="1995" w:type="dxa"/>
          </w:tcPr>
          <w:p>
            <w:pPr>
              <w:pStyle w:val="TableParagraph"/>
              <w:spacing w:before="6"/>
              <w:ind w:left="63"/>
              <w:jc w:val="left"/>
              <w:rPr>
                <w:rFonts w:ascii="宋体" w:eastAsia="宋体" w:hint="eastAsia"/>
                <w:sz w:val="16"/>
              </w:rPr>
            </w:pPr>
            <w:r>
              <w:rPr>
                <w:rFonts w:ascii="宋体" w:eastAsia="宋体" w:hint="eastAsia"/>
                <w:sz w:val="16"/>
              </w:rPr>
              <w:t>低</w:t>
            </w:r>
          </w:p>
        </w:tc>
        <w:tc>
          <w:tcPr>
            <w:tcW w:w="2004" w:type="dxa"/>
          </w:tcPr>
          <w:p>
            <w:pPr>
              <w:pStyle w:val="TableParagraph"/>
              <w:spacing w:before="6"/>
              <w:ind w:left="90"/>
              <w:jc w:val="left"/>
              <w:rPr>
                <w:rFonts w:ascii="宋体" w:eastAsia="宋体" w:hint="eastAsia"/>
                <w:sz w:val="16"/>
              </w:rPr>
            </w:pPr>
            <w:r>
              <w:rPr>
                <w:rFonts w:ascii="宋体" w:eastAsia="宋体" w:hint="eastAsia"/>
                <w:sz w:val="16"/>
              </w:rPr>
              <w:t>较低</w:t>
            </w:r>
          </w:p>
        </w:tc>
        <w:tc>
          <w:tcPr>
            <w:tcW w:w="2040" w:type="dxa"/>
          </w:tcPr>
          <w:p>
            <w:pPr>
              <w:pStyle w:val="TableParagraph"/>
              <w:spacing w:before="6"/>
              <w:ind w:left="107"/>
              <w:jc w:val="left"/>
              <w:rPr>
                <w:rFonts w:ascii="宋体" w:eastAsia="宋体" w:hint="eastAsia"/>
                <w:sz w:val="16"/>
              </w:rPr>
            </w:pPr>
            <w:r>
              <w:rPr>
                <w:rFonts w:ascii="宋体" w:eastAsia="宋体" w:hint="eastAsia"/>
                <w:sz w:val="16"/>
              </w:rPr>
              <w:t>较低</w:t>
            </w:r>
          </w:p>
        </w:tc>
        <w:tc>
          <w:tcPr>
            <w:tcW w:w="1999" w:type="dxa"/>
          </w:tcPr>
          <w:p>
            <w:pPr>
              <w:pStyle w:val="TableParagraph"/>
              <w:spacing w:before="6"/>
              <w:ind w:left="90"/>
              <w:jc w:val="left"/>
              <w:rPr>
                <w:rFonts w:ascii="宋体" w:eastAsia="宋体" w:hint="eastAsia"/>
                <w:sz w:val="16"/>
              </w:rPr>
            </w:pPr>
            <w:r>
              <w:rPr>
                <w:rFonts w:ascii="宋体" w:eastAsia="宋体" w:hint="eastAsia"/>
                <w:sz w:val="16"/>
              </w:rPr>
              <w:t>高</w:t>
            </w:r>
          </w:p>
        </w:tc>
      </w:tr>
      <w:tr>
        <w:tblPrEx>
          <w:tblW w:w="0" w:type="auto"/>
          <w:jc w:val="left"/>
          <w:tblInd w:w="1158" w:type="dxa"/>
          <w:tblLayout w:type="fixed"/>
          <w:tblCellMar>
            <w:top w:w="0" w:type="dxa"/>
            <w:left w:w="0" w:type="dxa"/>
            <w:bottom w:w="0" w:type="dxa"/>
            <w:right w:w="0" w:type="dxa"/>
          </w:tblCellMar>
          <w:tblLook w:val="01E0"/>
        </w:tblPrEx>
        <w:trPr>
          <w:trHeight w:val="221"/>
          <w:jc w:val="left"/>
        </w:trPr>
        <w:tc>
          <w:tcPr>
            <w:tcW w:w="1884" w:type="dxa"/>
          </w:tcPr>
          <w:p>
            <w:pPr>
              <w:pStyle w:val="TableParagraph"/>
              <w:spacing w:before="6" w:line="196" w:lineRule="exact"/>
              <w:jc w:val="left"/>
              <w:rPr>
                <w:rFonts w:ascii="宋体" w:eastAsia="宋体" w:hint="eastAsia"/>
                <w:sz w:val="16"/>
              </w:rPr>
            </w:pPr>
            <w:r>
              <w:rPr>
                <w:rFonts w:ascii="宋体" w:eastAsia="宋体" w:hint="eastAsia"/>
                <w:sz w:val="16"/>
              </w:rPr>
              <w:t>代表厂家</w:t>
            </w:r>
          </w:p>
        </w:tc>
        <w:tc>
          <w:tcPr>
            <w:tcW w:w="1995" w:type="dxa"/>
          </w:tcPr>
          <w:p>
            <w:pPr>
              <w:pStyle w:val="TableParagraph"/>
              <w:spacing w:before="6" w:line="196" w:lineRule="exact"/>
              <w:ind w:left="63"/>
              <w:jc w:val="left"/>
              <w:rPr>
                <w:rFonts w:ascii="宋体" w:eastAsia="宋体" w:hint="eastAsia"/>
                <w:sz w:val="16"/>
              </w:rPr>
            </w:pPr>
            <w:r>
              <w:rPr>
                <w:rFonts w:ascii="宋体" w:eastAsia="宋体" w:hint="eastAsia"/>
                <w:sz w:val="16"/>
              </w:rPr>
              <w:t>阳光电源</w:t>
            </w:r>
          </w:p>
        </w:tc>
        <w:tc>
          <w:tcPr>
            <w:tcW w:w="2004" w:type="dxa"/>
          </w:tcPr>
          <w:p>
            <w:pPr>
              <w:pStyle w:val="TableParagraph"/>
              <w:spacing w:before="6" w:line="196" w:lineRule="exact"/>
              <w:ind w:left="90"/>
              <w:jc w:val="left"/>
              <w:rPr>
                <w:rFonts w:ascii="宋体" w:eastAsia="宋体" w:hint="eastAsia"/>
                <w:sz w:val="16"/>
              </w:rPr>
            </w:pPr>
            <w:r>
              <w:rPr>
                <w:rFonts w:ascii="宋体" w:eastAsia="宋体" w:hint="eastAsia"/>
                <w:sz w:val="16"/>
              </w:rPr>
              <w:t>华为、固德威、锦浪科技</w:t>
            </w:r>
          </w:p>
        </w:tc>
        <w:tc>
          <w:tcPr>
            <w:tcW w:w="2040" w:type="dxa"/>
          </w:tcPr>
          <w:p>
            <w:pPr>
              <w:pStyle w:val="TableParagraph"/>
              <w:spacing w:before="6" w:line="196" w:lineRule="exact"/>
              <w:ind w:left="107"/>
              <w:jc w:val="left"/>
              <w:rPr>
                <w:rFonts w:ascii="宋体" w:eastAsia="宋体" w:hint="eastAsia"/>
                <w:sz w:val="16"/>
              </w:rPr>
            </w:pPr>
            <w:r>
              <w:rPr>
                <w:rFonts w:ascii="宋体" w:eastAsia="宋体" w:hint="eastAsia"/>
                <w:sz w:val="16"/>
              </w:rPr>
              <w:t>上能电气</w:t>
            </w:r>
          </w:p>
        </w:tc>
        <w:tc>
          <w:tcPr>
            <w:tcW w:w="1999" w:type="dxa"/>
          </w:tcPr>
          <w:p>
            <w:pPr>
              <w:pStyle w:val="TableParagraph"/>
              <w:spacing w:before="6" w:line="196" w:lineRule="exact"/>
              <w:ind w:left="90"/>
              <w:jc w:val="left"/>
              <w:rPr>
                <w:rFonts w:ascii="宋体" w:eastAsia="宋体" w:hint="eastAsia"/>
                <w:sz w:val="16"/>
              </w:rPr>
            </w:pPr>
            <w:r>
              <w:rPr>
                <w:rFonts w:ascii="宋体" w:eastAsia="宋体" w:hint="eastAsia"/>
                <w:sz w:val="16"/>
              </w:rPr>
              <w:t>禾迈股份、昱能科技</w:t>
            </w:r>
          </w:p>
        </w:tc>
      </w:tr>
      <w:tr>
        <w:tblPrEx>
          <w:tblW w:w="0" w:type="auto"/>
          <w:jc w:val="left"/>
          <w:tblInd w:w="1158" w:type="dxa"/>
          <w:tblLayout w:type="fixed"/>
          <w:tblCellMar>
            <w:top w:w="0" w:type="dxa"/>
            <w:left w:w="0" w:type="dxa"/>
            <w:bottom w:w="0" w:type="dxa"/>
            <w:right w:w="0" w:type="dxa"/>
          </w:tblCellMar>
          <w:tblLook w:val="01E0"/>
        </w:tblPrEx>
        <w:trPr>
          <w:trHeight w:val="221"/>
          <w:jc w:val="left"/>
        </w:trPr>
        <w:tc>
          <w:tcPr>
            <w:tcW w:w="1884" w:type="dxa"/>
          </w:tcPr>
          <w:p>
            <w:pPr>
              <w:pStyle w:val="TableParagraph"/>
              <w:jc w:val="left"/>
              <w:rPr>
                <w:rFonts w:ascii="Times New Roman"/>
                <w:sz w:val="14"/>
              </w:rPr>
            </w:pPr>
          </w:p>
        </w:tc>
        <w:tc>
          <w:tcPr>
            <w:tcW w:w="1995" w:type="dxa"/>
          </w:tcPr>
          <w:p>
            <w:pPr>
              <w:pStyle w:val="TableParagraph"/>
              <w:jc w:val="left"/>
              <w:rPr>
                <w:rFonts w:ascii="Times New Roman"/>
                <w:sz w:val="14"/>
              </w:rPr>
            </w:pPr>
          </w:p>
        </w:tc>
        <w:tc>
          <w:tcPr>
            <w:tcW w:w="2004" w:type="dxa"/>
          </w:tcPr>
          <w:p>
            <w:pPr>
              <w:pStyle w:val="TableParagraph"/>
              <w:spacing w:line="197" w:lineRule="exact"/>
              <w:ind w:left="90"/>
              <w:jc w:val="left"/>
              <w:rPr>
                <w:rFonts w:ascii="宋体" w:eastAsia="宋体" w:hint="eastAsia"/>
                <w:sz w:val="16"/>
              </w:rPr>
            </w:pPr>
            <w:r>
              <w:rPr>
                <w:rFonts w:ascii="宋体" w:eastAsia="宋体" w:hint="eastAsia"/>
                <w:sz w:val="16"/>
              </w:rPr>
              <w:t>、爱士惟</w:t>
            </w:r>
          </w:p>
        </w:tc>
        <w:tc>
          <w:tcPr>
            <w:tcW w:w="2040" w:type="dxa"/>
          </w:tcPr>
          <w:p>
            <w:pPr>
              <w:pStyle w:val="TableParagraph"/>
              <w:jc w:val="left"/>
              <w:rPr>
                <w:rFonts w:ascii="Times New Roman"/>
                <w:sz w:val="14"/>
              </w:rPr>
            </w:pPr>
          </w:p>
        </w:tc>
        <w:tc>
          <w:tcPr>
            <w:tcW w:w="1999" w:type="dxa"/>
          </w:tcPr>
          <w:p>
            <w:pPr>
              <w:pStyle w:val="TableParagraph"/>
              <w:jc w:val="left"/>
              <w:rPr>
                <w:rFonts w:ascii="Times New Roman"/>
                <w:sz w:val="14"/>
              </w:rPr>
            </w:pPr>
          </w:p>
        </w:tc>
      </w:tr>
      <w:tr>
        <w:tblPrEx>
          <w:tblW w:w="0" w:type="auto"/>
          <w:jc w:val="left"/>
          <w:tblInd w:w="1158" w:type="dxa"/>
          <w:tblLayout w:type="fixed"/>
          <w:tblCellMar>
            <w:top w:w="0" w:type="dxa"/>
            <w:left w:w="0" w:type="dxa"/>
            <w:bottom w:w="0" w:type="dxa"/>
            <w:right w:w="0" w:type="dxa"/>
          </w:tblCellMar>
          <w:tblLook w:val="01E0"/>
        </w:tblPrEx>
        <w:trPr>
          <w:trHeight w:val="221"/>
          <w:jc w:val="left"/>
        </w:trPr>
        <w:tc>
          <w:tcPr>
            <w:tcW w:w="1884" w:type="dxa"/>
          </w:tcPr>
          <w:p>
            <w:pPr>
              <w:pStyle w:val="TableParagraph"/>
              <w:spacing w:before="6" w:line="196" w:lineRule="exact"/>
              <w:jc w:val="left"/>
              <w:rPr>
                <w:rFonts w:ascii="宋体" w:eastAsia="宋体" w:hint="eastAsia"/>
                <w:sz w:val="16"/>
              </w:rPr>
            </w:pPr>
            <w:r>
              <w:rPr>
                <w:rFonts w:ascii="宋体" w:eastAsia="宋体" w:hint="eastAsia"/>
                <w:sz w:val="16"/>
              </w:rPr>
              <w:t>主要应用场景</w:t>
            </w:r>
          </w:p>
        </w:tc>
        <w:tc>
          <w:tcPr>
            <w:tcW w:w="1995" w:type="dxa"/>
          </w:tcPr>
          <w:p>
            <w:pPr>
              <w:pStyle w:val="TableParagraph"/>
              <w:spacing w:before="6" w:line="196" w:lineRule="exact"/>
              <w:ind w:left="63"/>
              <w:jc w:val="left"/>
              <w:rPr>
                <w:rFonts w:ascii="宋体" w:eastAsia="宋体" w:hint="eastAsia"/>
                <w:sz w:val="16"/>
              </w:rPr>
            </w:pPr>
            <w:r>
              <w:rPr>
                <w:rFonts w:ascii="宋体" w:eastAsia="宋体" w:hint="eastAsia"/>
                <w:sz w:val="16"/>
              </w:rPr>
              <w:t>集中式发电场景</w:t>
            </w:r>
          </w:p>
        </w:tc>
        <w:tc>
          <w:tcPr>
            <w:tcW w:w="2004" w:type="dxa"/>
          </w:tcPr>
          <w:p>
            <w:pPr>
              <w:pStyle w:val="TableParagraph"/>
              <w:spacing w:before="6" w:line="196" w:lineRule="exact"/>
              <w:ind w:left="90"/>
              <w:jc w:val="left"/>
              <w:rPr>
                <w:rFonts w:ascii="宋体" w:eastAsia="宋体" w:hint="eastAsia"/>
                <w:sz w:val="16"/>
              </w:rPr>
            </w:pPr>
            <w:r>
              <w:rPr>
                <w:rFonts w:ascii="宋体" w:eastAsia="宋体" w:hint="eastAsia"/>
                <w:sz w:val="16"/>
              </w:rPr>
              <w:t>集中式发电场景、分布式</w:t>
            </w:r>
          </w:p>
        </w:tc>
        <w:tc>
          <w:tcPr>
            <w:tcW w:w="2040" w:type="dxa"/>
          </w:tcPr>
          <w:p>
            <w:pPr>
              <w:pStyle w:val="TableParagraph"/>
              <w:spacing w:before="6" w:line="196" w:lineRule="exact"/>
              <w:ind w:left="107"/>
              <w:jc w:val="left"/>
              <w:rPr>
                <w:rFonts w:ascii="宋体" w:eastAsia="宋体" w:hint="eastAsia"/>
                <w:sz w:val="16"/>
              </w:rPr>
            </w:pPr>
            <w:r>
              <w:rPr>
                <w:rFonts w:ascii="宋体" w:eastAsia="宋体" w:hint="eastAsia"/>
                <w:sz w:val="16"/>
              </w:rPr>
              <w:t>集中式发电场景、分布式</w:t>
            </w:r>
          </w:p>
        </w:tc>
        <w:tc>
          <w:tcPr>
            <w:tcW w:w="1999" w:type="dxa"/>
          </w:tcPr>
          <w:p>
            <w:pPr>
              <w:pStyle w:val="TableParagraph"/>
              <w:spacing w:before="6" w:line="196" w:lineRule="exact"/>
              <w:ind w:left="90"/>
              <w:jc w:val="left"/>
              <w:rPr>
                <w:rFonts w:ascii="宋体" w:eastAsia="宋体" w:hint="eastAsia"/>
                <w:sz w:val="16"/>
              </w:rPr>
            </w:pPr>
            <w:r>
              <w:rPr>
                <w:rFonts w:ascii="宋体" w:eastAsia="宋体" w:hint="eastAsia"/>
                <w:sz w:val="16"/>
              </w:rPr>
              <w:t>分布式发电场景（户用为</w:t>
            </w:r>
          </w:p>
        </w:tc>
      </w:tr>
      <w:tr>
        <w:tblPrEx>
          <w:tblW w:w="0" w:type="auto"/>
          <w:jc w:val="left"/>
          <w:tblInd w:w="1158" w:type="dxa"/>
          <w:tblLayout w:type="fixed"/>
          <w:tblCellMar>
            <w:top w:w="0" w:type="dxa"/>
            <w:left w:w="0" w:type="dxa"/>
            <w:bottom w:w="0" w:type="dxa"/>
            <w:right w:w="0" w:type="dxa"/>
          </w:tblCellMar>
          <w:tblLook w:val="01E0"/>
        </w:tblPrEx>
        <w:trPr>
          <w:trHeight w:val="207"/>
          <w:jc w:val="left"/>
        </w:trPr>
        <w:tc>
          <w:tcPr>
            <w:tcW w:w="1884" w:type="dxa"/>
          </w:tcPr>
          <w:p>
            <w:pPr>
              <w:pStyle w:val="TableParagraph"/>
              <w:jc w:val="left"/>
              <w:rPr>
                <w:rFonts w:ascii="Times New Roman"/>
                <w:sz w:val="14"/>
              </w:rPr>
            </w:pPr>
          </w:p>
        </w:tc>
        <w:tc>
          <w:tcPr>
            <w:tcW w:w="1995" w:type="dxa"/>
          </w:tcPr>
          <w:p>
            <w:pPr>
              <w:pStyle w:val="TableParagraph"/>
              <w:jc w:val="left"/>
              <w:rPr>
                <w:rFonts w:ascii="Times New Roman"/>
                <w:sz w:val="14"/>
              </w:rPr>
            </w:pPr>
          </w:p>
        </w:tc>
        <w:tc>
          <w:tcPr>
            <w:tcW w:w="2004" w:type="dxa"/>
          </w:tcPr>
          <w:p>
            <w:pPr>
              <w:pStyle w:val="TableParagraph"/>
              <w:spacing w:line="188" w:lineRule="exact"/>
              <w:ind w:left="90"/>
              <w:jc w:val="left"/>
              <w:rPr>
                <w:rFonts w:ascii="宋体" w:eastAsia="宋体" w:hint="eastAsia"/>
                <w:sz w:val="16"/>
              </w:rPr>
            </w:pPr>
            <w:r>
              <w:rPr>
                <w:rFonts w:ascii="宋体" w:eastAsia="宋体" w:hint="eastAsia"/>
                <w:sz w:val="16"/>
              </w:rPr>
              <w:t>发电场景（工商业、户用</w:t>
            </w:r>
          </w:p>
        </w:tc>
        <w:tc>
          <w:tcPr>
            <w:tcW w:w="2040" w:type="dxa"/>
          </w:tcPr>
          <w:p>
            <w:pPr>
              <w:pStyle w:val="TableParagraph"/>
              <w:spacing w:line="188" w:lineRule="exact"/>
              <w:ind w:left="107"/>
              <w:jc w:val="left"/>
              <w:rPr>
                <w:rFonts w:ascii="宋体" w:eastAsia="宋体" w:hint="eastAsia"/>
                <w:sz w:val="16"/>
              </w:rPr>
            </w:pPr>
            <w:r>
              <w:rPr>
                <w:rFonts w:ascii="宋体" w:eastAsia="宋体" w:hint="eastAsia"/>
                <w:sz w:val="16"/>
              </w:rPr>
              <w:t>大型发电场景</w:t>
            </w:r>
          </w:p>
        </w:tc>
        <w:tc>
          <w:tcPr>
            <w:tcW w:w="1999" w:type="dxa"/>
          </w:tcPr>
          <w:p>
            <w:pPr>
              <w:pStyle w:val="TableParagraph"/>
              <w:spacing w:line="188" w:lineRule="exact"/>
              <w:ind w:left="90"/>
              <w:jc w:val="left"/>
              <w:rPr>
                <w:rFonts w:ascii="宋体" w:eastAsia="宋体" w:hint="eastAsia"/>
                <w:sz w:val="16"/>
              </w:rPr>
            </w:pPr>
            <w:r>
              <w:rPr>
                <w:rFonts w:ascii="宋体" w:eastAsia="宋体" w:hint="eastAsia"/>
                <w:sz w:val="16"/>
              </w:rPr>
              <w:t>主）</w:t>
            </w:r>
          </w:p>
        </w:tc>
      </w:tr>
      <w:tr>
        <w:tblPrEx>
          <w:tblW w:w="0" w:type="auto"/>
          <w:jc w:val="left"/>
          <w:tblInd w:w="1158" w:type="dxa"/>
          <w:tblLayout w:type="fixed"/>
          <w:tblCellMar>
            <w:top w:w="0" w:type="dxa"/>
            <w:left w:w="0" w:type="dxa"/>
            <w:bottom w:w="0" w:type="dxa"/>
            <w:right w:w="0" w:type="dxa"/>
          </w:tblCellMar>
          <w:tblLook w:val="01E0"/>
        </w:tblPrEx>
        <w:trPr>
          <w:trHeight w:val="232"/>
          <w:jc w:val="left"/>
        </w:trPr>
        <w:tc>
          <w:tcPr>
            <w:tcW w:w="1884" w:type="dxa"/>
            <w:tcBorders>
              <w:bottom w:val="single" w:sz="4" w:space="0" w:color="000000"/>
            </w:tcBorders>
          </w:tcPr>
          <w:p>
            <w:pPr>
              <w:pStyle w:val="TableParagraph"/>
              <w:jc w:val="left"/>
              <w:rPr>
                <w:rFonts w:ascii="Times New Roman"/>
                <w:sz w:val="16"/>
              </w:rPr>
            </w:pPr>
          </w:p>
        </w:tc>
        <w:tc>
          <w:tcPr>
            <w:tcW w:w="1995" w:type="dxa"/>
            <w:tcBorders>
              <w:bottom w:val="single" w:sz="4" w:space="0" w:color="000000"/>
            </w:tcBorders>
          </w:tcPr>
          <w:p>
            <w:pPr>
              <w:pStyle w:val="TableParagraph"/>
              <w:jc w:val="left"/>
              <w:rPr>
                <w:rFonts w:ascii="Times New Roman"/>
                <w:sz w:val="16"/>
              </w:rPr>
            </w:pPr>
          </w:p>
        </w:tc>
        <w:tc>
          <w:tcPr>
            <w:tcW w:w="2004" w:type="dxa"/>
            <w:tcBorders>
              <w:bottom w:val="single" w:sz="4" w:space="0" w:color="000000"/>
            </w:tcBorders>
          </w:tcPr>
          <w:p>
            <w:pPr>
              <w:pStyle w:val="TableParagraph"/>
              <w:spacing w:line="197" w:lineRule="exact"/>
              <w:ind w:left="90"/>
              <w:jc w:val="left"/>
              <w:rPr>
                <w:rFonts w:ascii="宋体" w:eastAsia="宋体" w:hint="eastAsia"/>
                <w:sz w:val="16"/>
              </w:rPr>
            </w:pPr>
            <w:r>
              <w:rPr>
                <w:rFonts w:ascii="宋体" w:eastAsia="宋体" w:hint="eastAsia"/>
                <w:sz w:val="16"/>
              </w:rPr>
              <w:t>）</w:t>
            </w:r>
          </w:p>
        </w:tc>
        <w:tc>
          <w:tcPr>
            <w:tcW w:w="2040" w:type="dxa"/>
            <w:tcBorders>
              <w:bottom w:val="single" w:sz="4" w:space="0" w:color="000000"/>
            </w:tcBorders>
          </w:tcPr>
          <w:p>
            <w:pPr>
              <w:pStyle w:val="TableParagraph"/>
              <w:jc w:val="left"/>
              <w:rPr>
                <w:rFonts w:ascii="Times New Roman"/>
                <w:sz w:val="16"/>
              </w:rPr>
            </w:pPr>
          </w:p>
        </w:tc>
        <w:tc>
          <w:tcPr>
            <w:tcW w:w="1999" w:type="dxa"/>
            <w:tcBorders>
              <w:bottom w:val="single" w:sz="4" w:space="0" w:color="000000"/>
            </w:tcBorders>
          </w:tcPr>
          <w:p>
            <w:pPr>
              <w:pStyle w:val="TableParagraph"/>
              <w:jc w:val="left"/>
              <w:rPr>
                <w:rFonts w:ascii="Times New Roman"/>
                <w:sz w:val="16"/>
              </w:rPr>
            </w:pPr>
          </w:p>
        </w:tc>
      </w:tr>
      <w:tr>
        <w:tblPrEx>
          <w:tblW w:w="0" w:type="auto"/>
          <w:jc w:val="left"/>
          <w:tblInd w:w="1158" w:type="dxa"/>
          <w:tblLayout w:type="fixed"/>
          <w:tblCellMar>
            <w:top w:w="0" w:type="dxa"/>
            <w:left w:w="0" w:type="dxa"/>
            <w:bottom w:w="0" w:type="dxa"/>
            <w:right w:w="0" w:type="dxa"/>
          </w:tblCellMar>
          <w:tblLook w:val="01E0"/>
        </w:tblPrEx>
        <w:trPr>
          <w:trHeight w:val="173"/>
          <w:jc w:val="left"/>
        </w:trPr>
        <w:tc>
          <w:tcPr>
            <w:tcW w:w="1884" w:type="dxa"/>
            <w:tcBorders>
              <w:top w:val="single" w:sz="4" w:space="0" w:color="000000"/>
            </w:tcBorders>
          </w:tcPr>
          <w:p>
            <w:pPr>
              <w:pStyle w:val="TableParagraph"/>
              <w:spacing w:line="154" w:lineRule="exact"/>
              <w:ind w:left="-1"/>
              <w:jc w:val="left"/>
              <w:rPr>
                <w:rFonts w:ascii="宋体" w:eastAsia="宋体" w:hint="eastAsia"/>
                <w:sz w:val="15"/>
              </w:rPr>
            </w:pPr>
            <w:r>
              <w:rPr>
                <w:rFonts w:ascii="宋体" w:eastAsia="宋体" w:hint="eastAsia"/>
                <w:w w:val="95"/>
                <w:sz w:val="15"/>
              </w:rPr>
              <w:t>资料来源：爱士惟，交银国际</w:t>
            </w:r>
          </w:p>
        </w:tc>
        <w:tc>
          <w:tcPr>
            <w:tcW w:w="1995" w:type="dxa"/>
            <w:tcBorders>
              <w:top w:val="single" w:sz="4" w:space="0" w:color="000000"/>
            </w:tcBorders>
          </w:tcPr>
          <w:p>
            <w:pPr>
              <w:pStyle w:val="TableParagraph"/>
              <w:jc w:val="left"/>
              <w:rPr>
                <w:rFonts w:ascii="Times New Roman"/>
                <w:sz w:val="10"/>
              </w:rPr>
            </w:pPr>
          </w:p>
        </w:tc>
        <w:tc>
          <w:tcPr>
            <w:tcW w:w="2004" w:type="dxa"/>
            <w:tcBorders>
              <w:top w:val="single" w:sz="4" w:space="0" w:color="000000"/>
            </w:tcBorders>
          </w:tcPr>
          <w:p>
            <w:pPr>
              <w:pStyle w:val="TableParagraph"/>
              <w:jc w:val="left"/>
              <w:rPr>
                <w:rFonts w:ascii="Times New Roman"/>
                <w:sz w:val="10"/>
              </w:rPr>
            </w:pPr>
          </w:p>
        </w:tc>
        <w:tc>
          <w:tcPr>
            <w:tcW w:w="2040" w:type="dxa"/>
            <w:tcBorders>
              <w:top w:val="single" w:sz="4" w:space="0" w:color="000000"/>
            </w:tcBorders>
          </w:tcPr>
          <w:p>
            <w:pPr>
              <w:pStyle w:val="TableParagraph"/>
              <w:jc w:val="left"/>
              <w:rPr>
                <w:rFonts w:ascii="Times New Roman"/>
                <w:sz w:val="10"/>
              </w:rPr>
            </w:pPr>
          </w:p>
        </w:tc>
        <w:tc>
          <w:tcPr>
            <w:tcW w:w="1999" w:type="dxa"/>
            <w:tcBorders>
              <w:top w:val="single" w:sz="4" w:space="0" w:color="000000"/>
            </w:tcBorders>
          </w:tcPr>
          <w:p>
            <w:pPr>
              <w:pStyle w:val="TableParagraph"/>
              <w:jc w:val="left"/>
              <w:rPr>
                <w:rFonts w:ascii="Times New Roman"/>
                <w:sz w:val="10"/>
              </w:rPr>
            </w:pPr>
          </w:p>
        </w:tc>
      </w:tr>
    </w:tbl>
    <w:p>
      <w:pPr>
        <w:pStyle w:val="BodyText"/>
        <w:spacing w:before="190" w:line="232" w:lineRule="auto"/>
        <w:ind w:left="1151" w:right="3910"/>
        <w:jc w:val="both"/>
      </w:pPr>
      <w:r>
        <w:rPr>
          <w:color w:val="262626"/>
        </w:rPr>
        <w:t>由于我国光伏新增装机中分布式占比由</w:t>
      </w:r>
      <w:r>
        <w:rPr>
          <w:rFonts w:ascii="Calibri" w:eastAsia="Calibri"/>
          <w:color w:val="262626"/>
        </w:rPr>
        <w:t>2020</w:t>
      </w:r>
      <w:r>
        <w:rPr>
          <w:color w:val="262626"/>
        </w:rPr>
        <w:t>年的</w:t>
      </w:r>
      <w:r>
        <w:rPr>
          <w:rFonts w:ascii="Calibri" w:eastAsia="Calibri"/>
          <w:color w:val="262626"/>
        </w:rPr>
        <w:t>32.2%</w:t>
      </w:r>
      <w:r>
        <w:rPr>
          <w:color w:val="262626"/>
        </w:rPr>
        <w:t>大幅提升至</w:t>
      </w:r>
      <w:r>
        <w:rPr>
          <w:rFonts w:ascii="Calibri" w:eastAsia="Calibri"/>
          <w:color w:val="262626"/>
        </w:rPr>
        <w:t>2022</w:t>
      </w:r>
      <w:r>
        <w:rPr>
          <w:color w:val="262626"/>
        </w:rPr>
        <w:t>年的</w:t>
      </w:r>
      <w:r>
        <w:rPr>
          <w:rFonts w:ascii="Calibri" w:eastAsia="Calibri"/>
          <w:color w:val="262626"/>
        </w:rPr>
        <w:t>58.5%</w:t>
      </w:r>
      <w:r>
        <w:rPr>
          <w:color w:val="262626"/>
        </w:rPr>
        <w:t>，和组串式性价比优势扩大，</w:t>
      </w:r>
      <w:r>
        <w:rPr>
          <w:rFonts w:ascii="Calibri" w:eastAsia="Calibri"/>
          <w:color w:val="262626"/>
        </w:rPr>
        <w:t>2022</w:t>
      </w:r>
      <w:r>
        <w:rPr>
          <w:color w:val="262626"/>
        </w:rPr>
        <w:t>年我国组串式逆变器市占率由</w:t>
      </w:r>
      <w:r>
        <w:rPr>
          <w:rFonts w:ascii="Calibri" w:eastAsia="Calibri"/>
          <w:color w:val="262626"/>
        </w:rPr>
        <w:t>2020</w:t>
      </w:r>
      <w:r>
        <w:rPr>
          <w:color w:val="262626"/>
        </w:rPr>
        <w:t>年的</w:t>
      </w:r>
      <w:r>
        <w:rPr>
          <w:rFonts w:ascii="Calibri" w:eastAsia="Calibri"/>
          <w:color w:val="262626"/>
        </w:rPr>
        <w:t>66.5%</w:t>
      </w:r>
      <w:r>
        <w:rPr>
          <w:color w:val="262626"/>
        </w:rPr>
        <w:t>提升至</w:t>
      </w:r>
      <w:r>
        <w:rPr>
          <w:rFonts w:ascii="Calibri" w:eastAsia="Calibri"/>
          <w:color w:val="262626"/>
        </w:rPr>
        <w:t>78.3%</w:t>
      </w:r>
      <w:r>
        <w:rPr>
          <w:color w:val="262626"/>
        </w:rPr>
        <w:t>，牢牢占据市场主流，集中式逆变器市占率约</w:t>
      </w:r>
      <w:r>
        <w:rPr>
          <w:rFonts w:ascii="Calibri" w:eastAsia="Calibri"/>
          <w:color w:val="262626"/>
        </w:rPr>
        <w:t>20%</w:t>
      </w:r>
      <w:r>
        <w:rPr>
          <w:color w:val="262626"/>
        </w:rPr>
        <w:t>，但在不断下降，集散式仅占</w:t>
      </w:r>
      <w:r>
        <w:rPr>
          <w:rFonts w:ascii="Calibri" w:eastAsia="Calibri"/>
          <w:color w:val="262626"/>
        </w:rPr>
        <w:t>1.7%</w:t>
      </w:r>
      <w:r>
        <w:rPr>
          <w:color w:val="262626"/>
        </w:rPr>
        <w:t>。</w:t>
      </w:r>
    </w:p>
    <w:p>
      <w:pPr>
        <w:pStyle w:val="BodyText"/>
        <w:spacing w:before="6"/>
        <w:rPr>
          <w:sz w:val="15"/>
        </w:rPr>
      </w:pPr>
    </w:p>
    <w:p>
      <w:pPr>
        <w:pStyle w:val="Heading3"/>
      </w:pPr>
      <w:r>
        <w:rPr>
          <w:color w:val="262626"/>
        </w:rPr>
        <w:t>图表</w:t>
      </w:r>
      <w:r>
        <w:rPr>
          <w:rFonts w:ascii="Calibri" w:eastAsia="Calibri"/>
        </w:rPr>
        <w:t xml:space="preserve">43: </w:t>
      </w:r>
      <w:r>
        <w:t>内地各技术路线逆变器市占率</w:t>
      </w:r>
    </w:p>
    <w:p>
      <w:pPr>
        <w:pStyle w:val="BodyText"/>
        <w:spacing w:line="20" w:lineRule="exact"/>
        <w:ind w:left="1143"/>
        <w:rPr>
          <w:rFonts w:ascii="Microsoft JhengHei"/>
          <w:sz w:val="2"/>
        </w:rPr>
      </w:pPr>
      <w:r>
        <w:rPr>
          <w:rFonts w:ascii="Microsoft JhengHei"/>
          <w:sz w:val="2"/>
        </w:rPr>
        <w:pict>
          <v:group id="_x0000_i1689" style="width:357.2pt;height:0.75pt;mso-position-horizontal-relative:char;mso-position-vertical-relative:line" coordorigin="0,0" coordsize="7144,15">
            <v:line id="_x0000_s1690" style="position:absolute" from="0,7" to="7144,7" stroked="t" strokecolor="black" strokeweight="0.75pt">
              <v:stroke dashstyle="solid"/>
            </v:line>
            <w10:wrap type="none"/>
          </v:group>
        </w:pict>
      </w:r>
    </w:p>
    <w:p>
      <w:pPr>
        <w:tabs>
          <w:tab w:val="left" w:pos="4579"/>
          <w:tab w:val="left" w:pos="5894"/>
        </w:tabs>
        <w:spacing w:before="24"/>
        <w:ind w:left="3263" w:right="0" w:firstLine="0"/>
        <w:jc w:val="left"/>
        <w:rPr>
          <w:sz w:val="16"/>
        </w:rPr>
      </w:pPr>
      <w:r>
        <w:pict>
          <v:rect id="_x0000_s1691" style="width:4.44pt;height:4.44pt;margin-top:4.57pt;margin-left:156.92pt;mso-position-horizontal-relative:page;position:absolute;z-index:251792384" filled="t" fillcolor="#ddebef" stroked="f">
            <v:fill type="solid"/>
          </v:rect>
        </w:pict>
      </w:r>
      <w:r>
        <w:pict>
          <v:rect id="_x0000_s1692" style="width:4.32pt;height:4.44pt;margin-top:4.57pt;margin-left:222.78pt;mso-position-horizontal-relative:page;position:absolute;z-index:-251527168" filled="t" fillcolor="#9cc6cd" stroked="f">
            <v:fill type="solid"/>
          </v:rect>
        </w:pict>
      </w:r>
      <w:r>
        <w:pict>
          <v:rect id="_x0000_s1693" style="width:4.44pt;height:4.44pt;margin-top:4.57pt;margin-left:288.51pt;mso-position-horizontal-relative:page;position:absolute;z-index:-251526144" filled="t" fillcolor="#59a1ae" stroked="f">
            <v:fill type="solid"/>
          </v:rect>
        </w:pict>
      </w:r>
      <w:r>
        <w:rPr>
          <w:sz w:val="16"/>
        </w:rPr>
        <w:t>集中式</w:t>
        <w:tab/>
        <w:t>集散式</w:t>
        <w:tab/>
        <w:t>组串式</w:t>
      </w:r>
    </w:p>
    <w:p>
      <w:pPr>
        <w:spacing w:before="19"/>
        <w:ind w:left="2411" w:right="0" w:firstLine="0"/>
        <w:jc w:val="left"/>
        <w:rPr>
          <w:rFonts w:ascii="Calibri"/>
          <w:sz w:val="16"/>
        </w:rPr>
      </w:pPr>
      <w:r>
        <w:pict>
          <v:group id="_x0000_s1694" style="width:197pt;height:109.75pt;margin-top:6.05pt;margin-left:149.37pt;mso-position-horizontal-relative:page;position:absolute;z-index:251791360" coordorigin="2987,121" coordsize="3940,2195">
            <v:shape id="_x0000_s1695" style="width:3882;height:2;left:3037;position:absolute;top:1835" coordorigin="3038,1836" coordsize="3882,0" path="m5238,1836l6919,1836m3945,1836l4719,1836m3038,1836l3426,1836e" filled="f" stroked="t" strokecolor="#bfbfbf" strokeweight="0.48pt">
              <v:stroke dashstyle="solid"/>
              <v:path arrowok="t"/>
            </v:shape>
            <v:shape id="_x0000_s1696" style="width:3105;height:610;left:3426;position:absolute;top:1653" coordorigin="3426,1654" coordsize="3105,610" path="m3945,1654l3426,1654,3426,2263,3945,2263,3945,1654m5238,1673l4719,1673,4719,2263,5238,2263,5238,1673m6531,1836l6012,1836,6012,2263,6531,2263,6531,1836e" filled="t" fillcolor="#ddebef" stroked="f">
              <v:fill type="solid"/>
              <v:path arrowok="t"/>
            </v:shape>
            <v:shape id="_x0000_s1697" style="width:3105;height:288;left:3426;position:absolute;top:1548" coordorigin="3426,1548" coordsize="3105,288" path="m3945,1548l3426,1548,3426,1654,3945,1654,3945,1548m5238,1613l4719,1613,4719,1673,5238,1673,5238,1613m6531,1800l6012,1800,6012,1836,6531,1836,6531,1800e" filled="t" fillcolor="#9cc6cd" stroked="f">
              <v:fill type="solid"/>
              <v:path arrowok="t"/>
            </v:shape>
            <v:shape id="_x0000_s1698" style="width:1682;height:854;left:3037;position:absolute;top:555" coordorigin="3038,555" coordsize="1682,854" path="m3945,1409l4719,1409m3038,1409l3426,1409m3945,982l4719,982m3038,982l3426,982m3945,555l4719,555m3038,555l3426,555e" filled="f" stroked="t" strokecolor="#bfbfbf" strokeweight="0.48pt">
              <v:stroke dashstyle="solid"/>
              <v:path arrowok="t"/>
            </v:shape>
            <v:line id="_x0000_s1699" style="position:absolute" from="3038,126" to="6919,126" stroked="t" strokecolor="#bfbfbf" strokeweight="0.48pt">
              <v:stroke dashstyle="solid"/>
            </v:line>
            <v:rect id="_x0000_s1700" style="width:519;height:1423;left:3426;position:absolute;top:125" filled="t" fillcolor="#59a1ae" stroked="f">
              <v:fill type="solid"/>
            </v:rect>
            <v:shape id="_x0000_s1701" style="width:775;height:854;left:5237;position:absolute;top:555" coordorigin="5238,555" coordsize="775,854" path="m5238,1409l6012,1409m5238,982l6012,982m5238,555l6012,555e" filled="f" stroked="t" strokecolor="#bfbfbf" strokeweight="0.48pt">
              <v:stroke dashstyle="solid"/>
              <v:path arrowok="t"/>
            </v:shape>
            <v:rect id="_x0000_s1702" style="width:519;height:1487;left:4719;position:absolute;top:125" filled="t" fillcolor="#59a1ae" stroked="f">
              <v:fill type="solid"/>
            </v:rect>
            <v:shape id="_x0000_s1703" style="width:389;height:854;left:6530;position:absolute;top:555" coordorigin="6531,555" coordsize="389,854" path="m6531,1409l6919,1409m6531,982l6919,982m6531,555l6919,555e" filled="f" stroked="t" strokecolor="#bfbfbf" strokeweight="0.48pt">
              <v:stroke dashstyle="solid"/>
              <v:path arrowok="t"/>
            </v:shape>
            <v:rect id="_x0000_s1704" style="width:519;height:1675;left:6012;position:absolute;top:125" filled="t" fillcolor="#59a1ae" stroked="f">
              <v:fill type="solid"/>
            </v:rect>
            <v:line id="_x0000_s1705" style="position:absolute" from="3038,2263" to="3038,126" stroked="t" strokecolor="#7e7e7e" strokeweight="0.48pt">
              <v:stroke dashstyle="solid"/>
            </v:line>
            <v:shape id="_x0000_s1706" style="width:214944;height:9119740;position:absolute;top:-9114981" coordorigin="0,-9114980" coordsize="214944,9119740" path="m2987,2263l3038,2263m2987,1836l3038,1836m2987,1409l3038,1409m2987,982l3038,982m2987,555l3038,555m2987,126l3038,126e" filled="f" stroked="t" strokecolor="#7e7e7e" strokeweight="0.48pt">
              <v:stroke dashstyle="solid"/>
              <v:path arrowok="t"/>
            </v:shape>
            <v:shape id="_x0000_s1707" style="width:16560880;height:225178;position:absolute;top:-220418" coordorigin="0,-220418" coordsize="16560880,225178" path="m3038,2263l6919,2263m3038,2263l3038,2316m4331,2263l4331,2316m5626,2263l5626,2316m6919,2263l6919,2316e" filled="f" stroked="t" strokecolor="#7e7e7e" strokeweight="0.72pt">
              <v:stroke dashstyle="solid"/>
              <v:path arrowok="t"/>
            </v:shape>
          </v:group>
        </w:pict>
      </w:r>
      <w:r>
        <w:rPr>
          <w:rFonts w:ascii="Calibri"/>
          <w:sz w:val="16"/>
        </w:rPr>
        <w:t>100.0%</w:t>
      </w:r>
    </w:p>
    <w:p>
      <w:pPr>
        <w:pStyle w:val="BodyText"/>
        <w:spacing w:before="5"/>
        <w:rPr>
          <w:rFonts w:ascii="Calibri"/>
          <w:sz w:val="13"/>
        </w:rPr>
      </w:pPr>
    </w:p>
    <w:p>
      <w:pPr>
        <w:spacing w:before="68"/>
        <w:ind w:left="2492" w:right="0" w:firstLine="0"/>
        <w:jc w:val="left"/>
        <w:rPr>
          <w:rFonts w:ascii="Calibri"/>
          <w:sz w:val="16"/>
        </w:rPr>
      </w:pPr>
      <w:r>
        <w:rPr>
          <w:rFonts w:ascii="Calibri"/>
          <w:sz w:val="16"/>
        </w:rPr>
        <w:t>80.0%</w:t>
      </w:r>
    </w:p>
    <w:p>
      <w:pPr>
        <w:pStyle w:val="BodyText"/>
        <w:spacing w:before="6"/>
        <w:rPr>
          <w:rFonts w:ascii="Calibri"/>
          <w:sz w:val="13"/>
        </w:rPr>
      </w:pPr>
    </w:p>
    <w:p>
      <w:pPr>
        <w:spacing w:before="68"/>
        <w:ind w:left="2492" w:right="0" w:firstLine="0"/>
        <w:jc w:val="left"/>
        <w:rPr>
          <w:rFonts w:ascii="Calibri"/>
          <w:sz w:val="16"/>
        </w:rPr>
      </w:pPr>
      <w:r>
        <w:rPr>
          <w:rFonts w:ascii="Calibri"/>
          <w:sz w:val="16"/>
        </w:rPr>
        <w:t>60.0%</w:t>
      </w:r>
    </w:p>
    <w:p>
      <w:pPr>
        <w:pStyle w:val="BodyText"/>
        <w:spacing w:before="5"/>
        <w:rPr>
          <w:rFonts w:ascii="Calibri"/>
          <w:sz w:val="13"/>
        </w:rPr>
      </w:pPr>
    </w:p>
    <w:p>
      <w:pPr>
        <w:spacing w:before="68"/>
        <w:ind w:left="2492" w:right="0" w:firstLine="0"/>
        <w:jc w:val="left"/>
        <w:rPr>
          <w:rFonts w:ascii="Calibri"/>
          <w:sz w:val="16"/>
        </w:rPr>
      </w:pPr>
      <w:r>
        <w:rPr>
          <w:rFonts w:ascii="Calibri"/>
          <w:sz w:val="16"/>
        </w:rPr>
        <w:t>40.0%</w:t>
      </w:r>
    </w:p>
    <w:p>
      <w:pPr>
        <w:pStyle w:val="BodyText"/>
        <w:spacing w:before="5"/>
        <w:rPr>
          <w:rFonts w:ascii="Calibri"/>
          <w:sz w:val="13"/>
        </w:rPr>
      </w:pPr>
    </w:p>
    <w:p>
      <w:pPr>
        <w:spacing w:before="69"/>
        <w:ind w:left="2492" w:right="0" w:firstLine="0"/>
        <w:jc w:val="left"/>
        <w:rPr>
          <w:rFonts w:ascii="Calibri"/>
          <w:sz w:val="16"/>
        </w:rPr>
      </w:pPr>
      <w:r>
        <w:rPr>
          <w:rFonts w:ascii="Calibri"/>
          <w:sz w:val="16"/>
        </w:rPr>
        <w:t>20.0%</w:t>
      </w:r>
    </w:p>
    <w:p>
      <w:pPr>
        <w:pStyle w:val="BodyText"/>
        <w:spacing w:before="5"/>
        <w:rPr>
          <w:rFonts w:ascii="Calibri"/>
          <w:sz w:val="13"/>
        </w:rPr>
      </w:pPr>
    </w:p>
    <w:p>
      <w:pPr>
        <w:spacing w:after="0"/>
        <w:rPr>
          <w:rFonts w:ascii="Calibri"/>
          <w:sz w:val="13"/>
        </w:rPr>
        <w:sectPr>
          <w:headerReference w:type="default" r:id="rId146"/>
          <w:footerReference w:type="default" r:id="rId147"/>
          <w:pgSz w:w="12240" w:h="15840"/>
          <w:pgMar w:top="1720" w:right="0" w:bottom="1380" w:left="0" w:header="708" w:footer="708"/>
          <w:pgNumType w:start="51"/>
          <w:cols w:space="708"/>
        </w:sectPr>
      </w:pPr>
    </w:p>
    <w:p>
      <w:pPr>
        <w:spacing w:before="68"/>
        <w:ind w:left="0" w:right="0" w:firstLine="0"/>
        <w:jc w:val="right"/>
        <w:rPr>
          <w:rFonts w:ascii="Calibri"/>
          <w:sz w:val="16"/>
        </w:rPr>
      </w:pPr>
      <w:r>
        <w:rPr>
          <w:rFonts w:ascii="Calibri"/>
          <w:sz w:val="16"/>
        </w:rPr>
        <w:t>0.0%</w:t>
      </w:r>
    </w:p>
    <w:p>
      <w:pPr>
        <w:pStyle w:val="BodyText"/>
        <w:spacing w:before="5"/>
        <w:rPr>
          <w:rFonts w:ascii="Calibri"/>
          <w:sz w:val="20"/>
        </w:rPr>
      </w:pPr>
    </w:p>
    <w:p>
      <w:pPr>
        <w:spacing w:before="0"/>
        <w:ind w:left="1150" w:right="0" w:firstLine="0"/>
        <w:jc w:val="left"/>
        <w:rPr>
          <w:sz w:val="15"/>
        </w:rPr>
      </w:pPr>
      <w:r>
        <w:t xml:space="preserve">资料来源：CPIA， </w:t>
      </w:r>
    </w:p>
    <w:p>
      <w:pPr>
        <w:pStyle w:val="BodyText"/>
        <w:spacing w:before="7"/>
      </w:pPr>
      <w:r>
        <w:br w:type="column"/>
      </w:r>
    </w:p>
    <w:p>
      <w:pPr>
        <w:tabs>
          <w:tab w:val="left" w:pos="1886"/>
          <w:tab w:val="left" w:pos="3179"/>
        </w:tabs>
        <w:spacing w:before="0"/>
        <w:ind w:left="593" w:right="0" w:firstLine="0"/>
        <w:jc w:val="left"/>
        <w:rPr>
          <w:rFonts w:ascii="Calibri"/>
          <w:sz w:val="16"/>
        </w:rPr>
      </w:pPr>
      <w:r>
        <w:rPr>
          <w:rFonts w:ascii="Calibri"/>
          <w:sz w:val="16"/>
        </w:rPr>
        <w:t>2020</w:t>
        <w:tab/>
        <w:t>2021</w:t>
        <w:tab/>
        <w:t>2022</w:t>
      </w:r>
    </w:p>
    <w:p>
      <w:pPr>
        <w:spacing w:after="0"/>
        <w:jc w:val="left"/>
        <w:rPr>
          <w:rFonts w:ascii="Calibri"/>
          <w:sz w:val="16"/>
        </w:rPr>
        <w:sectPr>
          <w:headerReference w:type="default" r:id="rId148"/>
          <w:footerReference w:type="default" r:id="rId149"/>
          <w:type w:val="continuous"/>
          <w:pgSz w:w="12240" w:h="15840"/>
          <w:pgMar w:top="1500" w:right="0" w:bottom="280" w:left="0" w:header="708" w:footer="708"/>
          <w:pgNumType w:start="52"/>
          <w:cols w:num="2" w:space="708" w:equalWidth="0">
            <w:col w:w="2890" w:space="40"/>
            <w:col w:w="9310" w:space="0"/>
          </w:cols>
        </w:sectPr>
      </w:pPr>
    </w:p>
    <w:p>
      <w:pPr>
        <w:pStyle w:val="BodyText"/>
        <w:rPr>
          <w:rFonts w:ascii="Calibri"/>
          <w:sz w:val="20"/>
        </w:rPr>
      </w:pPr>
    </w:p>
    <w:p>
      <w:pPr>
        <w:pStyle w:val="BodyText"/>
        <w:spacing w:before="3"/>
        <w:rPr>
          <w:rFonts w:ascii="Calibri"/>
          <w:sz w:val="24"/>
        </w:rPr>
      </w:pPr>
    </w:p>
    <w:p>
      <w:pPr>
        <w:pStyle w:val="Heading2"/>
      </w:pPr>
      <w:bookmarkStart w:id="17" w:name="_TOC_250001"/>
      <w:bookmarkEnd w:id="17"/>
      <w:r>
        <w:rPr>
          <w:color w:val="59A1AE"/>
        </w:rPr>
        <w:t>单瓦成本与单台功率负相关，大型化趋势下单瓦价格持续下行</w:t>
      </w:r>
    </w:p>
    <w:p>
      <w:pPr>
        <w:pStyle w:val="BodyText"/>
        <w:spacing w:before="91" w:line="265" w:lineRule="exact"/>
        <w:ind w:left="1151"/>
      </w:pPr>
      <w:r>
        <w:rPr>
          <w:rFonts w:ascii="Calibri" w:eastAsia="Calibri"/>
          <w:color w:val="262626"/>
        </w:rPr>
        <w:t>2022</w:t>
      </w:r>
      <w:r>
        <w:rPr>
          <w:rFonts w:ascii="Calibri" w:eastAsia="Calibri"/>
          <w:color w:val="262626"/>
          <w:spacing w:val="13"/>
        </w:rPr>
        <w:t xml:space="preserve"> </w:t>
      </w:r>
      <w:r>
        <w:rPr>
          <w:color w:val="262626"/>
          <w:spacing w:val="12"/>
        </w:rPr>
        <w:t>年集中式、集中式电站用组串式、集散式逆变器单台主流平均功率为</w:t>
      </w:r>
    </w:p>
    <w:p>
      <w:pPr>
        <w:pStyle w:val="BodyText"/>
        <w:spacing w:line="260" w:lineRule="exact"/>
        <w:ind w:left="1151"/>
      </w:pPr>
      <w:r>
        <w:rPr>
          <w:rFonts w:ascii="Calibri" w:eastAsia="Calibri"/>
          <w:color w:val="262626"/>
        </w:rPr>
        <w:t>3200/230/3150kW</w:t>
      </w:r>
      <w:r>
        <w:rPr>
          <w:rFonts w:ascii="Calibri" w:eastAsia="Calibri"/>
          <w:color w:val="262626"/>
          <w:spacing w:val="23"/>
        </w:rPr>
        <w:t xml:space="preserve"> </w:t>
      </w:r>
      <w:r>
        <w:rPr>
          <w:color w:val="262626"/>
          <w:spacing w:val="-22"/>
        </w:rPr>
        <w:t xml:space="preserve">， 中 国 光 伏 行 业 协 会 预 计 </w:t>
      </w:r>
      <w:r>
        <w:rPr>
          <w:rFonts w:ascii="Calibri" w:eastAsia="Calibri"/>
          <w:color w:val="262626"/>
        </w:rPr>
        <w:t>2030</w:t>
      </w:r>
      <w:r>
        <w:rPr>
          <w:rFonts w:ascii="Calibri" w:eastAsia="Calibri"/>
          <w:color w:val="262626"/>
          <w:spacing w:val="24"/>
        </w:rPr>
        <w:t xml:space="preserve"> </w:t>
      </w:r>
      <w:r>
        <w:rPr>
          <w:color w:val="262626"/>
          <w:spacing w:val="-20"/>
        </w:rPr>
        <w:t>年 将 大 幅 提 升 至</w:t>
      </w:r>
    </w:p>
    <w:p>
      <w:pPr>
        <w:pStyle w:val="BodyText"/>
        <w:spacing w:line="260" w:lineRule="exact"/>
        <w:ind w:left="1151"/>
      </w:pPr>
      <w:r>
        <w:rPr>
          <w:rFonts w:ascii="Calibri" w:eastAsia="Calibri"/>
          <w:color w:val="262626"/>
        </w:rPr>
        <w:t>6250/400/6250kW</w:t>
      </w:r>
      <w:r>
        <w:rPr>
          <w:color w:val="262626"/>
        </w:rPr>
        <w:t>，</w:t>
      </w:r>
      <w:r>
        <w:rPr>
          <w:rFonts w:ascii="Calibri" w:eastAsia="Calibri"/>
          <w:color w:val="262626"/>
        </w:rPr>
        <w:t>2022</w:t>
      </w:r>
      <w:r>
        <w:rPr>
          <w:color w:val="262626"/>
          <w:spacing w:val="4"/>
        </w:rPr>
        <w:t xml:space="preserve">年户用逆变器单台功率在 </w:t>
      </w:r>
      <w:r>
        <w:rPr>
          <w:rFonts w:ascii="Calibri" w:eastAsia="Calibri"/>
          <w:color w:val="262626"/>
        </w:rPr>
        <w:t>220V</w:t>
      </w:r>
      <w:r>
        <w:rPr>
          <w:rFonts w:ascii="Calibri" w:eastAsia="Calibri"/>
          <w:color w:val="262626"/>
          <w:spacing w:val="15"/>
        </w:rPr>
        <w:t xml:space="preserve"> </w:t>
      </w:r>
      <w:r>
        <w:rPr>
          <w:color w:val="262626"/>
          <w:spacing w:val="-2"/>
        </w:rPr>
        <w:t xml:space="preserve">电压下为 </w:t>
      </w:r>
      <w:r>
        <w:rPr>
          <w:rFonts w:ascii="Calibri" w:eastAsia="Calibri"/>
          <w:color w:val="262626"/>
          <w:spacing w:val="3"/>
        </w:rPr>
        <w:t>5-8kW</w:t>
      </w:r>
      <w:r>
        <w:rPr>
          <w:color w:val="262626"/>
          <w:spacing w:val="1"/>
        </w:rPr>
        <w:t>，在</w:t>
      </w:r>
    </w:p>
    <w:p>
      <w:pPr>
        <w:pStyle w:val="BodyText"/>
        <w:spacing w:line="265" w:lineRule="exact"/>
        <w:ind w:left="1151"/>
      </w:pPr>
      <w:r>
        <w:rPr>
          <w:rFonts w:ascii="Calibri" w:eastAsia="Calibri"/>
          <w:color w:val="262626"/>
        </w:rPr>
        <w:t xml:space="preserve">380V </w:t>
      </w:r>
      <w:r>
        <w:rPr>
          <w:color w:val="262626"/>
        </w:rPr>
        <w:t xml:space="preserve">电压下为 </w:t>
      </w:r>
      <w:r>
        <w:rPr>
          <w:rFonts w:ascii="Calibri" w:eastAsia="Calibri"/>
          <w:color w:val="262626"/>
        </w:rPr>
        <w:t>20-30kW</w:t>
      </w:r>
      <w:r>
        <w:rPr>
          <w:color w:val="262626"/>
        </w:rPr>
        <w:t>。</w:t>
      </w:r>
    </w:p>
    <w:p>
      <w:pPr>
        <w:pStyle w:val="BodyText"/>
        <w:spacing w:before="6"/>
        <w:rPr>
          <w:sz w:val="15"/>
        </w:rPr>
      </w:pPr>
    </w:p>
    <w:p>
      <w:pPr>
        <w:pStyle w:val="Heading3"/>
        <w:spacing w:before="1"/>
      </w:pPr>
      <w:r>
        <w:rPr>
          <w:color w:val="262626"/>
        </w:rPr>
        <w:t>图表</w:t>
      </w:r>
      <w:r>
        <w:rPr>
          <w:rFonts w:ascii="Calibri" w:eastAsia="Calibri"/>
        </w:rPr>
        <w:t xml:space="preserve">44: </w:t>
      </w:r>
      <w:r>
        <w:t>内地</w:t>
      </w:r>
      <w:r>
        <w:rPr>
          <w:color w:val="262626"/>
        </w:rPr>
        <w:t>逆变器单机主流平均功率</w:t>
      </w:r>
    </w:p>
    <w:p>
      <w:pPr>
        <w:pStyle w:val="BodyText"/>
        <w:spacing w:line="20" w:lineRule="exact"/>
        <w:ind w:left="1143"/>
        <w:rPr>
          <w:rFonts w:ascii="Microsoft JhengHei"/>
          <w:sz w:val="2"/>
        </w:rPr>
      </w:pPr>
      <w:r>
        <w:rPr>
          <w:rFonts w:ascii="Microsoft JhengHei"/>
          <w:sz w:val="2"/>
        </w:rPr>
        <w:pict>
          <v:group id="_x0000_i1708" style="width:357.2pt;height:0.75pt;mso-position-horizontal-relative:char;mso-position-vertical-relative:line" coordorigin="0,0" coordsize="7144,15">
            <v:line id="_x0000_s1709" style="position:absolute" from="0,8" to="7144,8" stroked="t" strokecolor="black" strokeweight="0.75pt">
              <v:stroke dashstyle="solid"/>
            </v:line>
            <w10:wrap type="none"/>
          </v:group>
        </w:pict>
      </w:r>
    </w:p>
    <w:p>
      <w:pPr>
        <w:spacing w:before="14"/>
        <w:ind w:left="3566" w:right="0" w:firstLine="0"/>
        <w:jc w:val="left"/>
        <w:rPr>
          <w:sz w:val="16"/>
        </w:rPr>
      </w:pPr>
      <w:r>
        <w:pict>
          <v:line id="_x0000_s1710" style="mso-position-horizontal-relative:page;position:absolute;z-index:251793408" from="157.05pt,6.8pt" to="176.25pt,6.8pt" stroked="t" strokecolor="#1f5ea0" strokeweight="1.8pt">
            <v:stroke dashstyle="solid"/>
          </v:line>
        </w:pict>
      </w:r>
      <w:r>
        <w:rPr>
          <w:sz w:val="16"/>
        </w:rPr>
        <w:t>集中式逆变器（左轴）</w:t>
      </w:r>
    </w:p>
    <w:p>
      <w:pPr>
        <w:spacing w:after="0"/>
        <w:jc w:val="left"/>
        <w:rPr>
          <w:sz w:val="16"/>
        </w:rPr>
        <w:sectPr>
          <w:headerReference w:type="default" r:id="rId150"/>
          <w:footerReference w:type="default" r:id="rId151"/>
          <w:pgSz w:w="12240" w:h="15840"/>
          <w:pgMar w:top="1720" w:right="0" w:bottom="1380" w:left="0" w:header="708" w:footer="708"/>
          <w:pgNumType w:start="53"/>
          <w:cols w:space="708"/>
        </w:sectPr>
      </w:pPr>
    </w:p>
    <w:p>
      <w:pPr>
        <w:pStyle w:val="BodyText"/>
        <w:rPr>
          <w:sz w:val="13"/>
        </w:rPr>
      </w:pPr>
    </w:p>
    <w:p>
      <w:pPr>
        <w:spacing w:before="1"/>
        <w:ind w:left="0" w:right="60" w:firstLine="0"/>
        <w:jc w:val="right"/>
        <w:rPr>
          <w:rFonts w:ascii="Calibri"/>
          <w:sz w:val="16"/>
        </w:rPr>
      </w:pPr>
      <w:r>
        <w:rPr>
          <w:rFonts w:ascii="Calibri"/>
          <w:spacing w:val="-1"/>
          <w:sz w:val="16"/>
        </w:rPr>
        <w:t>9,000</w:t>
      </w:r>
    </w:p>
    <w:p>
      <w:pPr>
        <w:spacing w:before="27"/>
        <w:ind w:left="0" w:right="60" w:firstLine="0"/>
        <w:jc w:val="right"/>
        <w:rPr>
          <w:rFonts w:ascii="Calibri"/>
          <w:sz w:val="16"/>
        </w:rPr>
      </w:pPr>
      <w:r>
        <w:rPr>
          <w:rFonts w:ascii="Calibri"/>
          <w:spacing w:val="-1"/>
          <w:sz w:val="16"/>
        </w:rPr>
        <w:t>8,000</w:t>
      </w:r>
    </w:p>
    <w:p>
      <w:pPr>
        <w:spacing w:before="28"/>
        <w:ind w:left="0" w:right="60" w:firstLine="0"/>
        <w:jc w:val="right"/>
        <w:rPr>
          <w:rFonts w:ascii="Calibri"/>
          <w:sz w:val="16"/>
        </w:rPr>
      </w:pPr>
      <w:r>
        <w:rPr>
          <w:rFonts w:ascii="Calibri"/>
          <w:spacing w:val="-1"/>
          <w:sz w:val="16"/>
        </w:rPr>
        <w:t>7,000</w:t>
      </w:r>
    </w:p>
    <w:p>
      <w:pPr>
        <w:spacing w:before="27"/>
        <w:ind w:left="0" w:right="60" w:firstLine="0"/>
        <w:jc w:val="right"/>
        <w:rPr>
          <w:rFonts w:ascii="Calibri"/>
          <w:sz w:val="16"/>
        </w:rPr>
      </w:pPr>
      <w:r>
        <w:rPr>
          <w:rFonts w:ascii="Calibri"/>
          <w:spacing w:val="-1"/>
          <w:sz w:val="16"/>
        </w:rPr>
        <w:t>6,000</w:t>
      </w:r>
    </w:p>
    <w:p>
      <w:pPr>
        <w:spacing w:before="28"/>
        <w:ind w:left="0" w:right="60" w:firstLine="0"/>
        <w:jc w:val="right"/>
        <w:rPr>
          <w:rFonts w:ascii="Calibri"/>
          <w:sz w:val="16"/>
        </w:rPr>
      </w:pPr>
      <w:r>
        <w:rPr>
          <w:rFonts w:ascii="Calibri"/>
          <w:spacing w:val="-1"/>
          <w:sz w:val="16"/>
        </w:rPr>
        <w:t>5,000</w:t>
      </w:r>
    </w:p>
    <w:p>
      <w:pPr>
        <w:spacing w:before="28"/>
        <w:ind w:left="0" w:right="60" w:firstLine="0"/>
        <w:jc w:val="right"/>
        <w:rPr>
          <w:rFonts w:ascii="Calibri"/>
          <w:sz w:val="16"/>
        </w:rPr>
      </w:pPr>
      <w:r>
        <w:rPr>
          <w:rFonts w:ascii="Calibri"/>
          <w:spacing w:val="-1"/>
          <w:sz w:val="16"/>
        </w:rPr>
        <w:t>4,000</w:t>
      </w:r>
    </w:p>
    <w:p>
      <w:pPr>
        <w:spacing w:before="27"/>
        <w:ind w:left="0" w:right="60" w:firstLine="0"/>
        <w:jc w:val="right"/>
        <w:rPr>
          <w:rFonts w:ascii="Calibri"/>
          <w:sz w:val="16"/>
        </w:rPr>
      </w:pPr>
      <w:r>
        <w:rPr>
          <w:rFonts w:ascii="Calibri"/>
          <w:spacing w:val="-1"/>
          <w:sz w:val="16"/>
        </w:rPr>
        <w:t>3,000</w:t>
      </w:r>
    </w:p>
    <w:p>
      <w:pPr>
        <w:spacing w:before="28"/>
        <w:ind w:left="0" w:right="60" w:firstLine="0"/>
        <w:jc w:val="right"/>
        <w:rPr>
          <w:rFonts w:ascii="Calibri"/>
          <w:sz w:val="16"/>
        </w:rPr>
      </w:pPr>
      <w:r>
        <w:rPr>
          <w:rFonts w:ascii="Calibri"/>
          <w:spacing w:val="-1"/>
          <w:sz w:val="16"/>
        </w:rPr>
        <w:t>2,000</w:t>
      </w:r>
    </w:p>
    <w:p>
      <w:pPr>
        <w:spacing w:before="27"/>
        <w:ind w:left="0" w:right="60" w:firstLine="0"/>
        <w:jc w:val="right"/>
        <w:rPr>
          <w:rFonts w:ascii="Calibri"/>
          <w:sz w:val="16"/>
        </w:rPr>
      </w:pPr>
      <w:r>
        <w:rPr>
          <w:rFonts w:ascii="Calibri"/>
          <w:spacing w:val="-1"/>
          <w:sz w:val="16"/>
        </w:rPr>
        <w:t>1,000</w:t>
      </w:r>
    </w:p>
    <w:p>
      <w:pPr>
        <w:spacing w:before="28"/>
        <w:ind w:left="0" w:right="60" w:firstLine="0"/>
        <w:jc w:val="right"/>
        <w:rPr>
          <w:rFonts w:ascii="Calibri"/>
          <w:sz w:val="16"/>
        </w:rPr>
      </w:pPr>
      <w:r>
        <w:rPr>
          <w:rFonts w:ascii="Calibri"/>
          <w:w w:val="100"/>
          <w:sz w:val="16"/>
        </w:rPr>
        <w:t>0</w:t>
      </w:r>
    </w:p>
    <w:p>
      <w:pPr>
        <w:pStyle w:val="BodyText"/>
        <w:spacing w:before="5"/>
        <w:rPr>
          <w:rFonts w:ascii="Calibri"/>
        </w:rPr>
      </w:pPr>
    </w:p>
    <w:p>
      <w:pPr>
        <w:spacing w:before="0"/>
        <w:ind w:left="1150" w:right="0" w:firstLine="0"/>
        <w:jc w:val="left"/>
        <w:rPr>
          <w:sz w:val="15"/>
        </w:rPr>
      </w:pPr>
      <w:r>
        <w:t xml:space="preserve">资料来源：CPIA， </w:t>
      </w:r>
    </w:p>
    <w:p>
      <w:pPr>
        <w:spacing w:before="44"/>
        <w:ind w:left="713" w:right="0" w:firstLine="0"/>
        <w:jc w:val="left"/>
        <w:rPr>
          <w:sz w:val="16"/>
        </w:rPr>
      </w:pPr>
      <w:r>
        <w:br w:type="column"/>
      </w:r>
      <w:r>
        <w:rPr>
          <w:sz w:val="16"/>
        </w:rPr>
        <w:t>组串式逆变器</w:t>
      </w:r>
      <w:r>
        <w:rPr>
          <w:rFonts w:ascii="Calibri" w:eastAsia="Calibri" w:hAnsi="Calibri"/>
          <w:sz w:val="16"/>
        </w:rPr>
        <w:t>—</w:t>
      </w:r>
      <w:r>
        <w:rPr>
          <w:sz w:val="16"/>
        </w:rPr>
        <w:t>集中式电站用（右轴）</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0"/>
      </w:pPr>
    </w:p>
    <w:p>
      <w:pPr>
        <w:spacing w:before="1"/>
        <w:ind w:left="78" w:right="0" w:firstLine="0"/>
        <w:jc w:val="left"/>
        <w:rPr>
          <w:sz w:val="16"/>
        </w:rPr>
      </w:pPr>
      <w:r>
        <w:pict>
          <v:group id="_x0000_s1711" style="width:193.2pt;height:103.2pt;margin-top:-105.24pt;margin-left:142.37pt;mso-position-horizontal-relative:page;position:absolute;z-index:251794432" coordorigin="2847,-2105" coordsize="3864,2064">
            <v:shape id="_x0000_s1712" style="width:15918760;height:7543140;position:absolute;top:-7534336" coordorigin="0,-7534335" coordsize="15918760,7543140" path="m2898,-315l6661,-315m2898,-538l6661,-538m2898,-761l6661,-761m2898,-985l6661,-985m2898,-1205l6661,-1205m2898,-1428l6661,-1428m2898,-1651l6661,-1651m2898,-1875l6661,-1875m2898,-2098l6661,-2098e" filled="f" stroked="t" strokecolor="#d8d8d8" strokeweight="0.72pt">
              <v:stroke dashstyle="solid"/>
              <v:path arrowok="t"/>
            </v:shape>
            <v:line id="_x0000_s1713" style="position:absolute" from="6661,-92" to="6661,-2098" stroked="t" strokecolor="#bfbfbf" strokeweight="0.72pt">
              <v:stroke dashstyle="solid"/>
            </v:line>
            <v:shape id="_x0000_s1714" style="width:213198;height:8487300;position:absolute;top:-8478496" coordorigin="0,-8478495" coordsize="213198,8487300" path="m6661,-92l6711,-92m6661,-315l6711,-315m6661,-538l6711,-538m6661,-761l6711,-761m6661,-985l6711,-985m6661,-1205l6711,-1205m6661,-1428l6711,-1428m6661,-1651l6711,-1651m6661,-1875l6711,-1875m6661,-2098l6711,-2098e" filled="f" stroked="t" strokecolor="#bfbfbf" strokeweight="0.72pt">
              <v:stroke dashstyle="solid"/>
              <v:path arrowok="t"/>
            </v:shape>
            <v:line id="_x0000_s1715" style="position:absolute" from="2898,-92" to="2898,-2098" stroked="t" strokecolor="#7e7e7e" strokeweight="0.72pt">
              <v:stroke dashstyle="solid"/>
            </v:line>
            <v:shape id="_x0000_s1716" style="width:213198;height:8487300;position:absolute;top:-8478496" coordorigin="0,-8478495" coordsize="213198,8487300" path="m2847,-92l2898,-92m2847,-315l2898,-315m2847,-538l2898,-538m2847,-761l2898,-761m2847,-985l2898,-985m2847,-1205l2898,-1205m2847,-1428l2898,-1428m2847,-1651l2898,-1651m2847,-1875l2898,-1875m2847,-2098l2898,-2098e" filled="f" stroked="t" strokecolor="#7e7e7e" strokeweight="0.72pt">
              <v:stroke dashstyle="solid"/>
              <v:path arrowok="t"/>
            </v:shape>
            <v:shape id="_x0000_s1717" style="width:15918760;height:213198;position:absolute;top:-204394" coordorigin="0,-204393" coordsize="15918760,213198" path="m2898,-92l6661,-92m2898,-92l2898,-42m3527,-92l3527,-42m4153,-92l4153,-42m4779,-92l4779,-42m5408,-92l5408,-42m6034,-92l6034,-42m6661,-92l6661,-42e" filled="f" stroked="t" strokecolor="#7e7e7e" strokeweight="0.72pt">
              <v:stroke dashstyle="solid"/>
              <v:path arrowok="t"/>
            </v:shape>
            <v:shape id="_x0000_s1718" style="width:3135;height:679;left:3213;position:absolute;top:-1485" coordorigin="3213,-1485" coordsize="3135,679" path="m3213,-806l3213,-806,3840,-873,4466,-1072,5092,-1206,5721,-1206,6347,-1485e" filled="f" stroked="t" strokecolor="#1f5ea0" strokeweight="1.8pt">
              <v:stroke dashstyle="solid"/>
              <v:path arrowok="t"/>
            </v:shape>
            <v:shape id="_x0000_s1719" style="width:3135;height:759;left:3213;position:absolute;top:-1876" coordorigin="3213,-1876" coordsize="3135,759" path="m3213,-1118l3213,-1118,3840,-1473,4466,-1564,5092,-1763,5721,-1830,6347,-1876e" filled="f" stroked="t" strokecolor="#a8cced" strokeweight="1.8pt">
              <v:stroke dashstyle="solid"/>
              <v:path arrowok="t"/>
            </v:shape>
          </v:group>
        </w:pict>
      </w:r>
      <w:r>
        <w:pict>
          <v:line id="_x0000_s1720" style="mso-position-horizontal-relative:page;position:absolute;z-index:251795456" from="157.05pt,-110.35pt" to="176.25pt,-110.35pt" stroked="t" strokecolor="#a8cced" strokeweight="1.8pt">
            <v:stroke dashstyle="solid"/>
          </v:line>
        </w:pict>
      </w:r>
      <w:r>
        <w:rPr>
          <w:rFonts w:ascii="Calibri" w:eastAsia="Calibri"/>
          <w:sz w:val="16"/>
        </w:rPr>
        <w:t xml:space="preserve">2022 </w:t>
      </w:r>
      <w:r>
        <w:rPr>
          <w:sz w:val="16"/>
        </w:rPr>
        <w:t xml:space="preserve">年 </w:t>
      </w:r>
      <w:r>
        <w:rPr>
          <w:rFonts w:ascii="Calibri" w:eastAsia="Calibri"/>
          <w:sz w:val="16"/>
        </w:rPr>
        <w:t xml:space="preserve">2023 </w:t>
      </w:r>
      <w:r>
        <w:rPr>
          <w:sz w:val="16"/>
        </w:rPr>
        <w:t xml:space="preserve">年 </w:t>
      </w:r>
      <w:r>
        <w:rPr>
          <w:rFonts w:ascii="Calibri" w:eastAsia="Calibri"/>
          <w:sz w:val="16"/>
        </w:rPr>
        <w:t xml:space="preserve">2024 </w:t>
      </w:r>
      <w:r>
        <w:rPr>
          <w:sz w:val="16"/>
        </w:rPr>
        <w:t xml:space="preserve">年 </w:t>
      </w:r>
      <w:r>
        <w:rPr>
          <w:rFonts w:ascii="Calibri" w:eastAsia="Calibri"/>
          <w:sz w:val="16"/>
        </w:rPr>
        <w:t xml:space="preserve">2025 </w:t>
      </w:r>
      <w:r>
        <w:rPr>
          <w:sz w:val="16"/>
        </w:rPr>
        <w:t xml:space="preserve">年 </w:t>
      </w:r>
      <w:r>
        <w:rPr>
          <w:rFonts w:ascii="Calibri" w:eastAsia="Calibri"/>
          <w:sz w:val="16"/>
        </w:rPr>
        <w:t xml:space="preserve">2027 </w:t>
      </w:r>
      <w:r>
        <w:rPr>
          <w:sz w:val="16"/>
        </w:rPr>
        <w:t xml:space="preserve">年 </w:t>
      </w:r>
      <w:r>
        <w:rPr>
          <w:rFonts w:ascii="Calibri" w:eastAsia="Calibri"/>
          <w:sz w:val="16"/>
        </w:rPr>
        <w:t xml:space="preserve">2030 </w:t>
      </w:r>
      <w:r>
        <w:rPr>
          <w:sz w:val="16"/>
        </w:rPr>
        <w:t>年</w:t>
      </w:r>
    </w:p>
    <w:p>
      <w:pPr>
        <w:pStyle w:val="BodyText"/>
        <w:rPr>
          <w:sz w:val="13"/>
        </w:rPr>
      </w:pPr>
      <w:r>
        <w:br w:type="column"/>
      </w:r>
    </w:p>
    <w:p>
      <w:pPr>
        <w:spacing w:before="1"/>
        <w:ind w:left="164" w:right="0" w:firstLine="0"/>
        <w:jc w:val="left"/>
        <w:rPr>
          <w:rFonts w:ascii="Calibri"/>
          <w:sz w:val="16"/>
        </w:rPr>
      </w:pPr>
      <w:r>
        <w:rPr>
          <w:rFonts w:ascii="Calibri"/>
          <w:sz w:val="16"/>
        </w:rPr>
        <w:t>450</w:t>
      </w:r>
    </w:p>
    <w:p>
      <w:pPr>
        <w:spacing w:before="27"/>
        <w:ind w:left="164" w:right="0" w:firstLine="0"/>
        <w:jc w:val="left"/>
        <w:rPr>
          <w:rFonts w:ascii="Calibri"/>
          <w:sz w:val="16"/>
        </w:rPr>
      </w:pPr>
      <w:r>
        <w:rPr>
          <w:rFonts w:ascii="Calibri"/>
          <w:sz w:val="16"/>
        </w:rPr>
        <w:t>400</w:t>
      </w:r>
    </w:p>
    <w:p>
      <w:pPr>
        <w:spacing w:before="28"/>
        <w:ind w:left="164" w:right="0" w:firstLine="0"/>
        <w:jc w:val="left"/>
        <w:rPr>
          <w:rFonts w:ascii="Calibri"/>
          <w:sz w:val="16"/>
        </w:rPr>
      </w:pPr>
      <w:r>
        <w:rPr>
          <w:rFonts w:ascii="Calibri"/>
          <w:sz w:val="16"/>
        </w:rPr>
        <w:t>350</w:t>
      </w:r>
    </w:p>
    <w:p>
      <w:pPr>
        <w:spacing w:before="27"/>
        <w:ind w:left="164" w:right="0" w:firstLine="0"/>
        <w:jc w:val="left"/>
        <w:rPr>
          <w:rFonts w:ascii="Calibri"/>
          <w:sz w:val="16"/>
        </w:rPr>
      </w:pPr>
      <w:r>
        <w:rPr>
          <w:rFonts w:ascii="Calibri"/>
          <w:sz w:val="16"/>
        </w:rPr>
        <w:t>300</w:t>
      </w:r>
    </w:p>
    <w:p>
      <w:pPr>
        <w:spacing w:before="28"/>
        <w:ind w:left="164" w:right="0" w:firstLine="0"/>
        <w:jc w:val="left"/>
        <w:rPr>
          <w:rFonts w:ascii="Calibri"/>
          <w:sz w:val="16"/>
        </w:rPr>
      </w:pPr>
      <w:r>
        <w:rPr>
          <w:rFonts w:ascii="Calibri"/>
          <w:sz w:val="16"/>
        </w:rPr>
        <w:t>250</w:t>
      </w:r>
    </w:p>
    <w:p>
      <w:pPr>
        <w:spacing w:before="28"/>
        <w:ind w:left="164" w:right="0" w:firstLine="0"/>
        <w:jc w:val="left"/>
        <w:rPr>
          <w:rFonts w:ascii="Calibri"/>
          <w:sz w:val="16"/>
        </w:rPr>
      </w:pPr>
      <w:r>
        <w:rPr>
          <w:rFonts w:ascii="Calibri"/>
          <w:sz w:val="16"/>
        </w:rPr>
        <w:t>200</w:t>
      </w:r>
    </w:p>
    <w:p>
      <w:pPr>
        <w:spacing w:before="27"/>
        <w:ind w:left="164" w:right="0" w:firstLine="0"/>
        <w:jc w:val="left"/>
        <w:rPr>
          <w:rFonts w:ascii="Calibri"/>
          <w:sz w:val="16"/>
        </w:rPr>
      </w:pPr>
      <w:r>
        <w:rPr>
          <w:rFonts w:ascii="Calibri"/>
          <w:sz w:val="16"/>
        </w:rPr>
        <w:t>150</w:t>
      </w:r>
    </w:p>
    <w:p>
      <w:pPr>
        <w:spacing w:before="28"/>
        <w:ind w:left="164" w:right="0" w:firstLine="0"/>
        <w:jc w:val="left"/>
        <w:rPr>
          <w:rFonts w:ascii="Calibri"/>
          <w:sz w:val="16"/>
        </w:rPr>
      </w:pPr>
      <w:r>
        <w:rPr>
          <w:rFonts w:ascii="Calibri"/>
          <w:sz w:val="16"/>
        </w:rPr>
        <w:t>100</w:t>
      </w:r>
    </w:p>
    <w:p>
      <w:pPr>
        <w:spacing w:before="27"/>
        <w:ind w:left="164" w:right="0" w:firstLine="0"/>
        <w:jc w:val="left"/>
        <w:rPr>
          <w:rFonts w:ascii="Calibri"/>
          <w:sz w:val="16"/>
        </w:rPr>
      </w:pPr>
      <w:r>
        <w:rPr>
          <w:rFonts w:ascii="Calibri"/>
          <w:sz w:val="16"/>
        </w:rPr>
        <w:t>50</w:t>
      </w:r>
    </w:p>
    <w:p>
      <w:pPr>
        <w:spacing w:before="28"/>
        <w:ind w:left="164" w:right="0" w:firstLine="0"/>
        <w:jc w:val="left"/>
        <w:rPr>
          <w:rFonts w:ascii="Calibri"/>
          <w:sz w:val="16"/>
        </w:rPr>
      </w:pPr>
      <w:r>
        <w:rPr>
          <w:rFonts w:ascii="Calibri"/>
          <w:w w:val="100"/>
          <w:sz w:val="16"/>
        </w:rPr>
        <w:t>0</w:t>
      </w:r>
    </w:p>
    <w:p>
      <w:pPr>
        <w:spacing w:after="0"/>
        <w:jc w:val="left"/>
        <w:rPr>
          <w:rFonts w:ascii="Calibri"/>
          <w:sz w:val="16"/>
        </w:rPr>
        <w:sectPr>
          <w:headerReference w:type="default" r:id="rId152"/>
          <w:footerReference w:type="default" r:id="rId153"/>
          <w:type w:val="continuous"/>
          <w:pgSz w:w="12240" w:h="15840"/>
          <w:pgMar w:top="1500" w:right="0" w:bottom="280" w:left="0" w:header="708" w:footer="708"/>
          <w:pgNumType w:start="54"/>
          <w:cols w:num="3" w:space="708" w:equalWidth="0">
            <w:col w:w="2813" w:space="40"/>
            <w:col w:w="3753" w:space="39"/>
            <w:col w:w="5595" w:space="0"/>
          </w:cols>
        </w:sectPr>
      </w:pPr>
    </w:p>
    <w:p>
      <w:pPr>
        <w:pStyle w:val="BodyText"/>
        <w:spacing w:before="3"/>
        <w:rPr>
          <w:rFonts w:ascii="Calibri"/>
          <w:sz w:val="14"/>
        </w:rPr>
      </w:pPr>
    </w:p>
    <w:p>
      <w:pPr>
        <w:pStyle w:val="BodyText"/>
        <w:spacing w:before="65" w:line="232" w:lineRule="auto"/>
        <w:ind w:left="1151" w:right="3913"/>
        <w:jc w:val="both"/>
      </w:pPr>
      <w:r>
        <w:rPr>
          <w:color w:val="262626"/>
        </w:rPr>
        <w:t>由于规模效应，逆变器单台功率越大，单瓦成本越低，因此价格方面由高至低的排列为：微型逆变器＞组串式＞集中式。由于行业竞争加剧、产品技术水平逐渐提升、元器件逐步升级换代等原因，光伏逆变器的单台功率越来越大，单瓦成本逐渐降低。</w:t>
      </w:r>
    </w:p>
    <w:p>
      <w:pPr>
        <w:pStyle w:val="BodyText"/>
        <w:spacing w:before="176" w:line="232" w:lineRule="auto"/>
        <w:ind w:left="1151" w:right="3910"/>
        <w:jc w:val="both"/>
      </w:pPr>
      <w:r>
        <w:rPr>
          <w:color w:val="262626"/>
        </w:rPr>
        <w:t>集中式逆变器均价从</w:t>
      </w:r>
      <w:r>
        <w:rPr>
          <w:rFonts w:ascii="Calibri" w:eastAsia="Calibri"/>
          <w:color w:val="262626"/>
        </w:rPr>
        <w:t>2014</w:t>
      </w:r>
      <w:r>
        <w:rPr>
          <w:color w:val="262626"/>
        </w:rPr>
        <w:t>年的</w:t>
      </w:r>
      <w:r>
        <w:rPr>
          <w:rFonts w:ascii="Calibri" w:eastAsia="Calibri"/>
          <w:color w:val="262626"/>
        </w:rPr>
        <w:t>0.28</w:t>
      </w:r>
      <w:r>
        <w:rPr>
          <w:color w:val="262626"/>
        </w:rPr>
        <w:t>元</w:t>
      </w:r>
      <w:r>
        <w:rPr>
          <w:rFonts w:ascii="Calibri" w:eastAsia="Calibri"/>
          <w:color w:val="262626"/>
        </w:rPr>
        <w:t>/</w:t>
      </w:r>
      <w:r>
        <w:rPr>
          <w:color w:val="262626"/>
        </w:rPr>
        <w:t>瓦降至到</w:t>
      </w:r>
      <w:r>
        <w:rPr>
          <w:rFonts w:ascii="Calibri" w:eastAsia="Calibri"/>
          <w:color w:val="262626"/>
        </w:rPr>
        <w:t>2022</w:t>
      </w:r>
      <w:r>
        <w:rPr>
          <w:color w:val="262626"/>
        </w:rPr>
        <w:t>年的</w:t>
      </w:r>
      <w:r>
        <w:rPr>
          <w:rFonts w:ascii="Calibri" w:eastAsia="Calibri"/>
          <w:color w:val="262626"/>
        </w:rPr>
        <w:t>0.096</w:t>
      </w:r>
      <w:r>
        <w:rPr>
          <w:color w:val="262626"/>
        </w:rPr>
        <w:t>元</w:t>
      </w:r>
      <w:r>
        <w:rPr>
          <w:rFonts w:ascii="Calibri" w:eastAsia="Calibri"/>
          <w:color w:val="262626"/>
        </w:rPr>
        <w:t>/</w:t>
      </w:r>
      <w:r>
        <w:rPr>
          <w:color w:val="262626"/>
        </w:rPr>
        <w:t>瓦，组串式逆变器均价降幅更大，从</w:t>
      </w:r>
      <w:r>
        <w:rPr>
          <w:rFonts w:ascii="Calibri" w:eastAsia="Calibri"/>
          <w:color w:val="262626"/>
        </w:rPr>
        <w:t>2014</w:t>
      </w:r>
      <w:r>
        <w:rPr>
          <w:color w:val="262626"/>
        </w:rPr>
        <w:t>年的</w:t>
      </w:r>
      <w:r>
        <w:rPr>
          <w:rFonts w:ascii="Calibri" w:eastAsia="Calibri"/>
          <w:color w:val="262626"/>
        </w:rPr>
        <w:t>0.54</w:t>
      </w:r>
      <w:r>
        <w:rPr>
          <w:color w:val="262626"/>
        </w:rPr>
        <w:t>元</w:t>
      </w:r>
      <w:r>
        <w:rPr>
          <w:rFonts w:ascii="Calibri" w:eastAsia="Calibri"/>
          <w:color w:val="262626"/>
        </w:rPr>
        <w:t>/</w:t>
      </w:r>
      <w:r>
        <w:rPr>
          <w:color w:val="262626"/>
        </w:rPr>
        <w:t>瓦降至</w:t>
      </w:r>
      <w:r>
        <w:rPr>
          <w:rFonts w:ascii="Calibri" w:eastAsia="Calibri"/>
          <w:color w:val="262626"/>
        </w:rPr>
        <w:t>2022</w:t>
      </w:r>
      <w:r>
        <w:rPr>
          <w:color w:val="262626"/>
          <w:spacing w:val="-20"/>
        </w:rPr>
        <w:t xml:space="preserve">年的 </w:t>
      </w:r>
      <w:r>
        <w:rPr>
          <w:rFonts w:ascii="Calibri" w:eastAsia="Calibri"/>
          <w:color w:val="262626"/>
        </w:rPr>
        <w:t>0.134</w:t>
      </w:r>
      <w:r>
        <w:rPr>
          <w:color w:val="262626"/>
        </w:rPr>
        <w:t>元</w:t>
      </w:r>
      <w:r>
        <w:rPr>
          <w:rFonts w:ascii="Calibri" w:eastAsia="Calibri"/>
          <w:color w:val="262626"/>
        </w:rPr>
        <w:t>/</w:t>
      </w:r>
      <w:r>
        <w:rPr>
          <w:color w:val="262626"/>
        </w:rPr>
        <w:t>瓦，相对集中</w:t>
      </w:r>
      <w:r>
        <w:rPr>
          <w:color w:val="262626"/>
          <w:spacing w:val="-1"/>
        </w:rPr>
        <w:t>式逆变器的溢价由</w:t>
      </w:r>
      <w:r>
        <w:rPr>
          <w:rFonts w:ascii="Calibri" w:eastAsia="Calibri"/>
          <w:color w:val="262626"/>
        </w:rPr>
        <w:t>0.26</w:t>
      </w:r>
      <w:r>
        <w:rPr>
          <w:color w:val="262626"/>
          <w:spacing w:val="-4"/>
        </w:rPr>
        <w:t>元</w:t>
      </w:r>
      <w:r>
        <w:rPr>
          <w:rFonts w:ascii="Calibri" w:eastAsia="Calibri"/>
          <w:color w:val="262626"/>
        </w:rPr>
        <w:t>/</w:t>
      </w:r>
      <w:r>
        <w:rPr>
          <w:color w:val="262626"/>
          <w:spacing w:val="-2"/>
        </w:rPr>
        <w:t>瓦或</w:t>
      </w:r>
      <w:r>
        <w:rPr>
          <w:rFonts w:ascii="Calibri" w:eastAsia="Calibri"/>
          <w:color w:val="262626"/>
        </w:rPr>
        <w:t>93%</w:t>
      </w:r>
      <w:r>
        <w:rPr>
          <w:color w:val="262626"/>
          <w:spacing w:val="-1"/>
        </w:rPr>
        <w:t>大幅收窄至</w:t>
      </w:r>
      <w:r>
        <w:rPr>
          <w:rFonts w:ascii="Calibri" w:eastAsia="Calibri"/>
          <w:color w:val="262626"/>
        </w:rPr>
        <w:t>0.038</w:t>
      </w:r>
      <w:r>
        <w:rPr>
          <w:color w:val="262626"/>
          <w:spacing w:val="-4"/>
        </w:rPr>
        <w:t>元</w:t>
      </w:r>
      <w:r>
        <w:rPr>
          <w:rFonts w:ascii="Calibri" w:eastAsia="Calibri"/>
          <w:color w:val="262626"/>
        </w:rPr>
        <w:t>/</w:t>
      </w:r>
      <w:r>
        <w:rPr>
          <w:color w:val="262626"/>
          <w:spacing w:val="-2"/>
        </w:rPr>
        <w:t>瓦或</w:t>
      </w:r>
      <w:r>
        <w:rPr>
          <w:rFonts w:ascii="Calibri" w:eastAsia="Calibri"/>
          <w:color w:val="262626"/>
        </w:rPr>
        <w:t>40%</w:t>
      </w:r>
      <w:r>
        <w:rPr>
          <w:color w:val="262626"/>
          <w:spacing w:val="-2"/>
        </w:rPr>
        <w:t>，性价比优势不</w:t>
      </w:r>
      <w:r>
        <w:rPr>
          <w:color w:val="262626"/>
        </w:rPr>
        <w:t>断扩大。</w:t>
      </w:r>
    </w:p>
    <w:p>
      <w:pPr>
        <w:pStyle w:val="BodyText"/>
        <w:spacing w:before="5"/>
        <w:rPr>
          <w:sz w:val="15"/>
        </w:rPr>
      </w:pPr>
    </w:p>
    <w:p>
      <w:pPr>
        <w:pStyle w:val="Heading3"/>
      </w:pPr>
      <w:r>
        <w:rPr>
          <w:color w:val="262626"/>
        </w:rPr>
        <w:t>图表</w:t>
      </w:r>
      <w:r>
        <w:rPr>
          <w:rFonts w:ascii="Calibri" w:eastAsia="Calibri"/>
        </w:rPr>
        <w:t xml:space="preserve">45: </w:t>
      </w:r>
      <w:r>
        <w:t>内地并网逆变器价格走势（元</w:t>
      </w:r>
      <w:r>
        <w:rPr>
          <w:rFonts w:ascii="Calibri" w:eastAsia="Calibri"/>
        </w:rPr>
        <w:t>/</w:t>
      </w:r>
      <w:r>
        <w:t>瓦）</w:t>
      </w:r>
    </w:p>
    <w:p>
      <w:pPr>
        <w:pStyle w:val="BodyText"/>
        <w:spacing w:line="20" w:lineRule="exact"/>
        <w:ind w:left="1143"/>
        <w:rPr>
          <w:rFonts w:ascii="Microsoft JhengHei"/>
          <w:sz w:val="2"/>
        </w:rPr>
      </w:pPr>
      <w:r>
        <w:rPr>
          <w:rFonts w:ascii="Microsoft JhengHei"/>
          <w:sz w:val="2"/>
        </w:rPr>
        <w:pict>
          <v:group id="_x0000_i1721" style="width:357.2pt;height:0.75pt;mso-position-horizontal-relative:char;mso-position-vertical-relative:line" coordorigin="0,0" coordsize="7144,15">
            <v:line id="_x0000_s1722" style="position:absolute" from="0,8" to="7144,8" stroked="t" strokecolor="black" strokeweight="0.75pt">
              <v:stroke dashstyle="solid"/>
            </v:line>
            <w10:wrap type="none"/>
          </v:group>
        </w:pict>
      </w:r>
    </w:p>
    <w:p>
      <w:pPr>
        <w:tabs>
          <w:tab w:val="left" w:pos="4812"/>
          <w:tab w:val="left" w:pos="6269"/>
        </w:tabs>
        <w:spacing w:before="30"/>
        <w:ind w:left="3355" w:right="0" w:firstLine="0"/>
        <w:jc w:val="left"/>
        <w:rPr>
          <w:sz w:val="16"/>
        </w:rPr>
      </w:pPr>
      <w:r>
        <w:pict>
          <v:line id="_x0000_s1723" style="mso-position-horizontal-relative:page;position:absolute;z-index:251799552" from="146.5pt,7.55pt" to="165.7pt,7.55pt" stroked="t" strokecolor="#a8cced" strokeweight="1.8pt">
            <v:stroke dashstyle="solid"/>
          </v:line>
        </w:pict>
      </w:r>
      <w:r>
        <w:pict>
          <v:line id="_x0000_s1724" style="mso-position-horizontal-relative:page;position:absolute;z-index:-251520000" from="219.4pt,7.55pt" to="238.6pt,7.55pt" stroked="t" strokecolor="#1f5ea0" strokeweight="1.8pt">
            <v:stroke dashstyle="solid"/>
          </v:line>
        </w:pict>
      </w:r>
      <w:r>
        <w:pict>
          <v:line id="_x0000_s1725" style="mso-position-horizontal-relative:page;position:absolute;z-index:-251518976" from="292.15pt,7.55pt" to="311.4pt,7.55pt" stroked="t" strokecolor="#9c90a0" strokeweight="1.8pt">
            <v:stroke dashstyle="solid"/>
          </v:line>
        </w:pict>
      </w:r>
      <w:r>
        <w:rPr>
          <w:sz w:val="16"/>
        </w:rPr>
        <w:t>集中式</w:t>
        <w:tab/>
        <w:t>组串式</w:t>
        <w:tab/>
        <w:t>价差</w:t>
      </w:r>
    </w:p>
    <w:p>
      <w:pPr>
        <w:spacing w:before="15"/>
        <w:ind w:left="2417" w:right="0" w:firstLine="0"/>
        <w:jc w:val="left"/>
        <w:rPr>
          <w:rFonts w:ascii="Calibri"/>
          <w:sz w:val="16"/>
        </w:rPr>
      </w:pPr>
      <w:r>
        <w:pict>
          <v:group id="_x0000_s1726" style="width:209.8pt;height:109.6pt;margin-top:5.79pt;margin-left:139.6pt;mso-position-horizontal-relative:page;position:absolute;z-index:251798528" coordorigin="2792,116" coordsize="4196,2192">
            <v:shape id="_x0000_s1727" style="width:17581620;height:7551020;position:absolute;top:-7546025" coordorigin="0,-7546024" coordsize="17581620,7551020" path="m2843,1901l6981,1901m2843,1546l6981,1546m2843,1190l6981,1190m2843,835l6981,835m2843,479l6981,479m2843,123l6981,123e" filled="f" stroked="t" strokecolor="#d8d8d8" strokeweight="0.72pt">
              <v:stroke dashstyle="solid"/>
              <v:path arrowok="t"/>
            </v:shape>
            <v:line id="_x0000_s1728" style="position:absolute" from="2843,2257" to="2843,123" stroked="t" strokecolor="#7e7e7e" strokeweight="0.72pt">
              <v:stroke dashstyle="solid"/>
            </v:line>
            <v:shape id="_x0000_s1729" style="width:214286;height:9061220;position:absolute;top:-9056225" coordorigin="0,-9056224" coordsize="214286,9061220" path="m2792,2257l2843,2257m2792,1901l2843,1901m2792,1546l2843,1546m2792,1190l2843,1190m2792,835l2843,835m2792,479l2843,479m2792,123l2843,123e" filled="f" stroked="t" strokecolor="#7e7e7e" strokeweight="0.72pt">
              <v:stroke dashstyle="solid"/>
              <v:path arrowok="t"/>
            </v:shape>
            <v:shape id="_x0000_s1730" style="width:17581620;height:214286;position:absolute;top:-209291" coordorigin="0,-209291" coordsize="17581620,214286" path="m2843,2257l6981,2257m2843,2257l2843,2307m3220,2257l3220,2307m3594,2257l3594,2307m3971,2257l3971,2307m4348,2257l4348,2307m4723,2257l4723,2307m5100,2257l5100,2307m5477,2257l5477,2307m5852,2257l5852,2307m6229,2257l6229,2307m6603,2257l6603,2307m6981,2257l6981,2307e" filled="f" stroked="t" strokecolor="#7e7e7e" strokeweight="0.72pt">
              <v:stroke dashstyle="solid"/>
              <v:path arrowok="t"/>
            </v:shape>
            <v:shape id="_x0000_s1731" style="width:3761;height:1082;left:3031;position:absolute;top:833" coordorigin="3031,833" coordsize="3761,1082" path="m3031,833l3031,833,3408,1119,3783,1261,4160,1475,4534,1580,4912,1688,5289,1688,5663,1830,6040,1866,6417,1902,6792,1914e" filled="f" stroked="t" strokecolor="#a8cced" strokeweight="1.8pt">
              <v:stroke dashstyle="solid"/>
              <v:path arrowok="t"/>
            </v:shape>
            <v:shape id="_x0000_s1732" style="width:3010;height:1445;left:3782;position:absolute;top:335" coordorigin="3783,336" coordsize="3010,1445" path="m3783,336l3783,336,4160,622,4534,1119,4912,1225,5289,1439,5663,1475,6040,1616,6417,1725,6792,1780e" filled="f" stroked="t" strokecolor="#1f5ea0" strokeweight="1.8pt">
              <v:stroke dashstyle="solid"/>
              <v:path arrowok="t"/>
            </v:shape>
            <v:shape id="_x0000_s1733" style="width:3010;height:789;left:3782;position:absolute;top:1332" coordorigin="3783,1333" coordsize="3010,789" path="m3783,1333l3783,1333,4160,1403,4534,1794,4912,1794,5289,2008,5663,1902,6040,2008,6417,2080,6792,2121e" filled="f" stroked="t" strokecolor="#9c90a0" strokeweight="1.8pt">
              <v:stroke dashstyle="solid"/>
              <v:path arrowok="t"/>
            </v:shape>
          </v:group>
        </w:pict>
      </w:r>
      <w:r>
        <w:rPr>
          <w:rFonts w:ascii="Calibri"/>
          <w:sz w:val="16"/>
        </w:rPr>
        <w:t>60%</w:t>
      </w:r>
    </w:p>
    <w:p>
      <w:pPr>
        <w:pStyle w:val="BodyText"/>
        <w:spacing w:before="2"/>
        <w:rPr>
          <w:rFonts w:ascii="Calibri"/>
          <w:sz w:val="13"/>
        </w:rPr>
      </w:pPr>
    </w:p>
    <w:p>
      <w:pPr>
        <w:spacing w:before="0"/>
        <w:ind w:left="2417" w:right="0" w:firstLine="0"/>
        <w:jc w:val="left"/>
        <w:rPr>
          <w:rFonts w:ascii="Calibri"/>
          <w:sz w:val="16"/>
        </w:rPr>
      </w:pPr>
      <w:r>
        <w:rPr>
          <w:rFonts w:ascii="Calibri"/>
          <w:sz w:val="16"/>
        </w:rPr>
        <w:t>50%</w:t>
      </w:r>
    </w:p>
    <w:p>
      <w:pPr>
        <w:pStyle w:val="BodyText"/>
        <w:spacing w:before="1"/>
        <w:rPr>
          <w:rFonts w:ascii="Calibri"/>
          <w:sz w:val="13"/>
        </w:rPr>
      </w:pPr>
    </w:p>
    <w:p>
      <w:pPr>
        <w:spacing w:before="1"/>
        <w:ind w:left="2417" w:right="0" w:firstLine="0"/>
        <w:jc w:val="left"/>
        <w:rPr>
          <w:rFonts w:ascii="Calibri"/>
          <w:sz w:val="16"/>
        </w:rPr>
      </w:pPr>
      <w:r>
        <w:rPr>
          <w:rFonts w:ascii="Calibri"/>
          <w:sz w:val="16"/>
        </w:rPr>
        <w:t>40%</w:t>
      </w:r>
    </w:p>
    <w:p>
      <w:pPr>
        <w:pStyle w:val="BodyText"/>
        <w:spacing w:before="1"/>
        <w:rPr>
          <w:rFonts w:ascii="Calibri"/>
          <w:sz w:val="13"/>
        </w:rPr>
      </w:pPr>
    </w:p>
    <w:p>
      <w:pPr>
        <w:spacing w:before="0"/>
        <w:ind w:left="2417" w:right="0" w:firstLine="0"/>
        <w:jc w:val="left"/>
        <w:rPr>
          <w:rFonts w:ascii="Calibri"/>
          <w:sz w:val="16"/>
        </w:rPr>
      </w:pPr>
      <w:r>
        <w:rPr>
          <w:rFonts w:ascii="Calibri"/>
          <w:sz w:val="16"/>
        </w:rPr>
        <w:t>30%</w:t>
      </w:r>
    </w:p>
    <w:p>
      <w:pPr>
        <w:pStyle w:val="BodyText"/>
        <w:spacing w:before="2"/>
        <w:rPr>
          <w:rFonts w:ascii="Calibri"/>
          <w:sz w:val="13"/>
        </w:rPr>
      </w:pPr>
    </w:p>
    <w:p>
      <w:pPr>
        <w:spacing w:before="0"/>
        <w:ind w:left="2417" w:right="0" w:firstLine="0"/>
        <w:jc w:val="left"/>
        <w:rPr>
          <w:rFonts w:ascii="Calibri"/>
          <w:sz w:val="16"/>
        </w:rPr>
      </w:pPr>
      <w:r>
        <w:rPr>
          <w:rFonts w:ascii="Calibri"/>
          <w:sz w:val="16"/>
        </w:rPr>
        <w:t>20%</w:t>
      </w:r>
    </w:p>
    <w:p>
      <w:pPr>
        <w:pStyle w:val="BodyText"/>
        <w:spacing w:before="2"/>
        <w:rPr>
          <w:rFonts w:ascii="Calibri"/>
          <w:sz w:val="13"/>
        </w:rPr>
      </w:pPr>
    </w:p>
    <w:p>
      <w:pPr>
        <w:spacing w:before="0"/>
        <w:ind w:left="2417" w:right="0" w:firstLine="0"/>
        <w:jc w:val="left"/>
        <w:rPr>
          <w:rFonts w:ascii="Calibri"/>
          <w:sz w:val="16"/>
        </w:rPr>
      </w:pPr>
      <w:r>
        <w:rPr>
          <w:rFonts w:ascii="Calibri"/>
          <w:sz w:val="16"/>
        </w:rPr>
        <w:t>10%</w:t>
      </w:r>
    </w:p>
    <w:p>
      <w:pPr>
        <w:spacing w:after="0"/>
        <w:jc w:val="left"/>
        <w:rPr>
          <w:rFonts w:ascii="Calibri"/>
          <w:sz w:val="16"/>
        </w:rPr>
        <w:sectPr>
          <w:headerReference w:type="default" r:id="rId154"/>
          <w:footerReference w:type="default" r:id="rId155"/>
          <w:type w:val="continuous"/>
          <w:pgSz w:w="12240" w:h="15840"/>
          <w:pgMar w:top="1500" w:right="0" w:bottom="280" w:left="0" w:header="708" w:footer="708"/>
          <w:pgNumType w:start="55"/>
          <w:cols w:space="708"/>
        </w:sectPr>
      </w:pPr>
    </w:p>
    <w:p>
      <w:pPr>
        <w:pStyle w:val="BodyText"/>
        <w:spacing w:before="1"/>
        <w:rPr>
          <w:rFonts w:ascii="Calibri"/>
          <w:sz w:val="13"/>
        </w:rPr>
      </w:pPr>
    </w:p>
    <w:p>
      <w:pPr>
        <w:spacing w:before="1"/>
        <w:ind w:left="0" w:right="115" w:firstLine="0"/>
        <w:jc w:val="right"/>
        <w:rPr>
          <w:rFonts w:ascii="Calibri"/>
          <w:sz w:val="16"/>
        </w:rPr>
      </w:pPr>
      <w:r>
        <w:rPr>
          <w:rFonts w:ascii="Calibri"/>
          <w:sz w:val="16"/>
        </w:rPr>
        <w:t>0%</w:t>
      </w:r>
    </w:p>
    <w:p>
      <w:pPr>
        <w:pStyle w:val="BodyText"/>
        <w:rPr>
          <w:rFonts w:ascii="Calibri"/>
          <w:sz w:val="22"/>
        </w:rPr>
      </w:pPr>
    </w:p>
    <w:p>
      <w:pPr>
        <w:spacing w:before="1"/>
        <w:ind w:left="1150" w:right="0" w:firstLine="0"/>
        <w:jc w:val="left"/>
        <w:rPr>
          <w:sz w:val="15"/>
        </w:rPr>
      </w:pPr>
      <w:r>
        <w:t xml:space="preserve">资料来源：CPIA， </w:t>
      </w:r>
    </w:p>
    <w:p>
      <w:pPr>
        <w:pStyle w:val="BodyText"/>
        <w:rPr>
          <w:sz w:val="16"/>
        </w:rPr>
      </w:pPr>
      <w:r>
        <w:br w:type="column"/>
      </w:r>
    </w:p>
    <w:p>
      <w:pPr>
        <w:pStyle w:val="BodyText"/>
        <w:spacing w:before="10"/>
        <w:rPr>
          <w:sz w:val="12"/>
        </w:rPr>
      </w:pPr>
    </w:p>
    <w:p>
      <w:pPr>
        <w:spacing w:before="0"/>
        <w:ind w:left="15" w:right="0" w:firstLine="0"/>
        <w:jc w:val="left"/>
        <w:rPr>
          <w:rFonts w:ascii="Calibri"/>
          <w:sz w:val="16"/>
        </w:rPr>
      </w:pPr>
      <w:r>
        <w:rPr>
          <w:rFonts w:ascii="Calibri"/>
          <w:sz w:val="16"/>
        </w:rPr>
        <w:t>2012 2013 2014 2015 2016 2017 2018 2019 2020 2021 2022</w:t>
      </w:r>
    </w:p>
    <w:p>
      <w:pPr>
        <w:spacing w:after="0"/>
        <w:jc w:val="left"/>
        <w:rPr>
          <w:rFonts w:ascii="Calibri"/>
          <w:sz w:val="16"/>
        </w:rPr>
        <w:sectPr>
          <w:headerReference w:type="default" r:id="rId156"/>
          <w:footerReference w:type="default" r:id="rId157"/>
          <w:type w:val="continuous"/>
          <w:pgSz w:w="12240" w:h="15840"/>
          <w:pgMar w:top="1500" w:right="0" w:bottom="280" w:left="0" w:header="708" w:footer="708"/>
          <w:pgNumType w:start="56"/>
          <w:cols w:num="2" w:space="708" w:equalWidth="0">
            <w:col w:w="2813" w:space="40"/>
            <w:col w:w="9387" w:space="0"/>
          </w:cols>
        </w:sectPr>
      </w:pPr>
    </w:p>
    <w:p>
      <w:pPr>
        <w:pStyle w:val="BodyText"/>
        <w:rPr>
          <w:rFonts w:ascii="Calibri"/>
          <w:sz w:val="20"/>
        </w:rPr>
      </w:pPr>
    </w:p>
    <w:p>
      <w:pPr>
        <w:pStyle w:val="BodyText"/>
        <w:spacing w:before="3"/>
        <w:rPr>
          <w:rFonts w:ascii="Calibri"/>
          <w:sz w:val="24"/>
        </w:rPr>
      </w:pPr>
    </w:p>
    <w:p>
      <w:pPr>
        <w:pStyle w:val="Heading2"/>
      </w:pPr>
      <w:bookmarkStart w:id="18" w:name="_TOC_250000"/>
      <w:r>
        <w:rPr>
          <w:color w:val="59A1AE"/>
        </w:rPr>
        <w:t>直接材料在逆变器成本中占比超</w:t>
      </w:r>
      <w:r>
        <w:rPr>
          <w:rFonts w:ascii="Calibri" w:eastAsia="Calibri"/>
          <w:color w:val="59A1AE"/>
        </w:rPr>
        <w:t>80%</w:t>
      </w:r>
      <w:r>
        <w:rPr>
          <w:color w:val="59A1AE"/>
        </w:rPr>
        <w:t>，</w:t>
      </w:r>
      <w:r>
        <w:rPr>
          <w:rFonts w:ascii="Calibri" w:eastAsia="Calibri"/>
          <w:color w:val="59A1AE"/>
        </w:rPr>
        <w:t>IGBT</w:t>
      </w:r>
      <w:bookmarkEnd w:id="18"/>
      <w:r>
        <w:rPr>
          <w:color w:val="59A1AE"/>
        </w:rPr>
        <w:t>为核心部件</w:t>
      </w:r>
    </w:p>
    <w:p>
      <w:pPr>
        <w:pStyle w:val="BodyText"/>
        <w:spacing w:before="98" w:line="232" w:lineRule="auto"/>
        <w:ind w:left="1151" w:right="3911"/>
        <w:jc w:val="both"/>
      </w:pPr>
      <w:r>
        <w:rPr>
          <w:color w:val="262626"/>
        </w:rPr>
        <w:t>逆变器为轻资产行业，生产成本中直接材料占比超</w:t>
      </w:r>
      <w:r>
        <w:rPr>
          <w:rFonts w:ascii="Calibri" w:eastAsia="Calibri"/>
          <w:color w:val="262626"/>
        </w:rPr>
        <w:t>80%</w:t>
      </w:r>
      <w:r>
        <w:rPr>
          <w:color w:val="262626"/>
        </w:rPr>
        <w:t>，物流费用、质量保证及维护费等占比约</w:t>
      </w:r>
      <w:r>
        <w:rPr>
          <w:rFonts w:ascii="Calibri" w:eastAsia="Calibri"/>
          <w:color w:val="262626"/>
        </w:rPr>
        <w:t>10%</w:t>
      </w:r>
      <w:r>
        <w:rPr>
          <w:color w:val="262626"/>
        </w:rPr>
        <w:t>，直接人工和制造费用占比很低，因此控制原材料采购成本对逆变器企业至关重要。</w:t>
      </w:r>
    </w:p>
    <w:p>
      <w:pPr>
        <w:pStyle w:val="BodyText"/>
        <w:spacing w:before="1"/>
        <w:rPr>
          <w:sz w:val="17"/>
        </w:rPr>
      </w:pPr>
    </w:p>
    <w:p>
      <w:pPr>
        <w:pStyle w:val="BodyText"/>
        <w:spacing w:line="184" w:lineRule="auto"/>
        <w:ind w:left="1151" w:right="3911"/>
        <w:jc w:val="both"/>
      </w:pPr>
      <w:r>
        <w:rPr>
          <w:color w:val="262626"/>
        </w:rPr>
        <w:t>逆变器直接材料中，主要包括半导体器件、电子物料、机构件、磁性器件，占比较平均，比重约为</w:t>
      </w:r>
      <w:r>
        <w:rPr>
          <w:rFonts w:ascii="Calibri" w:eastAsia="Calibri"/>
          <w:color w:val="262626"/>
        </w:rPr>
        <w:t>15-20%</w:t>
      </w:r>
      <w:r>
        <w:rPr>
          <w:color w:val="262626"/>
        </w:rPr>
        <w:t>，其中以</w:t>
      </w:r>
      <w:r>
        <w:rPr>
          <w:rFonts w:ascii="Calibri" w:eastAsia="Calibri"/>
          <w:color w:val="262626"/>
        </w:rPr>
        <w:t>IGBT</w:t>
      </w:r>
      <w:r>
        <w:rPr>
          <w:rFonts w:ascii="Microsoft JhengHei" w:eastAsia="Microsoft JhengHei" w:hint="eastAsia"/>
          <w:b/>
          <w:color w:val="262626"/>
          <w:sz w:val="22"/>
        </w:rPr>
        <w:t>（</w:t>
      </w:r>
      <w:r>
        <w:rPr>
          <w:color w:val="262626"/>
        </w:rPr>
        <w:t>绝缘栅双极晶体管</w:t>
      </w:r>
      <w:r>
        <w:rPr>
          <w:rFonts w:ascii="Microsoft JhengHei" w:eastAsia="Microsoft JhengHei" w:hint="eastAsia"/>
          <w:b/>
          <w:color w:val="262626"/>
          <w:sz w:val="22"/>
        </w:rPr>
        <w:t>）</w:t>
      </w:r>
      <w:r>
        <w:rPr>
          <w:color w:val="262626"/>
        </w:rPr>
        <w:t>等功率半导体模块为核心的半导体器件为核心部件。</w:t>
      </w:r>
    </w:p>
    <w:p>
      <w:pPr>
        <w:pStyle w:val="BodyText"/>
        <w:spacing w:before="8"/>
        <w:rPr>
          <w:sz w:val="16"/>
        </w:rPr>
      </w:pPr>
    </w:p>
    <w:p>
      <w:pPr>
        <w:pStyle w:val="Heading3"/>
        <w:tabs>
          <w:tab w:val="left" w:pos="6324"/>
        </w:tabs>
      </w:pPr>
      <w:r>
        <w:t>图表</w:t>
      </w:r>
      <w:r>
        <w:rPr>
          <w:rFonts w:ascii="Calibri" w:eastAsia="Calibri"/>
        </w:rPr>
        <w:t>46:</w:t>
      </w:r>
      <w:r>
        <w:rPr>
          <w:rFonts w:ascii="Calibri" w:eastAsia="Calibri"/>
          <w:spacing w:val="-2"/>
        </w:rPr>
        <w:t xml:space="preserve"> </w:t>
      </w:r>
      <w:r>
        <w:t>固德威</w:t>
      </w:r>
      <w:r>
        <w:rPr>
          <w:rFonts w:ascii="Calibri" w:eastAsia="Calibri"/>
        </w:rPr>
        <w:t>2022</w:t>
      </w:r>
      <w:r>
        <w:t>年并网逆变器成本构成（</w:t>
      </w:r>
      <w:r>
        <w:rPr>
          <w:rFonts w:ascii="Calibri" w:eastAsia="Calibri"/>
        </w:rPr>
        <w:t>%</w:t>
      </w:r>
      <w:r>
        <w:t>）</w:t>
        <w:tab/>
        <w:t>图表</w:t>
      </w:r>
      <w:r>
        <w:rPr>
          <w:rFonts w:ascii="Calibri" w:eastAsia="Calibri"/>
        </w:rPr>
        <w:t>47:</w:t>
      </w:r>
      <w:r>
        <w:rPr>
          <w:rFonts w:ascii="Calibri" w:eastAsia="Calibri"/>
          <w:spacing w:val="-1"/>
        </w:rPr>
        <w:t xml:space="preserve"> </w:t>
      </w:r>
      <w:r>
        <w:t>固德威</w:t>
      </w:r>
      <w:r>
        <w:rPr>
          <w:rFonts w:ascii="Calibri" w:eastAsia="Calibri"/>
        </w:rPr>
        <w:t>2022</w:t>
      </w:r>
      <w:r>
        <w:t>年储能逆变器成本构成（</w:t>
      </w:r>
      <w:r>
        <w:rPr>
          <w:rFonts w:ascii="Calibri" w:eastAsia="Calibri"/>
        </w:rPr>
        <w:t>%</w:t>
      </w:r>
      <w:r>
        <w:t>）</w:t>
      </w:r>
    </w:p>
    <w:p>
      <w:pPr>
        <w:tabs>
          <w:tab w:val="left" w:pos="6317"/>
        </w:tabs>
        <w:spacing w:line="20" w:lineRule="exact"/>
        <w:ind w:left="1143" w:right="0" w:firstLine="0"/>
        <w:rPr>
          <w:rFonts w:ascii="Microsoft JhengHei"/>
          <w:sz w:val="2"/>
        </w:rPr>
      </w:pPr>
      <w:r>
        <w:rPr>
          <w:rFonts w:ascii="Microsoft JhengHei"/>
          <w:sz w:val="2"/>
        </w:rPr>
        <w:pict>
          <v:group id="_x0000_i1734" style="width:236.9pt;height:0.75pt;mso-position-horizontal-relative:char;mso-position-vertical-relative:line" coordorigin="0,0" coordsize="4738,15">
            <v:line id="_x0000_s1735" style="position:absolute" from="0,8" to="4738,8" stroked="t" strokecolor="black" strokeweight="0.75pt">
              <v:stroke dashstyle="solid"/>
            </v:line>
            <w10:wrap type="none"/>
          </v:group>
        </w:pict>
      </w:r>
      <w:r>
        <w:rPr>
          <w:rFonts w:ascii="Microsoft JhengHei"/>
          <w:sz w:val="2"/>
        </w:rPr>
        <w:tab/>
      </w:r>
      <w:r>
        <w:rPr>
          <w:rFonts w:ascii="Microsoft JhengHei"/>
          <w:sz w:val="2"/>
        </w:rPr>
        <w:pict>
          <v:group id="_x0000_i1736" style="width:238.55pt;height:0.75pt;mso-position-horizontal-relative:char;mso-position-vertical-relative:line" coordorigin="0,0" coordsize="4771,15">
            <v:line id="_x0000_s1737" style="position:absolute" from="0,8" to="4771,8" stroked="t" strokecolor="black" strokeweight="0.75pt">
              <v:stroke dashstyle="solid"/>
            </v:line>
            <w10:wrap type="none"/>
          </v:group>
        </w:pict>
      </w:r>
    </w:p>
    <w:p>
      <w:pPr>
        <w:spacing w:after="0" w:line="20" w:lineRule="exact"/>
        <w:rPr>
          <w:rFonts w:ascii="Microsoft JhengHei"/>
          <w:sz w:val="2"/>
        </w:rPr>
        <w:sectPr>
          <w:headerReference w:type="default" r:id="rId158"/>
          <w:footerReference w:type="default" r:id="rId159"/>
          <w:pgSz w:w="12240" w:h="15840"/>
          <w:pgMar w:top="1720" w:right="0" w:bottom="1380" w:left="0" w:header="708" w:footer="708"/>
          <w:pgNumType w:start="57"/>
          <w:cols w:space="708"/>
        </w:sectPr>
      </w:pPr>
    </w:p>
    <w:p>
      <w:pPr>
        <w:pStyle w:val="BodyText"/>
        <w:rPr>
          <w:rFonts w:ascii="Microsoft JhengHei"/>
          <w:b/>
          <w:sz w:val="16"/>
        </w:rPr>
      </w:pPr>
    </w:p>
    <w:p>
      <w:pPr>
        <w:pStyle w:val="BodyText"/>
        <w:rPr>
          <w:rFonts w:ascii="Microsoft JhengHei"/>
          <w:b/>
          <w:sz w:val="16"/>
        </w:rPr>
      </w:pPr>
    </w:p>
    <w:p>
      <w:pPr>
        <w:pStyle w:val="BodyText"/>
        <w:spacing w:before="2"/>
        <w:rPr>
          <w:rFonts w:ascii="Microsoft JhengHei"/>
          <w:b/>
          <w:sz w:val="9"/>
        </w:rPr>
      </w:pPr>
    </w:p>
    <w:p>
      <w:pPr>
        <w:spacing w:before="0"/>
        <w:ind w:left="1211" w:right="24" w:firstLine="0"/>
        <w:jc w:val="center"/>
        <w:rPr>
          <w:sz w:val="16"/>
        </w:rPr>
      </w:pPr>
      <w:r>
        <w:rPr>
          <w:color w:val="3F3F3F"/>
          <w:sz w:val="16"/>
        </w:rPr>
        <w:t>直接材料</w:t>
      </w:r>
    </w:p>
    <w:p>
      <w:pPr>
        <w:spacing w:before="11"/>
        <w:ind w:left="1209" w:right="24" w:firstLine="0"/>
        <w:jc w:val="center"/>
        <w:rPr>
          <w:rFonts w:ascii="Calibri"/>
          <w:sz w:val="16"/>
        </w:rPr>
      </w:pPr>
      <w:r>
        <w:rPr>
          <w:rFonts w:ascii="Calibri"/>
          <w:color w:val="3F3F3F"/>
          <w:sz w:val="16"/>
        </w:rPr>
        <w:t>86.66</w:t>
      </w:r>
    </w:p>
    <w:p>
      <w:pPr>
        <w:pStyle w:val="BodyText"/>
        <w:rPr>
          <w:rFonts w:ascii="Calibri"/>
          <w:sz w:val="16"/>
        </w:rPr>
      </w:pPr>
      <w:r>
        <w:br w:type="column"/>
      </w:r>
    </w:p>
    <w:p>
      <w:pPr>
        <w:pStyle w:val="BodyText"/>
        <w:spacing w:before="1"/>
        <w:rPr>
          <w:rFonts w:ascii="Calibri"/>
          <w:sz w:val="23"/>
        </w:rPr>
      </w:pPr>
    </w:p>
    <w:p>
      <w:pPr>
        <w:spacing w:before="1"/>
        <w:ind w:left="1227" w:right="0" w:firstLine="0"/>
        <w:jc w:val="center"/>
        <w:rPr>
          <w:sz w:val="16"/>
        </w:rPr>
      </w:pPr>
      <w:r>
        <w:rPr>
          <w:color w:val="3F3F3F"/>
          <w:sz w:val="16"/>
        </w:rPr>
        <w:t>直接人工</w:t>
      </w:r>
    </w:p>
    <w:p>
      <w:pPr>
        <w:spacing w:before="11"/>
        <w:ind w:left="1225" w:right="0" w:firstLine="0"/>
        <w:jc w:val="center"/>
        <w:rPr>
          <w:rFonts w:ascii="Calibri"/>
          <w:sz w:val="16"/>
        </w:rPr>
      </w:pPr>
      <w:r>
        <w:pict>
          <v:group id="_x0000_s1738" style="width:162.8pt;height:115.15pt;margin-top:-23.25pt;margin-left:94.74pt;mso-position-horizontal-relative:page;position:absolute;z-index:-251515904" coordorigin="1895,-465" coordsize="3256,2303">
            <v:shape id="_x0000_s1739" style="width:2235;height:2289;left:2412;position:absolute;top:-458" coordorigin="2413,-458" coordsize="2235,2289" path="m3541,1830l3470,1827,3399,1819,3328,1807,3258,1791,3188,1769,3120,1743,3052,1713,2985,1677,2922,1637,2861,1594,2804,1548,2751,1498,2701,1446,2655,1391,2613,1333,2575,1273,2541,1212,2510,1148,2484,1083,2462,1016,2443,948,2429,879,2420,810,2414,740,2413,669,2416,598,2424,527,2436,457,2453,386,2474,317,2500,248,2531,181,2566,114,2606,50,2649,-10,2696,-67,2745,-120,2798,-170,2853,-215,2911,-258,2970,-296,3032,-330,3096,-360,3161,-387,3228,-409,3296,-427,3365,-441,3434,-451,3505,-457,3575,-458,3646,-454,3717,-447,3788,-435,3858,-418,3928,-397,3996,-371,4064,-340,4131,-304,4196,-264,4258,-219,4317,-171,4372,-118,4423,-63,4471,-4,4515,58,4555,123,4590,190,4621,260,4647,332,3558,686,4550,1258,4510,1322,4467,1383,4420,1439,4371,1493,4318,1542,4263,1588,4206,1630,4146,1668,4084,1703,4020,1733,3955,1759,3888,1782,3820,1800,3751,1814,3682,1824,3611,1829,3541,1830xe" filled="t" fillcolor="#ddebef" stroked="f">
              <v:fill type="solid"/>
              <v:path arrowok="t"/>
            </v:shape>
            <v:shape id="_x0000_s1740" style="width:2235;height:2289;left:2412;position:absolute;top:-458" coordorigin="2413,-458" coordsize="2235,2289" path="m4550,1258l4510,1322,4467,1383,4420,1439,4371,1493,4318,1542,4263,1588,4206,1630,4146,1668,4084,1703,4020,1733,3955,1759,3888,1782,3820,1800,3751,1814,3682,1824,3611,1829,3541,1830,3470,1827,3399,1819,3328,1807,3258,1791,3188,1769,3120,1743,3052,1713,2985,1677,2922,1637,2861,1594,2804,1548,2751,1498,2701,1446,2655,1391,2613,1333,2575,1273,2541,1212,2510,1148,2484,1083,2462,1016,2443,948,2429,879,2420,810,2414,740,2413,669,2416,598,2424,527,2436,457,2453,386,2474,317,2500,248,2531,181,2566,114,2606,50,2649,-10,2696,-67,2745,-120,2798,-170,2853,-215,2911,-258,2970,-296,3032,-330,3096,-360,3161,-387,3228,-409,3296,-427,3365,-441,3434,-451,3505,-457,3575,-458,3646,-454,3717,-447,3788,-435,3858,-418,3928,-397,3996,-371,4064,-340,4131,-304,4196,-264,4258,-219,4317,-171,4372,-118,4423,-63,4471,-4,4515,58,4555,123,4590,190,4621,260,4647,332,3558,686,4550,1258xe" filled="f" stroked="t" strokecolor="#7e7e7e" strokeweight="0.72pt">
              <v:stroke dashstyle="solid"/>
              <v:path arrowok="t"/>
            </v:shape>
            <v:shape id="_x0000_s1741" style="width:1132;height:354;left:3569;position:absolute;top:333" coordorigin="3569,334" coordsize="1132,354" path="m3569,688l4658,334,4672,378,4683,423,4693,468,4701,514,3569,688xe" filled="t" fillcolor="#9cc6cd" stroked="f">
              <v:fill type="solid"/>
              <v:path arrowok="t"/>
            </v:shape>
            <v:shape id="_x0000_s1742" style="width:1132;height:354;left:3569;position:absolute;top:333" coordorigin="3569,334" coordsize="1132,354" path="m4658,334l4672,378,4683,423,4693,468,4701,514,3569,688,4658,334xe" filled="f" stroked="t" strokecolor="#7e7e7e" strokeweight="0.72pt">
              <v:stroke dashstyle="solid"/>
              <v:path arrowok="t"/>
            </v:shape>
            <v:shape id="_x0000_s1743" style="width:1145;height:174;left:3569;position:absolute;top:513" coordorigin="3569,514" coordsize="1145,174" path="m3569,688l4701,514,4706,551,4710,588,4713,626,4714,663,3569,688xe" filled="t" fillcolor="#59a1ae" stroked="f">
              <v:fill type="solid"/>
              <v:path arrowok="t"/>
            </v:shape>
            <v:shape id="_x0000_s1744" style="width:1145;height:174;left:3569;position:absolute;top:513" coordorigin="3569,514" coordsize="1145,174" path="m4701,514l4706,551,4710,588,4713,626,4714,663,3569,688,4701,514xe" filled="f" stroked="t" strokecolor="#7e7e7e" strokeweight="0.72pt">
              <v:stroke dashstyle="solid"/>
              <v:path arrowok="t"/>
            </v:shape>
            <v:shape id="_x0000_s1745" style="width:1145;height:597;left:3569;position:absolute;top:663" coordorigin="3569,663" coordsize="1145,597" path="m4561,1259l3569,688,4714,663,4713,741,4707,819,4695,896,4679,972,4657,1046,4630,1119,4598,1190,4561,1259xe" filled="t" fillcolor="#d8d3d8" stroked="f">
              <v:fill type="solid"/>
              <v:path arrowok="t"/>
            </v:shape>
            <v:shape id="_x0000_s1746" style="width:1145;height:597;left:3569;position:absolute;top:663" coordorigin="3569,663" coordsize="1145,597" path="m4714,663l4713,741,4707,819,4695,896,4679,972,4657,1046,4630,1119,4598,1190,4561,1259,3569,688,4714,663xe" filled="f" stroked="t" strokecolor="#7e7e7e" strokeweight="0.72pt">
              <v:stroke dashstyle="solid"/>
              <v:path arrowok="t"/>
            </v:shape>
            <v:shape id="_x0000_s1747" style="width:519;height:334;left:1901;position:absolute;top:233" coordorigin="1902,233" coordsize="519,334" path="m2420,566l1993,233,1902,233e" filled="f" stroked="t" strokecolor="#a5a5a5" strokeweight="0.72pt">
              <v:stroke dashstyle="solid"/>
              <v:path arrowok="t"/>
            </v:shape>
            <v:shape id="_x0000_s1748" style="width:461;height:468;left:4682;position:absolute;top:-45" coordorigin="4683,-45" coordsize="461,468" path="m4683,423l5052,-45,5143,-45e" filled="f" stroked="t" strokecolor="#a5a5a5" strokeweight="0.72pt">
              <v:stroke dashstyle="solid"/>
              <v:path arrowok="t"/>
            </v:shape>
            <v:shape id="_x0000_s1749" style="width:435;height:94;left:4709;position:absolute;top:494" coordorigin="4709,495" coordsize="435,94" path="m4709,588l5052,495,5143,495e" filled="f" stroked="t" strokecolor="#a5a5a5" strokeweight="0.72pt">
              <v:stroke dashstyle="solid"/>
              <v:path arrowok="t"/>
            </v:shape>
            <v:shape id="_x0000_s1750" style="width:276;height:312;left:4677;position:absolute;top:971" coordorigin="4678,972" coordsize="276,312" path="m4678,972l4865,1283,4954,1283e" filled="f" stroked="t" strokecolor="#a5a5a5" strokeweight="0.72pt">
              <v:stroke dashstyle="solid"/>
              <v:path arrowok="t"/>
            </v:shape>
          </v:group>
        </w:pict>
      </w:r>
      <w:r>
        <w:rPr>
          <w:rFonts w:ascii="Calibri"/>
          <w:color w:val="3F3F3F"/>
          <w:sz w:val="16"/>
        </w:rPr>
        <w:t>2.58</w:t>
      </w:r>
    </w:p>
    <w:p>
      <w:pPr>
        <w:spacing w:before="128"/>
        <w:ind w:left="1227" w:right="0" w:firstLine="0"/>
        <w:jc w:val="center"/>
        <w:rPr>
          <w:sz w:val="16"/>
        </w:rPr>
      </w:pPr>
      <w:r>
        <w:rPr>
          <w:color w:val="3F3F3F"/>
          <w:sz w:val="16"/>
        </w:rPr>
        <w:t>制造费用</w:t>
      </w:r>
    </w:p>
    <w:p>
      <w:pPr>
        <w:spacing w:before="11"/>
        <w:ind w:left="1225" w:right="0" w:firstLine="0"/>
        <w:jc w:val="center"/>
        <w:rPr>
          <w:rFonts w:ascii="Calibri"/>
          <w:sz w:val="16"/>
        </w:rPr>
      </w:pPr>
      <w:r>
        <w:rPr>
          <w:rFonts w:ascii="Calibri"/>
          <w:color w:val="3F3F3F"/>
          <w:sz w:val="16"/>
        </w:rPr>
        <w:t>2.09</w:t>
      </w:r>
    </w:p>
    <w:p>
      <w:pPr>
        <w:pStyle w:val="BodyText"/>
        <w:rPr>
          <w:rFonts w:ascii="Calibri"/>
          <w:sz w:val="16"/>
        </w:rPr>
      </w:pPr>
      <w:r>
        <w:br w:type="column"/>
      </w:r>
    </w:p>
    <w:p>
      <w:pPr>
        <w:pStyle w:val="BodyText"/>
        <w:rPr>
          <w:rFonts w:ascii="Calibri"/>
          <w:sz w:val="16"/>
        </w:rPr>
      </w:pPr>
    </w:p>
    <w:p>
      <w:pPr>
        <w:pStyle w:val="BodyText"/>
        <w:rPr>
          <w:rFonts w:ascii="Calibri"/>
          <w:sz w:val="16"/>
        </w:rPr>
      </w:pPr>
    </w:p>
    <w:p>
      <w:pPr>
        <w:pStyle w:val="BodyText"/>
        <w:rPr>
          <w:rFonts w:ascii="Calibri"/>
          <w:sz w:val="16"/>
        </w:rPr>
      </w:pPr>
    </w:p>
    <w:p>
      <w:pPr>
        <w:pStyle w:val="BodyText"/>
        <w:spacing w:before="5"/>
        <w:rPr>
          <w:rFonts w:ascii="Calibri"/>
          <w:sz w:val="14"/>
        </w:rPr>
      </w:pPr>
    </w:p>
    <w:p>
      <w:pPr>
        <w:spacing w:before="0"/>
        <w:ind w:left="504" w:right="24" w:firstLine="0"/>
        <w:jc w:val="center"/>
        <w:rPr>
          <w:sz w:val="16"/>
        </w:rPr>
      </w:pPr>
      <w:r>
        <w:rPr>
          <w:color w:val="3F3F3F"/>
          <w:sz w:val="16"/>
        </w:rPr>
        <w:t>直接材料</w:t>
      </w:r>
    </w:p>
    <w:p>
      <w:pPr>
        <w:spacing w:before="11"/>
        <w:ind w:left="502" w:right="24" w:firstLine="0"/>
        <w:jc w:val="center"/>
        <w:rPr>
          <w:rFonts w:ascii="Calibri"/>
          <w:sz w:val="16"/>
        </w:rPr>
      </w:pPr>
      <w:r>
        <w:rPr>
          <w:rFonts w:ascii="Calibri"/>
          <w:color w:val="3F3F3F"/>
          <w:sz w:val="16"/>
        </w:rPr>
        <w:t>82.26</w:t>
      </w:r>
    </w:p>
    <w:p>
      <w:pPr>
        <w:spacing w:before="130"/>
        <w:ind w:left="1227" w:right="0" w:firstLine="0"/>
        <w:jc w:val="left"/>
        <w:rPr>
          <w:sz w:val="16"/>
        </w:rPr>
      </w:pPr>
      <w:r>
        <w:br w:type="column"/>
      </w:r>
      <w:r>
        <w:rPr>
          <w:color w:val="3F3F3F"/>
          <w:sz w:val="16"/>
        </w:rPr>
        <w:t>直接人工</w:t>
      </w:r>
    </w:p>
    <w:p>
      <w:pPr>
        <w:spacing w:before="11"/>
        <w:ind w:left="1407" w:right="0" w:firstLine="0"/>
        <w:jc w:val="left"/>
        <w:rPr>
          <w:rFonts w:ascii="Calibri"/>
          <w:sz w:val="16"/>
        </w:rPr>
      </w:pPr>
      <w:r>
        <w:pict>
          <v:group id="_x0000_s1751" style="width:161.65pt;height:114.7pt;margin-top:-5.35pt;margin-left:353.33pt;mso-position-horizontal-relative:page;position:absolute;z-index:-251514880" coordorigin="7067,-107" coordsize="3233,2294">
            <v:shape id="_x0000_s1752" style="width:2128;height:2279;left:7579;position:absolute;top:-100" coordorigin="7580,-100" coordsize="2128,2279" path="m8703,2179l8632,2176,8562,2168,8491,2156,8421,2139,8352,2118,8283,2092,8216,2062,8150,2026,8086,1987,8026,1944,7969,1897,7916,1848,7867,1796,7821,1741,7779,1684,7741,1624,7707,1563,7677,1499,7650,1434,7628,1368,7610,1301,7596,1232,7586,1163,7581,1093,7580,1022,7583,952,7591,881,7603,811,7619,741,7641,672,7667,603,7697,536,7733,470,7772,406,7815,346,7861,289,7911,236,7963,187,8018,141,8075,100,8135,62,8196,27,8260,-3,8325,-29,8391,-51,8459,-69,8528,-83,8597,-93,8667,-99,8737,-100,8808,-97,8879,-89,8949,-77,9019,-60,9088,-39,9157,-13,9224,18,9290,53,9354,92,9414,135,9471,182,9525,233,9576,287,9624,344,9667,405,8720,1040,9708,1609,9668,1673,9625,1733,9579,1790,9529,1843,9477,1892,9422,1938,9365,1980,9305,2018,9244,2052,9180,2082,9115,2108,9049,2131,8981,2149,8913,2163,8843,2172,8773,2178,8703,2179xe" filled="t" fillcolor="#ddebef" stroked="f">
              <v:fill type="solid"/>
              <v:path arrowok="t"/>
            </v:shape>
            <v:shape id="_x0000_s1753" style="width:2128;height:2279;left:7579;position:absolute;top:-100" coordorigin="7580,-100" coordsize="2128,2279" path="m9708,1609l9668,1673,9625,1733,9579,1790,9529,1843,9477,1892,9422,1938,9365,1980,9305,2018,9244,2052,9180,2082,9115,2108,9049,2131,8981,2149,8913,2163,8843,2172,8773,2178,8703,2179,8632,2176,8562,2168,8491,2156,8421,2139,8352,2118,8283,2092,8216,2062,8150,2026,8086,1987,8026,1944,7969,1897,7916,1848,7867,1796,7821,1741,7779,1684,7741,1624,7707,1563,7677,1499,7650,1434,7628,1368,7610,1301,7596,1232,7586,1163,7581,1093,7580,1022,7583,952,7591,881,7603,811,7619,741,7641,672,7667,603,7697,536,7733,470,7772,406,7815,346,7861,289,7911,236,7963,187,8018,141,8075,100,8135,62,8196,27,8260,-3,8325,-29,8391,-51,8459,-69,8528,-83,8597,-93,8667,-99,8737,-100,8808,-97,8879,-89,8949,-77,9019,-60,9088,-39,9157,-13,9224,18,9290,53,9354,92,9414,135,9471,182,9525,233,9576,287,9624,344,9667,405,8720,1040,9708,1609xe" filled="f" stroked="t" strokecolor="#7e7e7e" strokeweight="0.72pt">
              <v:stroke dashstyle="solid"/>
              <v:path arrowok="t"/>
            </v:shape>
            <v:shape id="_x0000_s1754" style="width:1056;height:635;left:8731;position:absolute;top:404" coordorigin="8732,404" coordsize="1056,635" path="m8732,1039l9678,404,9709,453,9738,503,9764,555,9787,608,8732,1039xe" filled="t" fillcolor="#9cc6cd" stroked="f">
              <v:fill type="solid"/>
              <v:path arrowok="t"/>
            </v:shape>
            <v:shape id="_x0000_s1755" style="width:1056;height:635;left:8731;position:absolute;top:404" coordorigin="8732,404" coordsize="1056,635" path="m9678,404l9709,453,9738,503,9764,555,9787,608,8732,1039,9678,404xe" filled="f" stroked="t" strokecolor="#7e7e7e" strokeweight="0.72pt">
              <v:stroke dashstyle="solid"/>
              <v:path arrowok="t"/>
            </v:shape>
            <v:shape id="_x0000_s1756" style="width:1108;height:432;left:8731;position:absolute;top:608" coordorigin="8732,608" coordsize="1108,432" path="m8732,1039l9787,608,9802,647,9816,687,9828,727,9839,768,8732,1039xe" filled="t" fillcolor="#59a1ae" stroked="f">
              <v:fill type="solid"/>
              <v:path arrowok="t"/>
            </v:shape>
            <v:shape id="_x0000_s1757" style="width:1108;height:432;left:8731;position:absolute;top:608" coordorigin="8732,608" coordsize="1108,432" path="m9787,608l9802,647,9816,687,9828,727,9839,768,8732,1039,9787,608xe" filled="f" stroked="t" strokecolor="#7e7e7e" strokeweight="0.72pt">
              <v:stroke dashstyle="solid"/>
              <v:path arrowok="t"/>
            </v:shape>
            <v:shape id="_x0000_s1758" style="width:1140;height:841;left:8731;position:absolute;top:767" coordorigin="8732,768" coordsize="1140,841" path="m9719,1609l8732,1039,9839,768,9855,846,9866,925,9871,1004,9871,1082,9865,1161,9854,1239,9838,1316,9816,1392,9789,1466,9757,1538,9719,1609xe" filled="t" fillcolor="#d8d3d8" stroked="f">
              <v:fill type="solid"/>
              <v:path arrowok="t"/>
            </v:shape>
            <v:shape id="_x0000_s1759" style="width:1140;height:841;left:8731;position:absolute;top:767" coordorigin="8732,768" coordsize="1140,841" path="m9839,768l9855,846,9866,925,9871,1004,9871,1082,9865,1161,9854,1239,9838,1316,9816,1392,9789,1466,9757,1538,9719,1609,8732,1039,9839,768xe" filled="f" stroked="t" strokecolor="#7e7e7e" strokeweight="0.72pt">
              <v:stroke dashstyle="solid"/>
              <v:path arrowok="t"/>
            </v:shape>
            <v:shape id="_x0000_s1760" style="width:507;height:295;left:7073;position:absolute;top:782" coordorigin="7074,782" coordsize="507,295" path="m7580,1077l7165,782,7074,782e" filled="f" stroked="t" strokecolor="#a5a5a5" strokeweight="0.72pt">
              <v:stroke dashstyle="solid"/>
              <v:path arrowok="t"/>
            </v:shape>
            <v:shape id="_x0000_s1761" style="width:509;height:550;left:9737;position:absolute;top:-45" coordorigin="9737,-45" coordsize="509,550" path="m9737,504l10155,-45,10246,-45e" filled="f" stroked="t" strokecolor="#a5a5a5" strokeweight="0.72pt">
              <v:stroke dashstyle="solid"/>
              <v:path arrowok="t"/>
            </v:shape>
            <v:shape id="_x0000_s1762" style="width:476;height:159;left:9816;position:absolute;top:528" coordorigin="9817,528" coordsize="476,159" path="m9817,686l10203,528,10292,528e" filled="f" stroked="t" strokecolor="#a5a5a5" strokeweight="0.72pt">
              <v:stroke dashstyle="solid"/>
              <v:path arrowok="t"/>
            </v:shape>
            <v:shape id="_x0000_s1763" style="width:274;height:283;left:9859;position:absolute;top:1199" coordorigin="9860,1200" coordsize="274,283" path="m9860,1200l10042,1482,10133,1482e" filled="f" stroked="t" strokecolor="#a5a5a5" strokeweight="0.72pt">
              <v:stroke dashstyle="solid"/>
              <v:path arrowok="t"/>
            </v:shape>
          </v:group>
        </w:pict>
      </w:r>
      <w:r>
        <w:rPr>
          <w:rFonts w:ascii="Calibri"/>
          <w:color w:val="3F3F3F"/>
          <w:sz w:val="16"/>
        </w:rPr>
        <w:t>3.23</w:t>
      </w:r>
    </w:p>
    <w:p>
      <w:pPr>
        <w:pStyle w:val="BodyText"/>
        <w:spacing w:before="3"/>
        <w:rPr>
          <w:rFonts w:ascii="Calibri"/>
          <w:sz w:val="13"/>
        </w:rPr>
      </w:pPr>
    </w:p>
    <w:p>
      <w:pPr>
        <w:spacing w:before="0"/>
        <w:ind w:left="1289" w:right="0" w:firstLine="0"/>
        <w:jc w:val="left"/>
        <w:rPr>
          <w:sz w:val="16"/>
        </w:rPr>
      </w:pPr>
      <w:r>
        <w:rPr>
          <w:color w:val="3F3F3F"/>
          <w:sz w:val="16"/>
        </w:rPr>
        <w:t>制造费用</w:t>
      </w:r>
    </w:p>
    <w:p>
      <w:pPr>
        <w:spacing w:before="11"/>
        <w:ind w:left="1469" w:right="0" w:firstLine="0"/>
        <w:jc w:val="left"/>
        <w:rPr>
          <w:rFonts w:ascii="Calibri"/>
          <w:sz w:val="16"/>
        </w:rPr>
      </w:pPr>
      <w:r>
        <w:rPr>
          <w:rFonts w:ascii="Calibri"/>
          <w:color w:val="3F3F3F"/>
          <w:sz w:val="16"/>
        </w:rPr>
        <w:t>2.35</w:t>
      </w:r>
    </w:p>
    <w:p>
      <w:pPr>
        <w:spacing w:after="0"/>
        <w:jc w:val="left"/>
        <w:rPr>
          <w:rFonts w:ascii="Calibri"/>
          <w:sz w:val="16"/>
        </w:rPr>
        <w:sectPr>
          <w:headerReference w:type="default" r:id="rId160"/>
          <w:footerReference w:type="default" r:id="rId161"/>
          <w:type w:val="continuous"/>
          <w:pgSz w:w="12240" w:h="15840"/>
          <w:pgMar w:top="1500" w:right="0" w:bottom="280" w:left="0" w:header="708" w:footer="708"/>
          <w:pgNumType w:start="58"/>
          <w:cols w:num="4" w:space="708" w:equalWidth="0">
            <w:col w:w="1916" w:space="2038"/>
            <w:col w:w="1876" w:space="40"/>
            <w:col w:w="1209" w:space="1965"/>
            <w:col w:w="3196" w:space="0"/>
          </w:cols>
        </w:sectPr>
      </w:pPr>
    </w:p>
    <w:p>
      <w:pPr>
        <w:pStyle w:val="BodyText"/>
        <w:spacing w:before="1"/>
        <w:rPr>
          <w:rFonts w:ascii="Calibri"/>
          <w:sz w:val="13"/>
        </w:rPr>
      </w:pPr>
    </w:p>
    <w:p>
      <w:pPr>
        <w:spacing w:after="0"/>
        <w:rPr>
          <w:rFonts w:ascii="Calibri"/>
          <w:sz w:val="13"/>
        </w:rPr>
        <w:sectPr>
          <w:headerReference w:type="default" r:id="rId162"/>
          <w:footerReference w:type="default" r:id="rId163"/>
          <w:type w:val="continuous"/>
          <w:pgSz w:w="12240" w:h="15840"/>
          <w:pgMar w:top="1500" w:right="0" w:bottom="280" w:left="0" w:header="708" w:footer="708"/>
          <w:pgNumType w:start="59"/>
          <w:cols w:space="708"/>
        </w:sectPr>
      </w:pPr>
    </w:p>
    <w:p>
      <w:pPr>
        <w:pStyle w:val="BodyText"/>
        <w:spacing w:before="9"/>
        <w:rPr>
          <w:rFonts w:ascii="Calibri"/>
          <w:sz w:val="19"/>
        </w:rPr>
      </w:pPr>
    </w:p>
    <w:p>
      <w:pPr>
        <w:spacing w:before="0" w:line="247" w:lineRule="auto"/>
        <w:ind w:left="4983" w:right="2295" w:firstLine="0"/>
        <w:jc w:val="center"/>
        <w:rPr>
          <w:rFonts w:ascii="Calibri" w:eastAsia="Calibri"/>
          <w:sz w:val="16"/>
        </w:rPr>
      </w:pPr>
      <w:r>
        <w:pict>
          <v:shape id="_x0000_s1764" style="width:236.9pt;height:0.1pt;margin-top:44.94pt;margin-left:57.55pt;mso-position-horizontal-relative:page;mso-wrap-distance-left:0;mso-wrap-distance-right:0;position:absolute;z-index:-251513856" coordorigin="1151,899" coordsize="4738,0" path="m1151,899l5889,899e" filled="f" stroked="t" strokecolor="black" strokeweight="0.75pt">
            <v:stroke dashstyle="solid"/>
            <v:path arrowok="t"/>
            <w10:wrap type="topAndBottom"/>
          </v:shape>
        </w:pict>
      </w:r>
      <w:r>
        <w:pict>
          <v:line id="_x0000_s1765" style="mso-position-horizontal-relative:page;position:absolute;z-index:251803648" from="316.25pt,44.95pt" to="554.8pt,44.95pt" stroked="t" strokecolor="black" strokeweight="0.75pt">
            <v:stroke dashstyle="solid"/>
          </v:line>
        </w:pict>
      </w:r>
      <w:r>
        <w:rPr>
          <w:color w:val="3F3F3F"/>
          <w:sz w:val="16"/>
        </w:rPr>
        <w:t>物流费用、质量保证及维护费等</w:t>
      </w:r>
      <w:r>
        <w:rPr>
          <w:rFonts w:ascii="Calibri" w:eastAsia="Calibri"/>
          <w:color w:val="3F3F3F"/>
          <w:sz w:val="16"/>
        </w:rPr>
        <w:t>8.67</w:t>
      </w:r>
    </w:p>
    <w:p>
      <w:pPr>
        <w:tabs>
          <w:tab w:val="left" w:pos="6284"/>
        </w:tabs>
        <w:spacing w:before="0"/>
        <w:ind w:left="1110" w:right="0" w:firstLine="0"/>
        <w:jc w:val="center"/>
        <w:rPr>
          <w:sz w:val="15"/>
        </w:rPr>
      </w:pPr>
      <w:r>
        <w:t xml:space="preserve">资料来源: 固德威， </w:t>
        <w:tab/>
        <w:t xml:space="preserve">资料来源:固德威， </w:t>
      </w:r>
    </w:p>
    <w:p>
      <w:pPr>
        <w:spacing w:before="69" w:line="247" w:lineRule="auto"/>
        <w:ind w:left="1150" w:right="1271" w:firstLine="0"/>
        <w:jc w:val="center"/>
        <w:rPr>
          <w:rFonts w:ascii="Calibri" w:eastAsia="Calibri"/>
          <w:sz w:val="16"/>
        </w:rPr>
      </w:pPr>
      <w:r>
        <w:br w:type="column"/>
      </w:r>
      <w:r>
        <w:rPr>
          <w:color w:val="3F3F3F"/>
          <w:sz w:val="16"/>
        </w:rPr>
        <w:t>物流费用、质量保证及维护费等</w:t>
      </w:r>
      <w:r>
        <w:rPr>
          <w:rFonts w:ascii="Calibri" w:eastAsia="Calibri"/>
          <w:color w:val="3F3F3F"/>
          <w:sz w:val="16"/>
        </w:rPr>
        <w:t>12.16</w:t>
      </w:r>
    </w:p>
    <w:p>
      <w:pPr>
        <w:spacing w:after="0" w:line="247" w:lineRule="auto"/>
        <w:jc w:val="center"/>
        <w:rPr>
          <w:rFonts w:ascii="Calibri" w:eastAsia="Calibri"/>
          <w:sz w:val="16"/>
        </w:rPr>
        <w:sectPr>
          <w:headerReference w:type="default" r:id="rId164"/>
          <w:footerReference w:type="default" r:id="rId165"/>
          <w:type w:val="continuous"/>
          <w:pgSz w:w="12240" w:h="15840"/>
          <w:pgMar w:top="1500" w:right="0" w:bottom="280" w:left="0" w:header="708" w:footer="708"/>
          <w:pgNumType w:start="60"/>
          <w:cols w:num="2" w:space="708" w:equalWidth="0">
            <w:col w:w="8083" w:space="932"/>
            <w:col w:w="3225" w:space="0"/>
          </w:cols>
        </w:sectPr>
      </w:pPr>
    </w:p>
    <w:p>
      <w:pPr>
        <w:pStyle w:val="BodyText"/>
        <w:spacing w:before="8"/>
        <w:rPr>
          <w:rFonts w:ascii="Calibri"/>
          <w:sz w:val="17"/>
        </w:rPr>
      </w:pPr>
    </w:p>
    <w:p>
      <w:pPr>
        <w:spacing w:after="0"/>
        <w:rPr>
          <w:rFonts w:ascii="Calibri"/>
          <w:sz w:val="17"/>
        </w:rPr>
        <w:sectPr>
          <w:headerReference w:type="default" r:id="rId166"/>
          <w:footerReference w:type="default" r:id="rId167"/>
          <w:type w:val="continuous"/>
          <w:pgSz w:w="12240" w:h="15840"/>
          <w:pgMar w:top="1500" w:right="0" w:bottom="280" w:left="0" w:header="708" w:footer="708"/>
          <w:pgNumType w:start="61"/>
          <w:cols w:space="708"/>
        </w:sectPr>
      </w:pPr>
    </w:p>
    <w:p>
      <w:pPr>
        <w:pStyle w:val="Heading3"/>
        <w:spacing w:before="69" w:line="170" w:lineRule="auto"/>
      </w:pPr>
      <w:r>
        <w:pict>
          <v:line id="_x0000_s1766" style="mso-position-horizontal-relative:page;position:absolute;z-index:251804672" from="57.55pt,33.9pt" to="294.45pt,33.9pt" stroked="t" strokecolor="black" strokeweight="0.75pt">
            <v:stroke dashstyle="solid"/>
          </v:line>
        </w:pict>
      </w:r>
      <w:r>
        <w:t>图表</w:t>
      </w:r>
      <w:r>
        <w:rPr>
          <w:rFonts w:ascii="Calibri" w:eastAsia="Calibri"/>
        </w:rPr>
        <w:t xml:space="preserve">48: </w:t>
      </w:r>
      <w:r>
        <w:t>首航新能</w:t>
      </w:r>
      <w:r>
        <w:rPr>
          <w:rFonts w:ascii="Calibri" w:eastAsia="Calibri"/>
        </w:rPr>
        <w:t>2022</w:t>
      </w:r>
      <w:r>
        <w:t>年并网逆变器直接材料构成（</w:t>
      </w:r>
      <w:r>
        <w:rPr>
          <w:rFonts w:ascii="Calibri" w:eastAsia="Calibri"/>
        </w:rPr>
        <w:t>%</w:t>
      </w:r>
      <w:r>
        <w:t>）</w:t>
      </w:r>
    </w:p>
    <w:p>
      <w:pPr>
        <w:pStyle w:val="Heading3"/>
        <w:spacing w:line="329" w:lineRule="exact"/>
        <w:ind w:left="614"/>
      </w:pPr>
      <w:r>
        <w:rPr>
          <w:b w:val="0"/>
        </w:rPr>
        <w:br w:type="column"/>
      </w:r>
      <w:r>
        <w:t>图表</w:t>
      </w:r>
      <w:r>
        <w:rPr>
          <w:rFonts w:ascii="Calibri" w:eastAsia="Calibri"/>
        </w:rPr>
        <w:t xml:space="preserve">49: </w:t>
      </w:r>
      <w:r>
        <w:t>首航新能</w:t>
      </w:r>
      <w:r>
        <w:rPr>
          <w:rFonts w:ascii="Calibri" w:eastAsia="Calibri"/>
        </w:rPr>
        <w:t>2022</w:t>
      </w:r>
      <w:r>
        <w:t>年储能逆变器直接材料构成</w:t>
      </w:r>
    </w:p>
    <w:p>
      <w:pPr>
        <w:pStyle w:val="Heading3"/>
        <w:spacing w:line="345" w:lineRule="exact"/>
        <w:ind w:left="614"/>
      </w:pPr>
      <w:r>
        <w:t>（</w:t>
      </w:r>
      <w:r>
        <w:rPr>
          <w:rFonts w:ascii="Calibri" w:eastAsia="Calibri"/>
        </w:rPr>
        <w:t>%</w:t>
      </w:r>
      <w:r>
        <w:t>）</w:t>
      </w:r>
    </w:p>
    <w:p>
      <w:pPr>
        <w:pStyle w:val="BodyText"/>
        <w:spacing w:line="20" w:lineRule="exact"/>
        <w:ind w:left="606"/>
        <w:rPr>
          <w:rFonts w:ascii="Microsoft JhengHei"/>
          <w:sz w:val="2"/>
        </w:rPr>
      </w:pPr>
      <w:r>
        <w:rPr>
          <w:rFonts w:ascii="Microsoft JhengHei"/>
          <w:sz w:val="2"/>
        </w:rPr>
        <w:pict>
          <v:group id="_x0000_i1767" style="width:238.55pt;height:0.75pt;mso-position-horizontal-relative:char;mso-position-vertical-relative:line" coordorigin="0,0" coordsize="4771,15">
            <v:line id="_x0000_s1768" style="position:absolute" from="0,8" to="4771,8" stroked="t" strokecolor="black" strokeweight="0.75pt">
              <v:stroke dashstyle="solid"/>
            </v:line>
            <w10:wrap type="none"/>
          </v:group>
        </w:pict>
      </w:r>
    </w:p>
    <w:p>
      <w:pPr>
        <w:spacing w:after="0" w:line="20" w:lineRule="exact"/>
        <w:rPr>
          <w:rFonts w:ascii="Microsoft JhengHei"/>
          <w:sz w:val="2"/>
        </w:rPr>
        <w:sectPr>
          <w:headerReference w:type="default" r:id="rId168"/>
          <w:footerReference w:type="default" r:id="rId169"/>
          <w:type w:val="continuous"/>
          <w:pgSz w:w="12240" w:h="15840"/>
          <w:pgMar w:top="1500" w:right="0" w:bottom="280" w:left="0" w:header="708" w:footer="708"/>
          <w:pgNumType w:start="62"/>
          <w:cols w:num="2" w:space="708" w:equalWidth="0">
            <w:col w:w="5671" w:space="40"/>
            <w:col w:w="6529" w:space="0"/>
          </w:cols>
        </w:sectPr>
      </w:pPr>
    </w:p>
    <w:p>
      <w:pPr>
        <w:spacing w:before="15"/>
        <w:ind w:left="1922" w:right="0" w:firstLine="0"/>
        <w:jc w:val="left"/>
        <w:rPr>
          <w:sz w:val="16"/>
        </w:rPr>
      </w:pPr>
      <w:r>
        <w:pict>
          <v:group id="_x0000_s1769" style="width:162.85pt;height:121pt;margin-top:10.63pt;margin-left:95.26pt;mso-position-horizontal-relative:page;position:absolute;z-index:-251510784" coordorigin="1905,213" coordsize="3257,2420">
            <v:shape id="_x0000_s1770" style="width:1269;height:1145;left:2696;position:absolute;top:1405" coordorigin="2697,1405" coordsize="1269,1145" path="m3602,2550l3529,2549,3457,2544,3385,2534,3314,2520,3244,2502,3175,2479,3108,2452,3042,2420,2978,2385,2917,2345,2858,2301,2801,2253,2748,2201,2697,2146,3573,1405,3966,2481,3894,2504,3822,2523,3749,2536,3676,2545,3602,2550xe" filled="t" fillcolor="#bcdadf" stroked="f">
              <v:fill type="solid"/>
              <v:path arrowok="t"/>
            </v:shape>
            <v:shape id="_x0000_s1771" style="width:1269;height:1145;left:2696;position:absolute;top:1405" coordorigin="2697,1405" coordsize="1269,1145" path="m3966,2481l3894,2504,3822,2523,3749,2536,3676,2545,3602,2550,3529,2549,3457,2544,3385,2534,3314,2520,3244,2502,3175,2479,3108,2452,3042,2420,2978,2385,2917,2345,2858,2301,2801,2253,2748,2201,2697,2146,3573,1405,3966,2481xe" filled="f" stroked="t" strokecolor="#7e7e7e" strokeweight="0.72pt">
              <v:stroke dashstyle="solid"/>
              <v:path arrowok="t"/>
            </v:shape>
            <v:shape id="_x0000_s1772" style="width:1149;height:1235;left:2416;position:absolute;top:901" coordorigin="2416,902" coordsize="1149,1235" path="m2688,2136l2639,2074,2595,2009,2555,1942,2520,1873,2490,1802,2466,1729,2446,1655,2431,1580,2421,1505,2416,1428,2417,1352,2422,1275,2433,1199,2449,1123,2470,1048,2496,974,2528,902,3564,1396,2688,2136xe" filled="t" fillcolor="#59a1ae" stroked="f">
              <v:fill type="solid"/>
              <v:path arrowok="t"/>
            </v:shape>
            <v:shape id="_x0000_s1773" style="width:1149;height:1235;left:2416;position:absolute;top:901" coordorigin="2416,902" coordsize="1149,1235" path="m2688,2136l2639,2074,2595,2009,2555,1942,2520,1873,2490,1802,2466,1729,2446,1655,2431,1580,2421,1505,2416,1428,2417,1352,2422,1275,2433,1199,2449,1123,2470,1048,2496,974,2528,902,3564,1396,2688,2136xe" filled="f" stroked="t" strokecolor="#7e7e7e" strokeweight="0.72pt">
              <v:stroke dashstyle="solid"/>
              <v:path arrowok="t"/>
            </v:shape>
            <v:shape id="_x0000_s1774" style="width:1037;height:1129;left:2539;position:absolute;top:265" coordorigin="2540,266" coordsize="1037,1129" path="m3576,1394l2540,900,2577,830,2618,762,2664,699,2714,638,2767,581,2825,529,2885,480,2949,435,3016,395,3085,359,3157,329,3232,302,3308,281,3386,266,3576,1394xe" filled="t" fillcolor="#417b85" stroked="f">
              <v:fill type="solid"/>
              <v:path arrowok="t"/>
            </v:shape>
            <v:shape id="_x0000_s1775" style="width:1037;height:1129;left:2539;position:absolute;top:265" coordorigin="2540,266" coordsize="1037,1129" path="m2540,900l2577,830,2618,762,2664,699,2714,638,2767,581,2825,529,2885,480,2949,435,3016,395,3085,359,3157,329,3232,302,3308,281,3386,266,3576,1394,2540,900xe" filled="f" stroked="t" strokecolor="#7e7e7e" strokeweight="0.72pt">
              <v:stroke dashstyle="solid"/>
              <v:path arrowok="t"/>
            </v:shape>
            <v:shape id="_x0000_s1776" style="width:1138;height:1144;left:3386;position:absolute;top:250" coordorigin="3386,250" coordsize="1138,1144" path="m3576,1394l3386,266,3464,255,3542,250,3619,251,3696,256,3771,267,3846,282,3919,302,3991,327,4060,357,4128,391,4193,429,4256,472,4316,519,4373,570,4427,626,4477,685,4524,748,3576,1394xe" filled="t" fillcolor="#d8d3d8" stroked="f">
              <v:fill type="solid"/>
              <v:path arrowok="t"/>
            </v:shape>
            <v:shape id="_x0000_s1777" style="width:1138;height:1144;left:3386;position:absolute;top:250" coordorigin="3386,250" coordsize="1138,1144" path="m3386,266l3464,255,3542,250,3619,251,3696,256,3771,267,3846,282,3919,302,3991,327,4060,357,4128,391,4193,429,4256,472,4316,519,4373,570,4427,626,4477,685,4524,748,3576,1394,3386,266xe" filled="f" stroked="t" strokecolor="#7e7e7e" strokeweight="0.72pt">
              <v:stroke dashstyle="solid"/>
              <v:path arrowok="t"/>
            </v:shape>
            <v:shape id="_x0000_s1778" style="width:1149;height:647;left:3575;position:absolute;top:747" coordorigin="3576,748" coordsize="1149,647" path="m3576,1394l4524,748,4568,817,4607,889,4640,964,4668,1040,4691,1118,4707,1198,4719,1279,4724,1361,3576,1394xe" filled="t" fillcolor="#9c90a0" stroked="f">
              <v:fill type="solid"/>
              <v:path arrowok="t"/>
            </v:shape>
            <v:shape id="_x0000_s1779" style="width:1149;height:647;left:3575;position:absolute;top:747" coordorigin="3576,748" coordsize="1149,647" path="m4524,748l4568,817,4607,889,4640,964,4668,1040,4691,1118,4707,1198,4719,1279,4724,1361,3576,1394,4524,748xe" filled="f" stroked="t" strokecolor="#7e7e7e" strokeweight="0.72pt">
              <v:stroke dashstyle="solid"/>
              <v:path arrowok="t"/>
            </v:shape>
            <v:shape id="_x0000_s1780" style="width:1149;height:345;left:3575;position:absolute;top:1360" coordorigin="3576,1361" coordsize="1149,345" path="m4681,1706l3576,1394,4724,1361,4723,1448,4716,1535,4702,1621,4681,1706xe" filled="t" fillcolor="#77697b" stroked="f">
              <v:fill type="solid"/>
              <v:path arrowok="t"/>
            </v:shape>
            <v:shape id="_x0000_s1781" style="width:1149;height:345;left:3575;position:absolute;top:1360" coordorigin="3576,1361" coordsize="1149,345" path="m4724,1361l4723,1448,4716,1535,4702,1621,4681,1706,3576,1394,4724,1361xe" filled="f" stroked="t" strokecolor="#7e7e7e" strokeweight="0.72pt">
              <v:stroke dashstyle="solid"/>
              <v:path arrowok="t"/>
            </v:shape>
            <v:shape id="_x0000_s1782" style="width:1106;height:445;left:3575;position:absolute;top:1394" coordorigin="3576,1394" coordsize="1106,445" path="m4634,1839l3576,1394,4681,1706,4671,1739,4660,1773,4648,1806,4634,1839xe" filled="t" fillcolor="#4f4652" stroked="f">
              <v:fill type="solid"/>
              <v:path arrowok="t"/>
            </v:shape>
            <v:shape id="_x0000_s1783" style="width:1106;height:445;left:3575;position:absolute;top:1394" coordorigin="3576,1394" coordsize="1106,445" path="m4681,1706l4671,1739,4660,1773,4648,1806,4634,1839,3576,1394,4681,1706xe" filled="f" stroked="t" strokecolor="#7e7e7e" strokeweight="0.72pt">
              <v:stroke dashstyle="solid"/>
              <v:path arrowok="t"/>
            </v:shape>
            <v:shape id="_x0000_s1784" style="width:1059;height:1076;left:3575;position:absolute;top:1394" coordorigin="3576,1394" coordsize="1059,1076" path="m3969,2470l3576,1394,4634,1839,4601,1911,4563,1980,4520,2046,4473,2109,4423,2168,4368,2223,4309,2275,4247,2323,4182,2366,4114,2406,4043,2440,3969,2470xe" filled="t" fillcolor="#ddebef" stroked="f">
              <v:fill type="solid"/>
              <v:path arrowok="t"/>
            </v:shape>
            <v:shape id="_x0000_s1785" style="width:1059;height:1076;left:3575;position:absolute;top:1394" coordorigin="3576,1394" coordsize="1059,1076" path="m4634,1839l4601,1911,4563,1980,4520,2046,4473,2109,4423,2168,4368,2223,4309,2275,4247,2323,4182,2367,4114,2406,4043,2440,3969,2470,3576,1394,4634,1839xe" filled="f" stroked="t" strokecolor="#7e7e7e" strokeweight="0.72pt">
              <v:stroke dashstyle="solid"/>
              <v:path arrowok="t"/>
            </v:shape>
            <v:shape id="_x0000_s1786" style="width:481;height:82;left:2798;position:absolute;top:2430" coordorigin="2799,2431" coordsize="481,82" path="m3279,2512l2887,2431,2799,2431e" filled="f" stroked="t" strokecolor="#a5a5a5" strokeweight="0.72pt">
              <v:stroke dashstyle="solid"/>
              <v:path arrowok="t"/>
            </v:shape>
            <v:shape id="_x0000_s1787" style="width:514;height:192;left:1912;position:absolute;top:1351" coordorigin="1912,1352" coordsize="514,192" path="m2426,1543l2004,1352,1912,1352e" filled="f" stroked="t" strokecolor="#a5a5a5" strokeweight="0.72pt">
              <v:stroke dashstyle="solid"/>
              <v:path arrowok="t"/>
            </v:shape>
            <v:shape id="_x0000_s1788" style="width:450;height:261;left:2435;position:absolute;top:219" coordorigin="2436,220" coordsize="450,261" path="m2885,481l2527,220,2436,220e" filled="f" stroked="t" strokecolor="#a5a5a5" strokeweight="0.72pt">
              <v:stroke dashstyle="solid"/>
              <v:path arrowok="t"/>
            </v:shape>
            <v:shape id="_x0000_s1789" style="width:363;height:123;left:4025;position:absolute;top:219" coordorigin="4026,220" coordsize="363,123" path="m4026,342l4297,220,4388,220e" filled="f" stroked="t" strokecolor="#a5a5a5" strokeweight="0.72pt">
              <v:stroke dashstyle="solid"/>
              <v:path arrowok="t"/>
            </v:shape>
            <v:shape id="_x0000_s1790" style="width:488;height:120;left:4666;position:absolute;top:920" coordorigin="4667,921" coordsize="488,120" path="m4667,1040l5063,921,5155,921e" filled="f" stroked="t" strokecolor="#a5a5a5" strokeweight="0.72pt">
              <v:stroke dashstyle="solid"/>
              <v:path arrowok="t"/>
            </v:shape>
            <v:shape id="_x0000_s1791" style="width:308;height:12;left:4715;position:absolute;top:1523" coordorigin="4715,1524" coordsize="308,12" path="m4715,1536l4931,1524,5022,1524e" filled="f" stroked="t" strokecolor="#a5a5a5" strokeweight="0.72pt">
              <v:stroke dashstyle="solid"/>
              <v:path arrowok="t"/>
            </v:shape>
            <v:shape id="_x0000_s1792" style="width:493;height:228;left:4659;position:absolute;top:1772" coordorigin="4660,1773" coordsize="493,228" path="m4660,1773l5063,2000,5152,2000e" filled="f" stroked="t" strokecolor="#a5a5a5" strokeweight="0.72pt">
              <v:stroke dashstyle="solid"/>
              <v:path arrowok="t"/>
            </v:shape>
            <v:shape id="_x0000_s1793" style="width:380;height:402;left:4366;position:absolute;top:2222" coordorigin="4367,2222" coordsize="380,402" path="m4367,2222l4655,2624,4746,2624e" filled="f" stroked="t" strokecolor="#a5a5a5" strokeweight="0.72pt">
              <v:stroke dashstyle="solid"/>
              <v:path arrowok="t"/>
            </v:shape>
          </v:group>
        </w:pict>
      </w:r>
      <w:r>
        <w:rPr>
          <w:color w:val="3F3F3F"/>
          <w:spacing w:val="-7"/>
          <w:sz w:val="16"/>
        </w:rPr>
        <w:t>机构件</w:t>
      </w:r>
    </w:p>
    <w:p>
      <w:pPr>
        <w:spacing w:before="11"/>
        <w:ind w:left="1982" w:right="0" w:firstLine="0"/>
        <w:jc w:val="left"/>
        <w:rPr>
          <w:rFonts w:ascii="Calibri"/>
          <w:sz w:val="16"/>
        </w:rPr>
      </w:pPr>
      <w:r>
        <w:rPr>
          <w:rFonts w:ascii="Calibri"/>
          <w:color w:val="3F3F3F"/>
          <w:sz w:val="16"/>
        </w:rPr>
        <w:t>15.26</w:t>
      </w:r>
    </w:p>
    <w:p>
      <w:pPr>
        <w:spacing w:before="30"/>
        <w:ind w:left="1922" w:right="0" w:firstLine="0"/>
        <w:jc w:val="center"/>
        <w:rPr>
          <w:sz w:val="16"/>
        </w:rPr>
      </w:pPr>
      <w:r>
        <w:br w:type="column"/>
      </w:r>
      <w:r>
        <w:rPr>
          <w:color w:val="3F3F3F"/>
          <w:sz w:val="16"/>
        </w:rPr>
        <w:t>磁性器件</w:t>
      </w:r>
    </w:p>
    <w:p>
      <w:pPr>
        <w:spacing w:before="10"/>
        <w:ind w:left="1925" w:right="0" w:firstLine="0"/>
        <w:jc w:val="center"/>
        <w:rPr>
          <w:rFonts w:ascii="Calibri"/>
          <w:sz w:val="16"/>
        </w:rPr>
      </w:pPr>
      <w:r>
        <w:rPr>
          <w:rFonts w:ascii="Calibri"/>
          <w:color w:val="3F3F3F"/>
          <w:sz w:val="16"/>
        </w:rPr>
        <w:t>18.08</w:t>
      </w:r>
    </w:p>
    <w:p>
      <w:pPr>
        <w:spacing w:before="20"/>
        <w:ind w:left="1922" w:right="0" w:firstLine="0"/>
        <w:jc w:val="left"/>
        <w:rPr>
          <w:sz w:val="16"/>
        </w:rPr>
      </w:pPr>
      <w:r>
        <w:br w:type="column"/>
      </w:r>
      <w:r>
        <w:rPr>
          <w:color w:val="3F3F3F"/>
          <w:sz w:val="16"/>
        </w:rPr>
        <w:t>机构件</w:t>
      </w:r>
    </w:p>
    <w:p>
      <w:pPr>
        <w:spacing w:before="11"/>
        <w:ind w:left="1982" w:right="0" w:firstLine="0"/>
        <w:jc w:val="left"/>
        <w:rPr>
          <w:rFonts w:ascii="Calibri"/>
          <w:sz w:val="16"/>
        </w:rPr>
      </w:pPr>
      <w:r>
        <w:pict>
          <v:group id="_x0000_s1794" style="width:160.05pt;height:118.85pt;margin-top:-0.58pt;margin-left:354.88pt;mso-position-horizontal-relative:page;position:absolute;z-index:-251509760" coordorigin="7098,-12" coordsize="3201,2377">
            <v:shape id="_x0000_s1795" style="width:1147;height:1138;left:7971;position:absolute;top:1159" coordorigin="7972,1159" coordsize="1147,1138" path="m8741,2296l8665,2295,8590,2288,8515,2276,8441,2260,8369,2238,8297,2212,8228,2181,8160,2145,8095,2105,8032,2060,7972,2010,8728,1159,9118,2228,9044,2252,8969,2271,8893,2284,8817,2293,8741,2296xe" filled="t" fillcolor="#bcdadf" stroked="f">
              <v:fill type="solid"/>
              <v:path arrowok="t"/>
            </v:shape>
            <v:shape id="_x0000_s1796" style="width:1147;height:1138;left:7971;position:absolute;top:1159" coordorigin="7972,1159" coordsize="1147,1138" path="m9118,2228l9044,2252,8969,2271,8893,2284,8817,2293,8741,2296,8665,2295,8590,2288,8515,2276,8441,2260,8369,2238,8297,2212,8228,2181,8160,2145,8095,2105,8032,2060,7972,2010,8728,1159,9118,2228xe" filled="f" stroked="t" strokecolor="#7e7e7e" strokeweight="0.72pt">
              <v:stroke dashstyle="solid"/>
              <v:path arrowok="t"/>
            </v:shape>
            <v:shape id="_x0000_s1797" style="width:1140;height:1251;left:7579;position:absolute;top:751" coordorigin="7579,751" coordsize="1140,1251" path="m7963,2002l7906,1948,7854,1891,7806,1831,7762,1769,7723,1704,7688,1637,7659,1567,7633,1497,7613,1425,7597,1351,7586,1277,7580,1202,7579,1126,7584,1051,7593,975,7607,900,7627,825,7652,751,8719,1151,7963,2002xe" filled="t" fillcolor="#59a1ae" stroked="f">
              <v:fill type="solid"/>
              <v:path arrowok="t"/>
            </v:shape>
            <v:shape id="_x0000_s1798" style="width:1140;height:1251;left:7579;position:absolute;top:751" coordorigin="7579,751" coordsize="1140,1251" path="m7963,2002l7906,1948,7854,1891,7806,1831,7762,1769,7723,1704,7688,1637,7659,1567,7633,1497,7613,1425,7597,1351,7586,1277,7580,1202,7579,1126,7584,1051,7593,975,7607,900,7627,825,7652,751,8719,1151,7963,2002xe" filled="f" stroked="t" strokecolor="#7e7e7e" strokeweight="0.72pt">
              <v:stroke dashstyle="solid"/>
              <v:path arrowok="t"/>
            </v:shape>
            <v:shape id="_x0000_s1799" style="width:1068;height:1121;left:7663;position:absolute;top:27" coordorigin="7663,27" coordsize="1068,1121" path="m8730,1148l7663,748,7692,679,7725,612,7762,547,7804,486,7848,427,7897,372,7949,320,8004,272,8062,227,8123,186,8186,149,8252,116,8321,87,8391,62,8463,43,8538,27,8730,1148xe" filled="t" fillcolor="#417b85" stroked="f">
              <v:fill type="solid"/>
              <v:path arrowok="t"/>
            </v:shape>
            <v:shape id="_x0000_s1800" style="width:1068;height:1121;left:7663;position:absolute;top:27" coordorigin="7663,27" coordsize="1068,1121" path="m7663,748l7692,679,7725,612,7762,547,7804,486,7848,427,7897,372,7949,320,8004,272,8062,227,8123,186,8186,149,8252,116,8321,87,8391,62,8463,43,8538,27,8730,1148,7663,748xe" filled="f" stroked="t" strokecolor="#7e7e7e" strokeweight="0.72pt">
              <v:stroke dashstyle="solid"/>
              <v:path arrowok="t"/>
            </v:shape>
            <v:shape id="_x0000_s1801" style="width:1103;height:1137;left:8537;position:absolute;top:11" coordorigin="8538,11" coordsize="1103,1137" path="m8730,1148l8538,27,8616,17,8695,11,8773,12,8851,17,8928,28,9003,44,9078,65,9150,91,9221,121,9289,157,9355,197,9419,241,9479,290,9536,344,9590,401,9640,463,8730,1148xe" filled="t" fillcolor="#d8d3d8" stroked="f">
              <v:fill type="solid"/>
              <v:path arrowok="t"/>
            </v:shape>
            <v:shape id="_x0000_s1802" style="width:1103;height:1137;left:8537;position:absolute;top:11" coordorigin="8538,11" coordsize="1103,1137" path="m8538,27l8616,17,8695,11,8773,12,8851,17,8928,28,9003,44,9078,65,9150,91,9221,121,9289,157,9355,197,9419,241,9479,290,9536,344,9590,401,9640,463,8730,1148,8538,27xe" filled="f" stroked="t" strokecolor="#7e7e7e" strokeweight="0.72pt">
              <v:stroke dashstyle="solid"/>
              <v:path arrowok="t"/>
            </v:shape>
            <v:shape id="_x0000_s1803" style="width:1139;height:686;left:8730;position:absolute;top:462" coordorigin="8730,463" coordsize="1139,686" path="m8730,1148l9640,463,9684,524,9723,589,9758,655,9788,724,9814,794,9835,866,9851,939,9863,1014,9869,1089,8730,1148xe" filled="t" fillcolor="#9c90a0" stroked="f">
              <v:fill type="solid"/>
              <v:path arrowok="t"/>
            </v:shape>
            <v:shape id="_x0000_s1804" style="width:1139;height:686;left:8730;position:absolute;top:462" coordorigin="8730,463" coordsize="1139,686" path="m9640,463l9684,524,9723,589,9758,655,9788,724,9814,794,9835,866,9851,939,9863,1014,9869,1089,8730,1148,9640,463xe" filled="f" stroked="t" strokecolor="#7e7e7e" strokeweight="0.72pt">
              <v:stroke dashstyle="solid"/>
              <v:path arrowok="t"/>
            </v:shape>
            <v:shape id="_x0000_s1805" style="width:1141;height:433;left:8730;position:absolute;top:1089" coordorigin="8730,1089" coordsize="1141,433" path="m9807,1522l8730,1148,9869,1089,9870,1163,9867,1236,9859,1309,9846,1381,9829,1452,9807,1522xe" filled="t" fillcolor="#77697b" stroked="f">
              <v:fill type="solid"/>
              <v:path arrowok="t"/>
            </v:shape>
            <v:shape id="_x0000_s1806" style="width:1141;height:433;left:8730;position:absolute;top:1089" coordorigin="8730,1089" coordsize="1141,433" path="m9869,1089l9870,1163,9867,1236,9859,1309,9846,1381,9829,1452,9807,1522,8730,1148,9869,1089xe" filled="f" stroked="t" strokecolor="#7e7e7e" strokeweight="0.72pt">
              <v:stroke dashstyle="solid"/>
              <v:path arrowok="t"/>
            </v:shape>
            <v:shape id="_x0000_s1807" style="width:1077;height:487;left:8730;position:absolute;top:1148" coordorigin="8730,1148" coordsize="1077,487" path="m9761,1634l8730,1148,9807,1522,9797,1551,9786,1579,9774,1607,9761,1634xe" filled="t" fillcolor="#4f4652" stroked="f">
              <v:fill type="solid"/>
              <v:path arrowok="t"/>
            </v:shape>
            <v:shape id="_x0000_s1808" style="width:1077;height:487;left:8730;position:absolute;top:1148" coordorigin="8730,1148" coordsize="1077,487" path="m9807,1522l9797,1551,9786,1579,9774,1607,9761,1634,8730,1148,9807,1522xe" filled="f" stroked="t" strokecolor="#7e7e7e" strokeweight="0.72pt">
              <v:stroke dashstyle="solid"/>
              <v:path arrowok="t"/>
            </v:shape>
            <v:shape id="_x0000_s1809" style="width:1031;height:1069;left:8730;position:absolute;top:1148" coordorigin="8730,1148" coordsize="1031,1069" path="m9120,2217l8730,1148,9761,1634,9723,1707,9681,1776,9634,1841,9583,1903,9527,1961,9468,2015,9405,2065,9339,2110,9269,2150,9196,2186,9120,2217xe" filled="t" fillcolor="#ddebef" stroked="f">
              <v:fill type="solid"/>
              <v:path arrowok="t"/>
            </v:shape>
            <v:shape id="_x0000_s1810" style="width:1031;height:1069;left:8730;position:absolute;top:1148" coordorigin="8730,1148" coordsize="1031,1069" path="m9761,1634l9723,1707,9681,1776,9634,1841,9583,1903,9527,1961,9468,2015,9405,2065,9339,2110,9269,2150,9196,2186,9120,2217,8730,1148,9761,1634xe" filled="f" stroked="t" strokecolor="#7e7e7e" strokeweight="0.72pt">
              <v:stroke dashstyle="solid"/>
              <v:path arrowok="t"/>
            </v:shape>
            <v:shape id="_x0000_s1811" style="width:509;height:156;left:7104;position:absolute;top:1268" coordorigin="7105,1269" coordsize="509,156" path="m7613,1424l7196,1269,7105,1269e" filled="f" stroked="t" strokecolor="#a5a5a5" strokeweight="0.72pt">
              <v:stroke dashstyle="solid"/>
              <v:path arrowok="t"/>
            </v:shape>
            <v:shape id="_x0000_s1812" style="width:449;height:276;left:7555;position:absolute;top:-5" coordorigin="7556,-4" coordsize="449,276" path="m8004,271l7647,-4,7556,-4e" filled="f" stroked="t" strokecolor="#a5a5a5" strokeweight="0.72pt">
              <v:stroke dashstyle="solid"/>
              <v:path arrowok="t"/>
            </v:shape>
            <v:shape id="_x0000_s1813" style="width:358;height:96;left:9151;position:absolute;top:-5" coordorigin="9151,-4" coordsize="358,96" path="m9151,91l9418,-4,9509,-4e" filled="f" stroked="t" strokecolor="#a5a5a5" strokeweight="0.72pt">
              <v:stroke dashstyle="solid"/>
              <v:path arrowok="t"/>
            </v:shape>
            <v:shape id="_x0000_s1814" style="width:490;height:130;left:9801;position:absolute;top:629" coordorigin="9801,630" coordsize="490,130" path="m9801,759l10200,630,10291,630e" filled="f" stroked="t" strokecolor="#a5a5a5" strokeweight="0.72pt">
              <v:stroke dashstyle="solid"/>
              <v:path arrowok="t"/>
            </v:shape>
            <v:shape id="_x0000_s1815" style="width:303;height:8;left:9859;position:absolute;top:1302" coordorigin="9859,1302" coordsize="303,8" path="m9859,1309l10070,1302,10161,1302e" filled="f" stroked="t" strokecolor="#a5a5a5" strokeweight="0.72pt">
              <v:stroke dashstyle="solid"/>
              <v:path arrowok="t"/>
            </v:shape>
            <v:shape id="_x0000_s1816" style="width:490;height:240;left:9784;position:absolute;top:1579" coordorigin="9785,1580" coordsize="490,240" path="m9785,1580l10183,1819,10274,1819e" filled="f" stroked="t" strokecolor="#a5a5a5" strokeweight="0.72pt">
              <v:stroke dashstyle="solid"/>
              <v:path arrowok="t"/>
            </v:shape>
            <v:shape id="_x0000_s1817" style="width:375;height:369;left:9499;position:absolute;top:1988" coordorigin="9499,1989" coordsize="375,369" path="m9499,1989l9782,2357,9873,2357e" filled="f" stroked="t" strokecolor="#a5a5a5" strokeweight="0.72pt">
              <v:stroke dashstyle="solid"/>
              <v:path arrowok="t"/>
            </v:shape>
          </v:group>
        </w:pict>
      </w:r>
      <w:r>
        <w:rPr>
          <w:rFonts w:ascii="Calibri"/>
          <w:color w:val="3F3F3F"/>
          <w:sz w:val="16"/>
        </w:rPr>
        <w:t>16.58</w:t>
      </w:r>
    </w:p>
    <w:p>
      <w:pPr>
        <w:spacing w:before="28"/>
        <w:ind w:left="1908" w:right="2042" w:firstLine="0"/>
        <w:jc w:val="center"/>
        <w:rPr>
          <w:sz w:val="16"/>
        </w:rPr>
      </w:pPr>
      <w:r>
        <w:br w:type="column"/>
      </w:r>
      <w:r>
        <w:rPr>
          <w:color w:val="3F3F3F"/>
          <w:sz w:val="16"/>
        </w:rPr>
        <w:t>磁性器件</w:t>
      </w:r>
    </w:p>
    <w:p>
      <w:pPr>
        <w:spacing w:before="10"/>
        <w:ind w:left="1906" w:right="2042" w:firstLine="0"/>
        <w:jc w:val="center"/>
        <w:rPr>
          <w:rFonts w:ascii="Calibri"/>
          <w:sz w:val="16"/>
        </w:rPr>
      </w:pPr>
      <w:r>
        <w:rPr>
          <w:rFonts w:ascii="Calibri"/>
          <w:color w:val="3F3F3F"/>
          <w:sz w:val="16"/>
        </w:rPr>
        <w:t>17.41</w:t>
      </w:r>
    </w:p>
    <w:p>
      <w:pPr>
        <w:spacing w:after="0"/>
        <w:jc w:val="center"/>
        <w:rPr>
          <w:rFonts w:ascii="Calibri"/>
          <w:sz w:val="16"/>
        </w:rPr>
        <w:sectPr>
          <w:headerReference w:type="default" r:id="rId170"/>
          <w:footerReference w:type="default" r:id="rId171"/>
          <w:type w:val="continuous"/>
          <w:pgSz w:w="12240" w:h="15840"/>
          <w:pgMar w:top="1500" w:right="0" w:bottom="280" w:left="0" w:header="708" w:footer="708"/>
          <w:pgNumType w:start="63"/>
          <w:cols w:num="4" w:space="708" w:equalWidth="0">
            <w:col w:w="2411" w:space="79"/>
            <w:col w:w="2572" w:space="57"/>
            <w:col w:w="2450" w:space="41"/>
            <w:col w:w="4630" w:space="0"/>
          </w:cols>
        </w:sectPr>
      </w:pPr>
    </w:p>
    <w:p>
      <w:pPr>
        <w:pStyle w:val="BodyText"/>
        <w:spacing w:before="1"/>
        <w:rPr>
          <w:rFonts w:ascii="Calibri"/>
          <w:sz w:val="15"/>
        </w:rPr>
      </w:pPr>
    </w:p>
    <w:p>
      <w:pPr>
        <w:spacing w:after="0"/>
        <w:rPr>
          <w:rFonts w:ascii="Calibri"/>
          <w:sz w:val="15"/>
        </w:rPr>
        <w:sectPr>
          <w:headerReference w:type="default" r:id="rId172"/>
          <w:footerReference w:type="default" r:id="rId173"/>
          <w:type w:val="continuous"/>
          <w:pgSz w:w="12240" w:h="15840"/>
          <w:pgMar w:top="1500" w:right="0" w:bottom="280" w:left="0" w:header="708" w:footer="708"/>
          <w:pgNumType w:start="64"/>
          <w:cols w:space="708"/>
        </w:sectPr>
      </w:pPr>
    </w:p>
    <w:p>
      <w:pPr>
        <w:pStyle w:val="BodyText"/>
        <w:rPr>
          <w:rFonts w:ascii="Calibri"/>
          <w:sz w:val="16"/>
        </w:rPr>
      </w:pPr>
    </w:p>
    <w:p>
      <w:pPr>
        <w:pStyle w:val="BodyText"/>
        <w:rPr>
          <w:rFonts w:ascii="Calibri"/>
          <w:sz w:val="16"/>
        </w:rPr>
      </w:pPr>
    </w:p>
    <w:p>
      <w:pPr>
        <w:pStyle w:val="BodyText"/>
        <w:spacing w:before="5"/>
        <w:rPr>
          <w:rFonts w:ascii="Calibri"/>
          <w:sz w:val="14"/>
        </w:rPr>
      </w:pPr>
    </w:p>
    <w:p>
      <w:pPr>
        <w:spacing w:before="1"/>
        <w:ind w:left="1236" w:right="0" w:firstLine="0"/>
        <w:jc w:val="center"/>
        <w:rPr>
          <w:sz w:val="16"/>
        </w:rPr>
      </w:pPr>
      <w:r>
        <w:rPr>
          <w:color w:val="3F3F3F"/>
          <w:sz w:val="16"/>
        </w:rPr>
        <w:t>电子物料</w:t>
      </w:r>
    </w:p>
    <w:p>
      <w:pPr>
        <w:spacing w:before="10"/>
        <w:ind w:left="1239" w:right="0" w:firstLine="0"/>
        <w:jc w:val="center"/>
        <w:rPr>
          <w:rFonts w:ascii="Calibri"/>
          <w:sz w:val="16"/>
        </w:rPr>
      </w:pPr>
      <w:r>
        <w:rPr>
          <w:rFonts w:ascii="Calibri"/>
          <w:color w:val="3F3F3F"/>
          <w:sz w:val="16"/>
        </w:rPr>
        <w:t>18.3</w:t>
      </w:r>
    </w:p>
    <w:p>
      <w:pPr>
        <w:pStyle w:val="BodyText"/>
        <w:rPr>
          <w:rFonts w:ascii="Calibri"/>
          <w:sz w:val="16"/>
        </w:rPr>
      </w:pPr>
      <w:r>
        <w:br w:type="column"/>
      </w:r>
    </w:p>
    <w:p>
      <w:pPr>
        <w:pStyle w:val="BodyText"/>
        <w:rPr>
          <w:rFonts w:ascii="Calibri"/>
          <w:sz w:val="16"/>
        </w:rPr>
      </w:pPr>
    </w:p>
    <w:p>
      <w:pPr>
        <w:pStyle w:val="BodyText"/>
        <w:rPr>
          <w:rFonts w:ascii="Calibri"/>
          <w:sz w:val="16"/>
        </w:rPr>
      </w:pPr>
    </w:p>
    <w:p>
      <w:pPr>
        <w:pStyle w:val="BodyText"/>
        <w:rPr>
          <w:rFonts w:ascii="Calibri"/>
          <w:sz w:val="16"/>
        </w:rPr>
      </w:pPr>
    </w:p>
    <w:p>
      <w:pPr>
        <w:pStyle w:val="BodyText"/>
        <w:rPr>
          <w:rFonts w:ascii="Calibri"/>
          <w:sz w:val="16"/>
        </w:rPr>
      </w:pPr>
    </w:p>
    <w:p>
      <w:pPr>
        <w:pStyle w:val="BodyText"/>
        <w:rPr>
          <w:rFonts w:ascii="Calibri"/>
          <w:sz w:val="16"/>
        </w:rPr>
      </w:pPr>
    </w:p>
    <w:p>
      <w:pPr>
        <w:pStyle w:val="BodyText"/>
        <w:rPr>
          <w:rFonts w:ascii="Calibri"/>
          <w:sz w:val="16"/>
        </w:rPr>
      </w:pPr>
    </w:p>
    <w:p>
      <w:pPr>
        <w:pStyle w:val="BodyText"/>
        <w:rPr>
          <w:rFonts w:ascii="Calibri"/>
          <w:sz w:val="16"/>
        </w:rPr>
      </w:pPr>
    </w:p>
    <w:p>
      <w:pPr>
        <w:spacing w:before="110"/>
        <w:ind w:left="24" w:right="24" w:firstLine="0"/>
        <w:jc w:val="center"/>
        <w:rPr>
          <w:sz w:val="16"/>
        </w:rPr>
      </w:pPr>
      <w:r>
        <w:rPr>
          <w:color w:val="3F3F3F"/>
          <w:sz w:val="16"/>
        </w:rPr>
        <w:t>半导体器件</w:t>
      </w:r>
    </w:p>
    <w:p>
      <w:pPr>
        <w:spacing w:before="11"/>
        <w:ind w:left="24" w:right="24" w:firstLine="0"/>
        <w:jc w:val="center"/>
        <w:rPr>
          <w:rFonts w:ascii="Calibri"/>
          <w:sz w:val="16"/>
        </w:rPr>
      </w:pPr>
      <w:r>
        <w:rPr>
          <w:rFonts w:ascii="Calibri"/>
          <w:color w:val="3F3F3F"/>
          <w:sz w:val="16"/>
        </w:rPr>
        <w:t>19.36</w:t>
      </w:r>
    </w:p>
    <w:p>
      <w:pPr>
        <w:spacing w:before="136"/>
        <w:ind w:left="1647" w:right="0" w:firstLine="0"/>
        <w:jc w:val="center"/>
        <w:rPr>
          <w:sz w:val="16"/>
        </w:rPr>
      </w:pPr>
      <w:r>
        <w:br w:type="column"/>
      </w:r>
      <w:r>
        <w:rPr>
          <w:color w:val="3F3F3F"/>
          <w:sz w:val="16"/>
        </w:rPr>
        <w:t>阻容器件</w:t>
      </w:r>
    </w:p>
    <w:p>
      <w:pPr>
        <w:spacing w:before="11"/>
        <w:ind w:left="1649" w:right="0" w:firstLine="0"/>
        <w:jc w:val="center"/>
        <w:rPr>
          <w:rFonts w:ascii="Calibri"/>
          <w:sz w:val="16"/>
        </w:rPr>
      </w:pPr>
      <w:r>
        <w:rPr>
          <w:rFonts w:ascii="Calibri"/>
          <w:color w:val="3F3F3F"/>
          <w:sz w:val="16"/>
        </w:rPr>
        <w:t>9.09</w:t>
      </w:r>
    </w:p>
    <w:p>
      <w:pPr>
        <w:pStyle w:val="BodyText"/>
        <w:spacing w:before="9"/>
        <w:rPr>
          <w:rFonts w:ascii="Calibri"/>
          <w:sz w:val="15"/>
        </w:rPr>
      </w:pPr>
    </w:p>
    <w:p>
      <w:pPr>
        <w:spacing w:before="0"/>
        <w:ind w:left="1522" w:right="0" w:firstLine="0"/>
        <w:jc w:val="left"/>
        <w:rPr>
          <w:rFonts w:ascii="Calibri" w:eastAsia="Calibri"/>
          <w:sz w:val="16"/>
        </w:rPr>
      </w:pPr>
      <w:r>
        <w:rPr>
          <w:rFonts w:ascii="Calibri" w:eastAsia="Calibri"/>
          <w:color w:val="3F3F3F"/>
          <w:sz w:val="16"/>
        </w:rPr>
        <w:t xml:space="preserve">PCB </w:t>
      </w:r>
      <w:r>
        <w:rPr>
          <w:color w:val="3F3F3F"/>
          <w:spacing w:val="-21"/>
          <w:sz w:val="16"/>
        </w:rPr>
        <w:t xml:space="preserve">板 </w:t>
      </w:r>
      <w:r>
        <w:rPr>
          <w:rFonts w:ascii="Calibri" w:eastAsia="Calibri"/>
          <w:color w:val="3F3F3F"/>
          <w:spacing w:val="-5"/>
          <w:sz w:val="16"/>
        </w:rPr>
        <w:t>4.85</w:t>
      </w:r>
    </w:p>
    <w:p>
      <w:pPr>
        <w:pStyle w:val="BodyText"/>
        <w:spacing w:before="3"/>
        <w:rPr>
          <w:rFonts w:ascii="Calibri"/>
          <w:sz w:val="22"/>
        </w:rPr>
      </w:pPr>
    </w:p>
    <w:p>
      <w:pPr>
        <w:spacing w:before="0"/>
        <w:ind w:left="1630" w:right="0" w:firstLine="0"/>
        <w:jc w:val="center"/>
        <w:rPr>
          <w:sz w:val="16"/>
        </w:rPr>
      </w:pPr>
      <w:r>
        <w:rPr>
          <w:color w:val="3F3F3F"/>
          <w:sz w:val="16"/>
        </w:rPr>
        <w:t>包装材料</w:t>
      </w:r>
    </w:p>
    <w:p>
      <w:pPr>
        <w:spacing w:before="11"/>
        <w:ind w:left="1632" w:right="0" w:firstLine="0"/>
        <w:jc w:val="center"/>
        <w:rPr>
          <w:rFonts w:ascii="Calibri"/>
          <w:sz w:val="16"/>
        </w:rPr>
      </w:pPr>
      <w:r>
        <w:rPr>
          <w:rFonts w:ascii="Calibri"/>
          <w:color w:val="3F3F3F"/>
          <w:sz w:val="16"/>
        </w:rPr>
        <w:t>1.96</w:t>
      </w:r>
    </w:p>
    <w:p>
      <w:pPr>
        <w:pStyle w:val="BodyText"/>
        <w:spacing w:before="7"/>
        <w:rPr>
          <w:rFonts w:ascii="Calibri"/>
          <w:sz w:val="18"/>
        </w:rPr>
      </w:pPr>
    </w:p>
    <w:p>
      <w:pPr>
        <w:spacing w:before="0"/>
        <w:ind w:left="1236" w:right="0" w:firstLine="0"/>
        <w:jc w:val="left"/>
        <w:rPr>
          <w:rFonts w:ascii="Calibri" w:eastAsia="Calibri"/>
          <w:sz w:val="16"/>
        </w:rPr>
      </w:pPr>
      <w:r>
        <w:rPr>
          <w:color w:val="3F3F3F"/>
          <w:sz w:val="16"/>
        </w:rPr>
        <w:t xml:space="preserve">其他 </w:t>
      </w:r>
      <w:r>
        <w:rPr>
          <w:rFonts w:ascii="Calibri" w:eastAsia="Calibri"/>
          <w:color w:val="3F3F3F"/>
          <w:sz w:val="16"/>
        </w:rPr>
        <w:t>13.1</w:t>
      </w:r>
    </w:p>
    <w:p>
      <w:pPr>
        <w:pStyle w:val="BodyText"/>
        <w:rPr>
          <w:rFonts w:ascii="Calibri"/>
          <w:sz w:val="16"/>
        </w:rPr>
      </w:pPr>
      <w:r>
        <w:br w:type="column"/>
      </w:r>
    </w:p>
    <w:p>
      <w:pPr>
        <w:pStyle w:val="BodyText"/>
        <w:rPr>
          <w:rFonts w:ascii="Calibri"/>
          <w:sz w:val="16"/>
        </w:rPr>
      </w:pPr>
    </w:p>
    <w:p>
      <w:pPr>
        <w:pStyle w:val="BodyText"/>
        <w:rPr>
          <w:rFonts w:ascii="Calibri"/>
          <w:sz w:val="16"/>
        </w:rPr>
      </w:pPr>
    </w:p>
    <w:p>
      <w:pPr>
        <w:spacing w:before="122"/>
        <w:ind w:left="556" w:right="0" w:firstLine="0"/>
        <w:jc w:val="center"/>
        <w:rPr>
          <w:sz w:val="16"/>
        </w:rPr>
      </w:pPr>
      <w:r>
        <w:rPr>
          <w:color w:val="3F3F3F"/>
          <w:sz w:val="16"/>
        </w:rPr>
        <w:t>电子物料</w:t>
      </w:r>
    </w:p>
    <w:p>
      <w:pPr>
        <w:spacing w:before="11"/>
        <w:ind w:left="553" w:right="0" w:firstLine="0"/>
        <w:jc w:val="center"/>
        <w:rPr>
          <w:rFonts w:ascii="Calibri"/>
          <w:sz w:val="16"/>
        </w:rPr>
      </w:pPr>
      <w:r>
        <w:rPr>
          <w:rFonts w:ascii="Calibri"/>
          <w:color w:val="3F3F3F"/>
          <w:sz w:val="16"/>
        </w:rPr>
        <w:t>19.17</w:t>
      </w:r>
    </w:p>
    <w:p>
      <w:pPr>
        <w:pStyle w:val="BodyText"/>
        <w:rPr>
          <w:rFonts w:ascii="Calibri"/>
          <w:sz w:val="16"/>
        </w:rPr>
      </w:pPr>
      <w:r>
        <w:br w:type="column"/>
      </w:r>
    </w:p>
    <w:p>
      <w:pPr>
        <w:pStyle w:val="BodyText"/>
        <w:rPr>
          <w:rFonts w:ascii="Calibri"/>
          <w:sz w:val="16"/>
        </w:rPr>
      </w:pPr>
    </w:p>
    <w:p>
      <w:pPr>
        <w:pStyle w:val="BodyText"/>
        <w:rPr>
          <w:rFonts w:ascii="Calibri"/>
          <w:sz w:val="16"/>
        </w:rPr>
      </w:pPr>
    </w:p>
    <w:p>
      <w:pPr>
        <w:pStyle w:val="BodyText"/>
        <w:rPr>
          <w:rFonts w:ascii="Calibri"/>
          <w:sz w:val="16"/>
        </w:rPr>
      </w:pPr>
    </w:p>
    <w:p>
      <w:pPr>
        <w:pStyle w:val="BodyText"/>
        <w:rPr>
          <w:rFonts w:ascii="Calibri"/>
          <w:sz w:val="16"/>
        </w:rPr>
      </w:pPr>
    </w:p>
    <w:p>
      <w:pPr>
        <w:pStyle w:val="BodyText"/>
        <w:rPr>
          <w:rFonts w:ascii="Calibri"/>
          <w:sz w:val="16"/>
        </w:rPr>
      </w:pPr>
    </w:p>
    <w:p>
      <w:pPr>
        <w:pStyle w:val="BodyText"/>
        <w:rPr>
          <w:rFonts w:ascii="Calibri"/>
          <w:sz w:val="16"/>
        </w:rPr>
      </w:pPr>
    </w:p>
    <w:p>
      <w:pPr>
        <w:pStyle w:val="BodyText"/>
        <w:spacing w:before="7"/>
        <w:rPr>
          <w:rFonts w:ascii="Calibri"/>
        </w:rPr>
      </w:pPr>
    </w:p>
    <w:p>
      <w:pPr>
        <w:spacing w:before="0"/>
        <w:ind w:left="140" w:right="25" w:firstLine="0"/>
        <w:jc w:val="center"/>
        <w:rPr>
          <w:sz w:val="16"/>
        </w:rPr>
      </w:pPr>
      <w:r>
        <w:rPr>
          <w:color w:val="3F3F3F"/>
          <w:sz w:val="16"/>
        </w:rPr>
        <w:t>半导体器件</w:t>
      </w:r>
    </w:p>
    <w:p>
      <w:pPr>
        <w:spacing w:before="11"/>
        <w:ind w:left="135" w:right="25" w:firstLine="0"/>
        <w:jc w:val="center"/>
        <w:rPr>
          <w:rFonts w:ascii="Calibri"/>
          <w:sz w:val="16"/>
        </w:rPr>
      </w:pPr>
      <w:r>
        <w:rPr>
          <w:rFonts w:ascii="Calibri"/>
          <w:color w:val="3F3F3F"/>
          <w:sz w:val="16"/>
        </w:rPr>
        <w:t>17.1</w:t>
      </w:r>
    </w:p>
    <w:p>
      <w:pPr>
        <w:spacing w:before="69"/>
        <w:ind w:left="1196" w:right="821" w:firstLine="0"/>
        <w:jc w:val="center"/>
        <w:rPr>
          <w:sz w:val="16"/>
        </w:rPr>
      </w:pPr>
      <w:r>
        <w:br w:type="column"/>
      </w:r>
      <w:r>
        <w:rPr>
          <w:color w:val="3F3F3F"/>
          <w:sz w:val="16"/>
        </w:rPr>
        <w:t>阻容器件</w:t>
      </w:r>
    </w:p>
    <w:p>
      <w:pPr>
        <w:spacing w:before="10"/>
        <w:ind w:left="1196" w:right="823" w:firstLine="0"/>
        <w:jc w:val="center"/>
        <w:rPr>
          <w:rFonts w:ascii="Calibri"/>
          <w:sz w:val="16"/>
        </w:rPr>
      </w:pPr>
      <w:r>
        <w:rPr>
          <w:rFonts w:ascii="Calibri"/>
          <w:color w:val="3F3F3F"/>
          <w:sz w:val="16"/>
        </w:rPr>
        <w:t>9.47</w:t>
      </w:r>
    </w:p>
    <w:p>
      <w:pPr>
        <w:pStyle w:val="BodyText"/>
        <w:spacing w:before="6"/>
        <w:rPr>
          <w:rFonts w:ascii="Calibri"/>
        </w:rPr>
      </w:pPr>
    </w:p>
    <w:p>
      <w:pPr>
        <w:spacing w:before="0"/>
        <w:ind w:left="1196" w:right="924" w:firstLine="0"/>
        <w:jc w:val="center"/>
        <w:rPr>
          <w:rFonts w:ascii="Calibri" w:eastAsia="Calibri"/>
          <w:sz w:val="16"/>
        </w:rPr>
      </w:pPr>
      <w:r>
        <w:rPr>
          <w:rFonts w:ascii="Calibri" w:eastAsia="Calibri"/>
          <w:color w:val="3F3F3F"/>
          <w:sz w:val="16"/>
        </w:rPr>
        <w:t xml:space="preserve">PCB </w:t>
      </w:r>
      <w:r>
        <w:rPr>
          <w:color w:val="3F3F3F"/>
          <w:spacing w:val="-23"/>
          <w:sz w:val="16"/>
        </w:rPr>
        <w:t xml:space="preserve">板 </w:t>
      </w:r>
      <w:r>
        <w:rPr>
          <w:rFonts w:ascii="Calibri" w:eastAsia="Calibri"/>
          <w:color w:val="3F3F3F"/>
          <w:sz w:val="16"/>
        </w:rPr>
        <w:t>6.16</w:t>
      </w:r>
    </w:p>
    <w:p>
      <w:pPr>
        <w:pStyle w:val="BodyText"/>
        <w:rPr>
          <w:rFonts w:ascii="Calibri"/>
          <w:sz w:val="16"/>
        </w:rPr>
      </w:pPr>
    </w:p>
    <w:p>
      <w:pPr>
        <w:spacing w:before="117"/>
        <w:ind w:left="1196" w:right="855" w:firstLine="0"/>
        <w:jc w:val="center"/>
        <w:rPr>
          <w:sz w:val="16"/>
        </w:rPr>
      </w:pPr>
      <w:r>
        <w:rPr>
          <w:color w:val="3F3F3F"/>
          <w:sz w:val="16"/>
        </w:rPr>
        <w:t>包装材料</w:t>
      </w:r>
    </w:p>
    <w:p>
      <w:pPr>
        <w:spacing w:before="11"/>
        <w:ind w:left="1196" w:right="857" w:firstLine="0"/>
        <w:jc w:val="center"/>
        <w:rPr>
          <w:rFonts w:ascii="Calibri"/>
          <w:sz w:val="16"/>
        </w:rPr>
      </w:pPr>
      <w:r>
        <w:rPr>
          <w:rFonts w:ascii="Calibri"/>
          <w:color w:val="3F3F3F"/>
          <w:sz w:val="16"/>
        </w:rPr>
        <w:t>1.7</w:t>
      </w:r>
    </w:p>
    <w:p>
      <w:pPr>
        <w:pStyle w:val="BodyText"/>
        <w:rPr>
          <w:rFonts w:ascii="Calibri"/>
          <w:sz w:val="14"/>
        </w:rPr>
      </w:pPr>
    </w:p>
    <w:p>
      <w:pPr>
        <w:spacing w:before="0"/>
        <w:ind w:left="869" w:right="1247" w:firstLine="0"/>
        <w:jc w:val="center"/>
        <w:rPr>
          <w:rFonts w:ascii="Calibri" w:eastAsia="Calibri"/>
          <w:sz w:val="16"/>
        </w:rPr>
      </w:pPr>
      <w:r>
        <w:rPr>
          <w:color w:val="3F3F3F"/>
          <w:sz w:val="16"/>
        </w:rPr>
        <w:t xml:space="preserve">其他 </w:t>
      </w:r>
      <w:r>
        <w:rPr>
          <w:rFonts w:ascii="Calibri" w:eastAsia="Calibri"/>
          <w:color w:val="3F3F3F"/>
          <w:sz w:val="16"/>
        </w:rPr>
        <w:t>12.41</w:t>
      </w:r>
    </w:p>
    <w:p>
      <w:pPr>
        <w:spacing w:after="0"/>
        <w:jc w:val="center"/>
        <w:rPr>
          <w:rFonts w:ascii="Calibri" w:eastAsia="Calibri"/>
          <w:sz w:val="16"/>
        </w:rPr>
        <w:sectPr>
          <w:headerReference w:type="default" r:id="rId174"/>
          <w:footerReference w:type="default" r:id="rId175"/>
          <w:type w:val="continuous"/>
          <w:pgSz w:w="12240" w:h="15840"/>
          <w:pgMar w:top="1500" w:right="0" w:bottom="280" w:left="0" w:header="708" w:footer="708"/>
          <w:pgNumType w:start="65"/>
          <w:cols w:num="6" w:space="708" w:equalWidth="0">
            <w:col w:w="1886" w:space="40"/>
            <w:col w:w="888" w:space="725"/>
            <w:col w:w="2296" w:space="39"/>
            <w:col w:w="1204" w:space="40"/>
            <w:col w:w="1005" w:space="541"/>
            <w:col w:w="3576" w:space="0"/>
          </w:cols>
        </w:sectPr>
      </w:pPr>
    </w:p>
    <w:p>
      <w:pPr>
        <w:pStyle w:val="BodyText"/>
        <w:spacing w:before="11"/>
        <w:rPr>
          <w:rFonts w:ascii="Calibri"/>
          <w:sz w:val="3"/>
        </w:rPr>
      </w:pPr>
    </w:p>
    <w:p>
      <w:pPr>
        <w:tabs>
          <w:tab w:val="left" w:pos="6317"/>
        </w:tabs>
        <w:spacing w:line="20" w:lineRule="exact"/>
        <w:ind w:left="1143" w:right="0" w:firstLine="0"/>
        <w:rPr>
          <w:rFonts w:ascii="Calibri"/>
          <w:sz w:val="2"/>
        </w:rPr>
      </w:pPr>
      <w:r>
        <w:rPr>
          <w:rFonts w:ascii="Calibri"/>
          <w:sz w:val="2"/>
        </w:rPr>
        <w:pict>
          <v:group id="_x0000_i1818" style="width:236.9pt;height:0.75pt;mso-position-horizontal-relative:char;mso-position-vertical-relative:line" coordorigin="0,0" coordsize="4738,15">
            <v:line id="_x0000_s1819" style="position:absolute" from="0,8" to="4738,8" stroked="t" strokecolor="black" strokeweight="0.75pt">
              <v:stroke dashstyle="solid"/>
            </v:line>
            <w10:wrap type="none"/>
          </v:group>
        </w:pict>
      </w:r>
      <w:r>
        <w:rPr>
          <w:rFonts w:ascii="Calibri"/>
          <w:sz w:val="2"/>
        </w:rPr>
        <w:tab/>
      </w:r>
      <w:r>
        <w:rPr>
          <w:rFonts w:ascii="Calibri"/>
          <w:sz w:val="2"/>
        </w:rPr>
        <w:pict>
          <v:group id="_x0000_i1820" style="width:238.55pt;height:0.75pt;mso-position-horizontal-relative:char;mso-position-vertical-relative:line" coordorigin="0,0" coordsize="4771,15">
            <v:line id="_x0000_s1821" style="position:absolute" from="0,8" to="4771,8" stroked="t" strokecolor="black" strokeweight="0.75pt">
              <v:stroke dashstyle="solid"/>
            </v:line>
            <w10:wrap type="none"/>
          </v:group>
        </w:pict>
      </w:r>
    </w:p>
    <w:p>
      <w:pPr>
        <w:tabs>
          <w:tab w:val="left" w:pos="6324"/>
        </w:tabs>
        <w:spacing w:before="0"/>
        <w:ind w:left="1150" w:right="0" w:firstLine="0"/>
        <w:jc w:val="left"/>
        <w:rPr>
          <w:sz w:val="15"/>
        </w:rPr>
      </w:pPr>
      <w:r>
        <w:t xml:space="preserve">资料来源: 首航新能， </w:t>
        <w:tab/>
        <w:t xml:space="preserve">资料来源: 首航新能， </w:t>
      </w:r>
    </w:p>
    <w:p>
      <w:pPr>
        <w:spacing w:after="0"/>
        <w:jc w:val="left"/>
        <w:rPr>
          <w:sz w:val="15"/>
        </w:rPr>
        <w:sectPr>
          <w:headerReference w:type="default" r:id="rId176"/>
          <w:footerReference w:type="default" r:id="rId177"/>
          <w:type w:val="continuous"/>
          <w:pgSz w:w="12240" w:h="15840"/>
          <w:pgMar w:top="1500" w:right="0" w:bottom="280" w:left="0" w:header="708" w:footer="708"/>
          <w:pgNumType w:start="66"/>
          <w:cols w:space="708"/>
        </w:sectPr>
      </w:pPr>
    </w:p>
    <w:p>
      <w:pPr>
        <w:pStyle w:val="BodyText"/>
        <w:rPr>
          <w:sz w:val="20"/>
        </w:rPr>
      </w:pPr>
    </w:p>
    <w:p>
      <w:pPr>
        <w:pStyle w:val="BodyText"/>
        <w:spacing w:before="5"/>
        <w:rPr>
          <w:sz w:val="23"/>
        </w:rPr>
      </w:pPr>
    </w:p>
    <w:p>
      <w:pPr>
        <w:pStyle w:val="BodyText"/>
        <w:spacing w:before="64" w:line="232" w:lineRule="auto"/>
        <w:ind w:left="1151" w:right="3912"/>
        <w:jc w:val="both"/>
      </w:pPr>
      <w:r>
        <w:rPr>
          <w:rFonts w:ascii="Calibri" w:eastAsia="Calibri"/>
          <w:color w:val="262626"/>
        </w:rPr>
        <w:t>IGBT</w:t>
      </w:r>
      <w:r>
        <w:rPr>
          <w:color w:val="262626"/>
        </w:rPr>
        <w:t>产品技术门槛较高，过去一直由德国英飞凌、美国安森美、日本三菱、富士等国外企业占据主导地位，我国一线逆变器厂商在主要功率器件方面大多选用进口产品。</w:t>
      </w:r>
    </w:p>
    <w:p>
      <w:pPr>
        <w:pStyle w:val="BodyText"/>
        <w:spacing w:before="177" w:line="232" w:lineRule="auto"/>
        <w:ind w:left="1151" w:right="3910"/>
        <w:jc w:val="both"/>
      </w:pPr>
      <w:r>
        <w:t>随着逆变器需求大幅增长，2022年IGBT出现供应短缺，工商业用大功率机型IGBT 模块缺货尤其严重，许多逆变器厂家出现被延迟交付情况。同时，在中美贸易情况的背景下，逆变器企业对供应链的安全愈发关注，助推逆变器厂家转向自主研发 ，加速国产 IGBT 器件的验证和导入。</w:t>
      </w:r>
    </w:p>
    <w:p>
      <w:pPr>
        <w:pStyle w:val="BodyText"/>
        <w:spacing w:before="176" w:line="232" w:lineRule="auto"/>
        <w:ind w:left="1151" w:right="3910"/>
        <w:jc w:val="both"/>
      </w:pPr>
      <w:r>
        <w:rPr>
          <w:color w:val="262626"/>
          <w:spacing w:val="-12"/>
        </w:rPr>
        <w:t xml:space="preserve">目前内地 </w:t>
      </w:r>
      <w:r>
        <w:rPr>
          <w:rFonts w:ascii="Calibri" w:eastAsia="Calibri"/>
          <w:color w:val="262626"/>
        </w:rPr>
        <w:t>IGBT</w:t>
      </w:r>
      <w:r>
        <w:rPr>
          <w:color w:val="262626"/>
        </w:rPr>
        <w:t>企业如中车时代电气、斯达半导体、士兰微等已经具备一定的产业链协同能力，其中技术难度较低的国产</w:t>
      </w:r>
      <w:r>
        <w:rPr>
          <w:rFonts w:ascii="Calibri" w:eastAsia="Calibri"/>
          <w:color w:val="262626"/>
        </w:rPr>
        <w:t>IGBT</w:t>
      </w:r>
      <w:r>
        <w:rPr>
          <w:color w:val="262626"/>
        </w:rPr>
        <w:t>单管已完全可满足逆变器要求， 并已产能过剩，</w:t>
      </w:r>
      <w:r>
        <w:rPr>
          <w:rFonts w:ascii="Calibri" w:eastAsia="Calibri"/>
          <w:color w:val="262626"/>
        </w:rPr>
        <w:t>2023</w:t>
      </w:r>
      <w:r>
        <w:rPr>
          <w:color w:val="262626"/>
        </w:rPr>
        <w:t>年内地</w:t>
      </w:r>
      <w:r>
        <w:rPr>
          <w:rFonts w:ascii="Calibri" w:eastAsia="Calibri"/>
          <w:color w:val="262626"/>
        </w:rPr>
        <w:t>IGBT</w:t>
      </w:r>
      <w:r>
        <w:rPr>
          <w:color w:val="262626"/>
        </w:rPr>
        <w:t>短缺已大为缓解。</w:t>
      </w:r>
    </w:p>
    <w:p>
      <w:pPr>
        <w:pStyle w:val="BodyText"/>
        <w:spacing w:before="177" w:line="232" w:lineRule="auto"/>
        <w:ind w:left="1151" w:right="3910"/>
        <w:jc w:val="both"/>
      </w:pPr>
      <w:r>
        <w:rPr>
          <w:color w:val="262626"/>
        </w:rPr>
        <w:t>随着內地</w:t>
      </w:r>
      <w:r>
        <w:rPr>
          <w:rFonts w:ascii="Calibri" w:eastAsia="Calibri"/>
          <w:color w:val="262626"/>
        </w:rPr>
        <w:t>8</w:t>
      </w:r>
      <w:r>
        <w:rPr>
          <w:color w:val="262626"/>
        </w:rPr>
        <w:t>英寸晶圆产能大幅投放，我们预计技术难度较高的</w:t>
      </w:r>
      <w:r>
        <w:rPr>
          <w:rFonts w:ascii="Calibri" w:eastAsia="Calibri"/>
          <w:color w:val="262626"/>
        </w:rPr>
        <w:t>IGBT</w:t>
      </w:r>
      <w:r>
        <w:rPr>
          <w:color w:val="262626"/>
        </w:rPr>
        <w:t>模块也将在</w:t>
      </w:r>
      <w:r>
        <w:rPr>
          <w:rFonts w:ascii="Calibri" w:eastAsia="Calibri"/>
          <w:color w:val="262626"/>
        </w:rPr>
        <w:t>2024</w:t>
      </w:r>
      <w:r>
        <w:rPr>
          <w:color w:val="262626"/>
        </w:rPr>
        <w:t>年实现大规模国产化，</w:t>
      </w:r>
      <w:r>
        <w:rPr>
          <w:rFonts w:ascii="Calibri" w:eastAsia="Calibri"/>
          <w:color w:val="262626"/>
        </w:rPr>
        <w:t>IGBT</w:t>
      </w:r>
      <w:r>
        <w:rPr>
          <w:color w:val="262626"/>
        </w:rPr>
        <w:t>短缺问题有望彻底消除，并推动逆变器成本下降。</w:t>
      </w:r>
    </w:p>
    <w:p>
      <w:pPr>
        <w:pStyle w:val="BodyText"/>
        <w:spacing w:before="6"/>
        <w:rPr>
          <w:sz w:val="15"/>
        </w:rPr>
      </w:pPr>
    </w:p>
    <w:p>
      <w:pPr>
        <w:pStyle w:val="Heading3"/>
        <w:spacing w:before="1" w:after="25"/>
      </w:pPr>
      <w:r>
        <w:t>图表50: 新能源行业覆盖公司</w:t>
      </w:r>
    </w:p>
    <w:tbl>
      <w:tblPr>
        <w:tblStyle w:val="TableNormal7"/>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9"/>
        <w:gridCol w:w="1560"/>
        <w:gridCol w:w="859"/>
        <w:gridCol w:w="1063"/>
        <w:gridCol w:w="1107"/>
        <w:gridCol w:w="1195"/>
        <w:gridCol w:w="1550"/>
        <w:gridCol w:w="1693"/>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1"/>
          <w:jc w:val="left"/>
        </w:trPr>
        <w:tc>
          <w:tcPr>
            <w:tcW w:w="909" w:type="dxa"/>
            <w:tcBorders>
              <w:top w:val="single" w:sz="4" w:space="0" w:color="000000"/>
              <w:bottom w:val="single" w:sz="4" w:space="0" w:color="000000"/>
            </w:tcBorders>
          </w:tcPr>
          <w:p>
            <w:pPr>
              <w:pStyle w:val="TableParagraph"/>
              <w:spacing w:before="1"/>
              <w:jc w:val="left"/>
              <w:rPr>
                <w:rFonts w:ascii="Microsoft JhengHei"/>
                <w:b/>
                <w:sz w:val="9"/>
              </w:rPr>
            </w:pPr>
          </w:p>
          <w:p>
            <w:pPr>
              <w:pStyle w:val="TableParagraph"/>
              <w:spacing w:before="1" w:line="285" w:lineRule="exact"/>
              <w:ind w:left="17"/>
              <w:jc w:val="left"/>
              <w:rPr>
                <w:rFonts w:ascii="Microsoft JhengHei" w:eastAsia="Microsoft JhengHei" w:hint="eastAsia"/>
                <w:b/>
                <w:sz w:val="16"/>
              </w:rPr>
            </w:pPr>
            <w:r>
              <w:rPr>
                <w:rFonts w:ascii="Microsoft JhengHei" w:eastAsia="Microsoft JhengHei" w:hint="eastAsia"/>
                <w:b/>
                <w:sz w:val="16"/>
              </w:rPr>
              <w:t>股票代码</w:t>
            </w:r>
          </w:p>
        </w:tc>
        <w:tc>
          <w:tcPr>
            <w:tcW w:w="1560" w:type="dxa"/>
            <w:tcBorders>
              <w:top w:val="single" w:sz="4" w:space="0" w:color="000000"/>
              <w:bottom w:val="single" w:sz="4" w:space="0" w:color="000000"/>
            </w:tcBorders>
          </w:tcPr>
          <w:p>
            <w:pPr>
              <w:pStyle w:val="TableParagraph"/>
              <w:spacing w:before="1"/>
              <w:jc w:val="left"/>
              <w:rPr>
                <w:rFonts w:ascii="Microsoft JhengHei"/>
                <w:b/>
                <w:sz w:val="9"/>
              </w:rPr>
            </w:pPr>
          </w:p>
          <w:p>
            <w:pPr>
              <w:pStyle w:val="TableParagraph"/>
              <w:spacing w:before="1" w:line="285" w:lineRule="exact"/>
              <w:ind w:right="370"/>
              <w:rPr>
                <w:rFonts w:ascii="Microsoft JhengHei" w:eastAsia="Microsoft JhengHei" w:hint="eastAsia"/>
                <w:b/>
                <w:sz w:val="16"/>
              </w:rPr>
            </w:pPr>
            <w:r>
              <w:rPr>
                <w:rFonts w:ascii="Microsoft JhengHei" w:eastAsia="Microsoft JhengHei" w:hint="eastAsia"/>
                <w:b/>
                <w:sz w:val="16"/>
              </w:rPr>
              <w:t>公司名称</w:t>
            </w:r>
          </w:p>
        </w:tc>
        <w:tc>
          <w:tcPr>
            <w:tcW w:w="859" w:type="dxa"/>
            <w:tcBorders>
              <w:top w:val="single" w:sz="4" w:space="0" w:color="000000"/>
              <w:bottom w:val="single" w:sz="4" w:space="0" w:color="000000"/>
            </w:tcBorders>
          </w:tcPr>
          <w:p>
            <w:pPr>
              <w:pStyle w:val="TableParagraph"/>
              <w:spacing w:before="1"/>
              <w:jc w:val="left"/>
              <w:rPr>
                <w:rFonts w:ascii="Microsoft JhengHei"/>
                <w:b/>
                <w:sz w:val="9"/>
              </w:rPr>
            </w:pPr>
          </w:p>
          <w:p>
            <w:pPr>
              <w:pStyle w:val="TableParagraph"/>
              <w:spacing w:before="1" w:line="285" w:lineRule="exact"/>
              <w:ind w:right="166"/>
              <w:rPr>
                <w:rFonts w:ascii="Microsoft JhengHei" w:eastAsia="Microsoft JhengHei" w:hint="eastAsia"/>
                <w:b/>
                <w:sz w:val="16"/>
              </w:rPr>
            </w:pPr>
            <w:r>
              <w:rPr>
                <w:rFonts w:ascii="Microsoft JhengHei" w:eastAsia="Microsoft JhengHei" w:hint="eastAsia"/>
                <w:b/>
                <w:sz w:val="16"/>
              </w:rPr>
              <w:t>评级</w:t>
            </w:r>
          </w:p>
        </w:tc>
        <w:tc>
          <w:tcPr>
            <w:tcW w:w="1063" w:type="dxa"/>
            <w:tcBorders>
              <w:top w:val="single" w:sz="4" w:space="0" w:color="000000"/>
              <w:bottom w:val="single" w:sz="4" w:space="0" w:color="000000"/>
            </w:tcBorders>
          </w:tcPr>
          <w:p>
            <w:pPr>
              <w:pStyle w:val="TableParagraph"/>
              <w:spacing w:line="210" w:lineRule="exact"/>
              <w:ind w:right="166"/>
              <w:rPr>
                <w:rFonts w:ascii="Microsoft JhengHei" w:eastAsia="Microsoft JhengHei" w:hint="eastAsia"/>
                <w:b/>
                <w:sz w:val="16"/>
              </w:rPr>
            </w:pPr>
            <w:r>
              <w:rPr>
                <w:rFonts w:ascii="Microsoft JhengHei" w:eastAsia="Microsoft JhengHei" w:hint="eastAsia"/>
                <w:b/>
                <w:sz w:val="16"/>
              </w:rPr>
              <w:t>收盘价</w:t>
            </w:r>
          </w:p>
          <w:p>
            <w:pPr>
              <w:pStyle w:val="TableParagraph"/>
              <w:spacing w:line="241" w:lineRule="exact"/>
              <w:ind w:right="165"/>
              <w:rPr>
                <w:b/>
                <w:sz w:val="16"/>
              </w:rPr>
            </w:pPr>
            <w:r>
              <w:rPr>
                <w:b/>
                <w:sz w:val="16"/>
              </w:rPr>
              <w:t>(</w:t>
            </w:r>
            <w:r>
              <w:rPr>
                <w:rFonts w:ascii="Microsoft JhengHei" w:eastAsia="Microsoft JhengHei" w:hint="eastAsia"/>
                <w:b/>
                <w:sz w:val="16"/>
              </w:rPr>
              <w:t>交易货币</w:t>
            </w:r>
            <w:r>
              <w:rPr>
                <w:b/>
                <w:sz w:val="16"/>
              </w:rPr>
              <w:t>)</w:t>
            </w:r>
          </w:p>
        </w:tc>
        <w:tc>
          <w:tcPr>
            <w:tcW w:w="1107" w:type="dxa"/>
            <w:tcBorders>
              <w:top w:val="single" w:sz="4" w:space="0" w:color="000000"/>
              <w:bottom w:val="single" w:sz="4" w:space="0" w:color="000000"/>
            </w:tcBorders>
          </w:tcPr>
          <w:p>
            <w:pPr>
              <w:pStyle w:val="TableParagraph"/>
              <w:spacing w:line="210" w:lineRule="exact"/>
              <w:ind w:right="210"/>
              <w:rPr>
                <w:rFonts w:ascii="Microsoft JhengHei" w:eastAsia="Microsoft JhengHei" w:hint="eastAsia"/>
                <w:b/>
                <w:sz w:val="16"/>
              </w:rPr>
            </w:pPr>
            <w:r>
              <w:rPr>
                <w:rFonts w:ascii="Microsoft JhengHei" w:eastAsia="Microsoft JhengHei" w:hint="eastAsia"/>
                <w:b/>
                <w:sz w:val="16"/>
              </w:rPr>
              <w:t>目标价</w:t>
            </w:r>
          </w:p>
          <w:p>
            <w:pPr>
              <w:pStyle w:val="TableParagraph"/>
              <w:spacing w:line="241" w:lineRule="exact"/>
              <w:ind w:right="209"/>
              <w:rPr>
                <w:b/>
                <w:sz w:val="16"/>
              </w:rPr>
            </w:pPr>
            <w:r>
              <w:rPr>
                <w:b/>
                <w:sz w:val="16"/>
              </w:rPr>
              <w:t>(</w:t>
            </w:r>
            <w:r>
              <w:rPr>
                <w:rFonts w:ascii="Microsoft JhengHei" w:eastAsia="Microsoft JhengHei" w:hint="eastAsia"/>
                <w:b/>
                <w:sz w:val="16"/>
              </w:rPr>
              <w:t>交易货币</w:t>
            </w:r>
            <w:r>
              <w:rPr>
                <w:b/>
                <w:sz w:val="16"/>
              </w:rPr>
              <w:t>)</w:t>
            </w:r>
          </w:p>
        </w:tc>
        <w:tc>
          <w:tcPr>
            <w:tcW w:w="1195" w:type="dxa"/>
            <w:tcBorders>
              <w:top w:val="single" w:sz="4" w:space="0" w:color="000000"/>
              <w:bottom w:val="single" w:sz="4" w:space="0" w:color="000000"/>
            </w:tcBorders>
          </w:tcPr>
          <w:p>
            <w:pPr>
              <w:pStyle w:val="TableParagraph"/>
              <w:spacing w:before="1"/>
              <w:jc w:val="left"/>
              <w:rPr>
                <w:rFonts w:ascii="Microsoft JhengHei"/>
                <w:b/>
                <w:sz w:val="9"/>
              </w:rPr>
            </w:pPr>
          </w:p>
          <w:p>
            <w:pPr>
              <w:pStyle w:val="TableParagraph"/>
              <w:spacing w:before="1" w:line="285" w:lineRule="exact"/>
              <w:ind w:right="341"/>
              <w:rPr>
                <w:rFonts w:ascii="Microsoft JhengHei" w:eastAsia="Microsoft JhengHei" w:hint="eastAsia"/>
                <w:b/>
                <w:sz w:val="16"/>
              </w:rPr>
            </w:pPr>
            <w:r>
              <w:rPr>
                <w:rFonts w:ascii="Microsoft JhengHei" w:eastAsia="Microsoft JhengHei" w:hint="eastAsia"/>
                <w:b/>
                <w:sz w:val="16"/>
              </w:rPr>
              <w:t>潜在涨幅</w:t>
            </w:r>
          </w:p>
        </w:tc>
        <w:tc>
          <w:tcPr>
            <w:tcW w:w="1550" w:type="dxa"/>
            <w:tcBorders>
              <w:top w:val="single" w:sz="4" w:space="0" w:color="000000"/>
              <w:bottom w:val="single" w:sz="4" w:space="0" w:color="000000"/>
            </w:tcBorders>
          </w:tcPr>
          <w:p>
            <w:pPr>
              <w:pStyle w:val="TableParagraph"/>
              <w:spacing w:line="210" w:lineRule="exact"/>
              <w:ind w:right="48"/>
              <w:rPr>
                <w:rFonts w:ascii="Microsoft JhengHei" w:eastAsia="Microsoft JhengHei" w:hint="eastAsia"/>
                <w:b/>
                <w:sz w:val="16"/>
              </w:rPr>
            </w:pPr>
            <w:r>
              <w:rPr>
                <w:rFonts w:ascii="Microsoft JhengHei" w:eastAsia="Microsoft JhengHei" w:hint="eastAsia"/>
                <w:b/>
                <w:sz w:val="16"/>
              </w:rPr>
              <w:t>最新目标价</w:t>
            </w:r>
            <w:r>
              <w:rPr>
                <w:b/>
                <w:sz w:val="16"/>
              </w:rPr>
              <w:t>/</w:t>
            </w:r>
            <w:r>
              <w:rPr>
                <w:rFonts w:ascii="Microsoft JhengHei" w:eastAsia="Microsoft JhengHei" w:hint="eastAsia"/>
                <w:b/>
                <w:sz w:val="16"/>
              </w:rPr>
              <w:t>评级</w:t>
            </w:r>
          </w:p>
          <w:p>
            <w:pPr>
              <w:pStyle w:val="TableParagraph"/>
              <w:spacing w:line="241" w:lineRule="exact"/>
              <w:ind w:right="48"/>
              <w:rPr>
                <w:rFonts w:ascii="Microsoft JhengHei" w:eastAsia="Microsoft JhengHei" w:hint="eastAsia"/>
                <w:b/>
                <w:sz w:val="16"/>
              </w:rPr>
            </w:pPr>
            <w:r>
              <w:rPr>
                <w:rFonts w:ascii="Microsoft JhengHei" w:eastAsia="Microsoft JhengHei" w:hint="eastAsia"/>
                <w:b/>
                <w:sz w:val="16"/>
              </w:rPr>
              <w:t>发表日期</w:t>
            </w:r>
          </w:p>
        </w:tc>
        <w:tc>
          <w:tcPr>
            <w:tcW w:w="1693" w:type="dxa"/>
            <w:tcBorders>
              <w:top w:val="single" w:sz="4" w:space="0" w:color="000000"/>
              <w:bottom w:val="single" w:sz="4" w:space="0" w:color="000000"/>
            </w:tcBorders>
          </w:tcPr>
          <w:p>
            <w:pPr>
              <w:pStyle w:val="TableParagraph"/>
              <w:spacing w:before="1"/>
              <w:jc w:val="left"/>
              <w:rPr>
                <w:rFonts w:ascii="Microsoft JhengHei"/>
                <w:b/>
                <w:sz w:val="9"/>
              </w:rPr>
            </w:pPr>
          </w:p>
          <w:p>
            <w:pPr>
              <w:pStyle w:val="TableParagraph"/>
              <w:spacing w:before="1" w:line="285" w:lineRule="exact"/>
              <w:ind w:right="40"/>
              <w:rPr>
                <w:rFonts w:ascii="Microsoft JhengHei" w:eastAsia="Microsoft JhengHei" w:hint="eastAsia"/>
                <w:b/>
                <w:sz w:val="16"/>
              </w:rPr>
            </w:pPr>
            <w:r>
              <w:rPr>
                <w:rFonts w:ascii="Microsoft JhengHei" w:eastAsia="Microsoft JhengHei" w:hint="eastAsia"/>
                <w:b/>
                <w:sz w:val="16"/>
              </w:rPr>
              <w:t>子行业</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000000"/>
              <w:bottom w:val="single" w:sz="4" w:space="0" w:color="9AC6CD"/>
            </w:tcBorders>
            <w:shd w:val="clear" w:color="auto" w:fill="DDEBED"/>
          </w:tcPr>
          <w:p>
            <w:pPr>
              <w:pStyle w:val="TableParagraph"/>
              <w:spacing w:before="52"/>
              <w:ind w:left="17"/>
              <w:jc w:val="left"/>
              <w:rPr>
                <w:sz w:val="16"/>
              </w:rPr>
            </w:pPr>
            <w:r>
              <w:rPr>
                <w:sz w:val="16"/>
              </w:rPr>
              <w:t>1798 HK</w:t>
            </w:r>
          </w:p>
        </w:tc>
        <w:tc>
          <w:tcPr>
            <w:tcW w:w="1560" w:type="dxa"/>
            <w:tcBorders>
              <w:top w:val="single" w:sz="4" w:space="0" w:color="000000"/>
              <w:bottom w:val="single" w:sz="4" w:space="0" w:color="9AC6CD"/>
            </w:tcBorders>
            <w:shd w:val="clear" w:color="auto" w:fill="DDEBED"/>
          </w:tcPr>
          <w:p>
            <w:pPr>
              <w:pStyle w:val="TableParagraph"/>
              <w:spacing w:before="12"/>
              <w:ind w:right="370"/>
              <w:rPr>
                <w:rFonts w:ascii="宋体" w:eastAsia="宋体" w:hint="eastAsia"/>
                <w:sz w:val="16"/>
              </w:rPr>
            </w:pPr>
            <w:r>
              <w:rPr>
                <w:rFonts w:ascii="宋体" w:eastAsia="宋体" w:hint="eastAsia"/>
                <w:sz w:val="16"/>
              </w:rPr>
              <w:t>大唐新能源</w:t>
            </w:r>
          </w:p>
        </w:tc>
        <w:tc>
          <w:tcPr>
            <w:tcW w:w="859" w:type="dxa"/>
            <w:tcBorders>
              <w:top w:val="single" w:sz="4" w:space="0" w:color="000000"/>
              <w:bottom w:val="single" w:sz="4" w:space="0" w:color="9AC6CD"/>
            </w:tcBorders>
            <w:shd w:val="clear" w:color="auto" w:fill="DDEBED"/>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000000"/>
              <w:bottom w:val="single" w:sz="4" w:space="0" w:color="9AC6CD"/>
            </w:tcBorders>
            <w:shd w:val="clear" w:color="auto" w:fill="DDEBED"/>
          </w:tcPr>
          <w:p>
            <w:pPr>
              <w:pStyle w:val="TableParagraph"/>
              <w:spacing w:before="52"/>
              <w:ind w:right="165"/>
              <w:rPr>
                <w:sz w:val="16"/>
              </w:rPr>
            </w:pPr>
            <w:r>
              <w:rPr>
                <w:sz w:val="16"/>
              </w:rPr>
              <w:t>1.83</w:t>
            </w:r>
          </w:p>
        </w:tc>
        <w:tc>
          <w:tcPr>
            <w:tcW w:w="1107" w:type="dxa"/>
            <w:tcBorders>
              <w:top w:val="single" w:sz="4" w:space="0" w:color="000000"/>
              <w:bottom w:val="single" w:sz="4" w:space="0" w:color="9AC6CD"/>
            </w:tcBorders>
            <w:shd w:val="clear" w:color="auto" w:fill="DDEBED"/>
          </w:tcPr>
          <w:p>
            <w:pPr>
              <w:pStyle w:val="TableParagraph"/>
              <w:spacing w:before="52"/>
              <w:ind w:right="209"/>
              <w:rPr>
                <w:sz w:val="16"/>
              </w:rPr>
            </w:pPr>
            <w:r>
              <w:rPr>
                <w:sz w:val="16"/>
              </w:rPr>
              <w:t>2.20</w:t>
            </w:r>
          </w:p>
        </w:tc>
        <w:tc>
          <w:tcPr>
            <w:tcW w:w="1195" w:type="dxa"/>
            <w:tcBorders>
              <w:top w:val="single" w:sz="4" w:space="0" w:color="000000"/>
              <w:bottom w:val="single" w:sz="4" w:space="0" w:color="9AC6CD"/>
            </w:tcBorders>
            <w:shd w:val="clear" w:color="auto" w:fill="DDEBED"/>
          </w:tcPr>
          <w:p>
            <w:pPr>
              <w:pStyle w:val="TableParagraph"/>
              <w:spacing w:before="52"/>
              <w:ind w:right="340"/>
              <w:rPr>
                <w:sz w:val="16"/>
              </w:rPr>
            </w:pPr>
            <w:r>
              <w:rPr>
                <w:sz w:val="16"/>
              </w:rPr>
              <w:t>20.2%</w:t>
            </w:r>
          </w:p>
        </w:tc>
        <w:tc>
          <w:tcPr>
            <w:tcW w:w="1550" w:type="dxa"/>
            <w:tcBorders>
              <w:top w:val="single" w:sz="4" w:space="0" w:color="000000"/>
              <w:bottom w:val="single" w:sz="4" w:space="0" w:color="9AC6CD"/>
            </w:tcBorders>
            <w:shd w:val="clear" w:color="auto" w:fill="DDEBED"/>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01</w:t>
            </w:r>
            <w:r>
              <w:rPr>
                <w:rFonts w:ascii="宋体" w:eastAsia="宋体" w:hint="eastAsia"/>
                <w:sz w:val="16"/>
              </w:rPr>
              <w:t>月</w:t>
            </w:r>
            <w:r>
              <w:rPr>
                <w:sz w:val="16"/>
              </w:rPr>
              <w:t>25</w:t>
            </w:r>
            <w:r>
              <w:rPr>
                <w:rFonts w:ascii="宋体" w:eastAsia="宋体" w:hint="eastAsia"/>
                <w:sz w:val="16"/>
              </w:rPr>
              <w:t>日</w:t>
            </w:r>
          </w:p>
        </w:tc>
        <w:tc>
          <w:tcPr>
            <w:tcW w:w="1693" w:type="dxa"/>
            <w:tcBorders>
              <w:top w:val="single" w:sz="4" w:space="0" w:color="000000"/>
              <w:bottom w:val="single" w:sz="4" w:space="0" w:color="9AC6CD"/>
            </w:tcBorders>
            <w:shd w:val="clear" w:color="auto" w:fill="DDEBED"/>
          </w:tcPr>
          <w:p>
            <w:pPr>
              <w:pStyle w:val="TableParagraph"/>
              <w:spacing w:before="12"/>
              <w:ind w:right="40"/>
              <w:rPr>
                <w:rFonts w:ascii="宋体" w:eastAsia="宋体" w:hint="eastAsia"/>
                <w:sz w:val="16"/>
              </w:rPr>
            </w:pPr>
            <w:r>
              <w:rPr>
                <w:rFonts w:ascii="宋体" w:eastAsia="宋体" w:hint="eastAsia"/>
                <w:sz w:val="16"/>
              </w:rPr>
              <w:t>运营商</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tcPr>
          <w:p>
            <w:pPr>
              <w:pStyle w:val="TableParagraph"/>
              <w:spacing w:before="52"/>
              <w:ind w:left="17"/>
              <w:jc w:val="left"/>
              <w:rPr>
                <w:sz w:val="16"/>
              </w:rPr>
            </w:pPr>
            <w:r>
              <w:rPr>
                <w:sz w:val="16"/>
              </w:rPr>
              <w:t>579 HK</w:t>
            </w:r>
          </w:p>
        </w:tc>
        <w:tc>
          <w:tcPr>
            <w:tcW w:w="1560" w:type="dxa"/>
            <w:tcBorders>
              <w:top w:val="single" w:sz="4" w:space="0" w:color="9AC6CD"/>
              <w:bottom w:val="single" w:sz="4" w:space="0" w:color="9AC6CD"/>
            </w:tcBorders>
          </w:tcPr>
          <w:p>
            <w:pPr>
              <w:pStyle w:val="TableParagraph"/>
              <w:spacing w:before="12"/>
              <w:ind w:right="370"/>
              <w:rPr>
                <w:rFonts w:ascii="宋体" w:eastAsia="宋体" w:hint="eastAsia"/>
                <w:sz w:val="16"/>
              </w:rPr>
            </w:pPr>
            <w:r>
              <w:rPr>
                <w:rFonts w:ascii="宋体" w:eastAsia="宋体" w:hint="eastAsia"/>
                <w:sz w:val="16"/>
              </w:rPr>
              <w:t>京能清洁能源</w:t>
            </w:r>
          </w:p>
        </w:tc>
        <w:tc>
          <w:tcPr>
            <w:tcW w:w="859" w:type="dxa"/>
            <w:tcBorders>
              <w:top w:val="single" w:sz="4" w:space="0" w:color="9AC6CD"/>
              <w:bottom w:val="single" w:sz="4" w:space="0" w:color="9AC6CD"/>
            </w:tcBorders>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tcPr>
          <w:p>
            <w:pPr>
              <w:pStyle w:val="TableParagraph"/>
              <w:spacing w:before="52"/>
              <w:ind w:right="165"/>
              <w:rPr>
                <w:sz w:val="16"/>
              </w:rPr>
            </w:pPr>
            <w:r>
              <w:rPr>
                <w:sz w:val="16"/>
              </w:rPr>
              <w:t>1.67</w:t>
            </w:r>
          </w:p>
        </w:tc>
        <w:tc>
          <w:tcPr>
            <w:tcW w:w="1107" w:type="dxa"/>
            <w:tcBorders>
              <w:top w:val="single" w:sz="4" w:space="0" w:color="9AC6CD"/>
              <w:bottom w:val="single" w:sz="4" w:space="0" w:color="9AC6CD"/>
            </w:tcBorders>
          </w:tcPr>
          <w:p>
            <w:pPr>
              <w:pStyle w:val="TableParagraph"/>
              <w:spacing w:before="52"/>
              <w:ind w:right="209"/>
              <w:rPr>
                <w:sz w:val="16"/>
              </w:rPr>
            </w:pPr>
            <w:r>
              <w:rPr>
                <w:sz w:val="16"/>
              </w:rPr>
              <w:t>1.94</w:t>
            </w:r>
          </w:p>
        </w:tc>
        <w:tc>
          <w:tcPr>
            <w:tcW w:w="1195" w:type="dxa"/>
            <w:tcBorders>
              <w:top w:val="single" w:sz="4" w:space="0" w:color="9AC6CD"/>
              <w:bottom w:val="single" w:sz="4" w:space="0" w:color="9AC6CD"/>
            </w:tcBorders>
          </w:tcPr>
          <w:p>
            <w:pPr>
              <w:pStyle w:val="TableParagraph"/>
              <w:spacing w:before="52"/>
              <w:ind w:right="340"/>
              <w:rPr>
                <w:sz w:val="16"/>
              </w:rPr>
            </w:pPr>
            <w:r>
              <w:rPr>
                <w:sz w:val="16"/>
              </w:rPr>
              <w:t>16.2%</w:t>
            </w:r>
          </w:p>
        </w:tc>
        <w:tc>
          <w:tcPr>
            <w:tcW w:w="1550" w:type="dxa"/>
            <w:tcBorders>
              <w:top w:val="single" w:sz="4" w:space="0" w:color="9AC6CD"/>
              <w:bottom w:val="single" w:sz="4" w:space="0" w:color="9AC6CD"/>
            </w:tcBorders>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01</w:t>
            </w:r>
            <w:r>
              <w:rPr>
                <w:rFonts w:ascii="宋体" w:eastAsia="宋体" w:hint="eastAsia"/>
                <w:sz w:val="16"/>
              </w:rPr>
              <w:t>月</w:t>
            </w:r>
            <w:r>
              <w:rPr>
                <w:sz w:val="16"/>
              </w:rPr>
              <w:t>11</w:t>
            </w:r>
            <w:r>
              <w:rPr>
                <w:rFonts w:ascii="宋体" w:eastAsia="宋体" w:hint="eastAsia"/>
                <w:sz w:val="16"/>
              </w:rPr>
              <w:t>日</w:t>
            </w:r>
          </w:p>
        </w:tc>
        <w:tc>
          <w:tcPr>
            <w:tcW w:w="1693" w:type="dxa"/>
            <w:tcBorders>
              <w:top w:val="single" w:sz="4" w:space="0" w:color="9AC6CD"/>
              <w:bottom w:val="single" w:sz="4" w:space="0" w:color="9AC6CD"/>
            </w:tcBorders>
          </w:tcPr>
          <w:p>
            <w:pPr>
              <w:pStyle w:val="TableParagraph"/>
              <w:spacing w:before="12"/>
              <w:ind w:right="40"/>
              <w:rPr>
                <w:rFonts w:ascii="宋体" w:eastAsia="宋体" w:hint="eastAsia"/>
                <w:sz w:val="16"/>
              </w:rPr>
            </w:pPr>
            <w:r>
              <w:rPr>
                <w:rFonts w:ascii="宋体" w:eastAsia="宋体" w:hint="eastAsia"/>
                <w:sz w:val="16"/>
              </w:rPr>
              <w:t>运营商</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shd w:val="clear" w:color="auto" w:fill="DDEBED"/>
          </w:tcPr>
          <w:p>
            <w:pPr>
              <w:pStyle w:val="TableParagraph"/>
              <w:spacing w:before="52"/>
              <w:ind w:left="17"/>
              <w:jc w:val="left"/>
              <w:rPr>
                <w:sz w:val="16"/>
              </w:rPr>
            </w:pPr>
            <w:r>
              <w:rPr>
                <w:sz w:val="16"/>
              </w:rPr>
              <w:t>916 HK</w:t>
            </w:r>
          </w:p>
        </w:tc>
        <w:tc>
          <w:tcPr>
            <w:tcW w:w="1560" w:type="dxa"/>
            <w:tcBorders>
              <w:top w:val="single" w:sz="4" w:space="0" w:color="9AC6CD"/>
              <w:bottom w:val="single" w:sz="4" w:space="0" w:color="9AC6CD"/>
            </w:tcBorders>
            <w:shd w:val="clear" w:color="auto" w:fill="DDEBED"/>
          </w:tcPr>
          <w:p>
            <w:pPr>
              <w:pStyle w:val="TableParagraph"/>
              <w:spacing w:before="12"/>
              <w:ind w:right="370"/>
              <w:rPr>
                <w:rFonts w:ascii="宋体" w:eastAsia="宋体" w:hint="eastAsia"/>
                <w:sz w:val="16"/>
              </w:rPr>
            </w:pPr>
            <w:r>
              <w:rPr>
                <w:rFonts w:ascii="宋体" w:eastAsia="宋体" w:hint="eastAsia"/>
                <w:sz w:val="16"/>
              </w:rPr>
              <w:t>龙源电力</w:t>
            </w:r>
          </w:p>
        </w:tc>
        <w:tc>
          <w:tcPr>
            <w:tcW w:w="859" w:type="dxa"/>
            <w:tcBorders>
              <w:top w:val="single" w:sz="4" w:space="0" w:color="9AC6CD"/>
              <w:bottom w:val="single" w:sz="4" w:space="0" w:color="9AC6CD"/>
            </w:tcBorders>
            <w:shd w:val="clear" w:color="auto" w:fill="DDEBED"/>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shd w:val="clear" w:color="auto" w:fill="DDEBED"/>
          </w:tcPr>
          <w:p>
            <w:pPr>
              <w:pStyle w:val="TableParagraph"/>
              <w:spacing w:before="52"/>
              <w:ind w:right="165"/>
              <w:rPr>
                <w:sz w:val="16"/>
              </w:rPr>
            </w:pPr>
            <w:r>
              <w:rPr>
                <w:sz w:val="16"/>
              </w:rPr>
              <w:t>5.94</w:t>
            </w:r>
          </w:p>
        </w:tc>
        <w:tc>
          <w:tcPr>
            <w:tcW w:w="1107" w:type="dxa"/>
            <w:tcBorders>
              <w:top w:val="single" w:sz="4" w:space="0" w:color="9AC6CD"/>
              <w:bottom w:val="single" w:sz="4" w:space="0" w:color="9AC6CD"/>
            </w:tcBorders>
            <w:shd w:val="clear" w:color="auto" w:fill="DDEBED"/>
          </w:tcPr>
          <w:p>
            <w:pPr>
              <w:pStyle w:val="TableParagraph"/>
              <w:spacing w:before="52"/>
              <w:ind w:right="209"/>
              <w:rPr>
                <w:sz w:val="16"/>
              </w:rPr>
            </w:pPr>
            <w:r>
              <w:rPr>
                <w:sz w:val="16"/>
              </w:rPr>
              <w:t>8.57</w:t>
            </w:r>
          </w:p>
        </w:tc>
        <w:tc>
          <w:tcPr>
            <w:tcW w:w="1195" w:type="dxa"/>
            <w:tcBorders>
              <w:top w:val="single" w:sz="4" w:space="0" w:color="9AC6CD"/>
              <w:bottom w:val="single" w:sz="4" w:space="0" w:color="9AC6CD"/>
            </w:tcBorders>
            <w:shd w:val="clear" w:color="auto" w:fill="DDEBED"/>
          </w:tcPr>
          <w:p>
            <w:pPr>
              <w:pStyle w:val="TableParagraph"/>
              <w:spacing w:before="52"/>
              <w:ind w:right="340"/>
              <w:rPr>
                <w:sz w:val="16"/>
              </w:rPr>
            </w:pPr>
            <w:r>
              <w:rPr>
                <w:sz w:val="16"/>
              </w:rPr>
              <w:t>44.3%</w:t>
            </w:r>
          </w:p>
        </w:tc>
        <w:tc>
          <w:tcPr>
            <w:tcW w:w="1550" w:type="dxa"/>
            <w:tcBorders>
              <w:top w:val="single" w:sz="4" w:space="0" w:color="9AC6CD"/>
              <w:bottom w:val="single" w:sz="4" w:space="0" w:color="9AC6CD"/>
            </w:tcBorders>
            <w:shd w:val="clear" w:color="auto" w:fill="DDEBED"/>
          </w:tcPr>
          <w:p>
            <w:pPr>
              <w:pStyle w:val="TableParagraph"/>
              <w:spacing w:before="12"/>
              <w:ind w:right="47"/>
              <w:rPr>
                <w:rFonts w:ascii="宋体" w:eastAsia="宋体" w:hint="eastAsia"/>
                <w:sz w:val="16"/>
              </w:rPr>
            </w:pPr>
            <w:r>
              <w:rPr>
                <w:sz w:val="16"/>
              </w:rPr>
              <w:t>2023</w:t>
            </w:r>
            <w:r>
              <w:rPr>
                <w:rFonts w:ascii="宋体" w:eastAsia="宋体" w:hint="eastAsia"/>
                <w:sz w:val="16"/>
              </w:rPr>
              <w:t>年</w:t>
            </w:r>
            <w:r>
              <w:rPr>
                <w:sz w:val="16"/>
              </w:rPr>
              <w:t>08</w:t>
            </w:r>
            <w:r>
              <w:rPr>
                <w:rFonts w:ascii="宋体" w:eastAsia="宋体" w:hint="eastAsia"/>
                <w:sz w:val="16"/>
              </w:rPr>
              <w:t>月</w:t>
            </w:r>
            <w:r>
              <w:rPr>
                <w:sz w:val="16"/>
              </w:rPr>
              <w:t>31</w:t>
            </w:r>
            <w:r>
              <w:rPr>
                <w:rFonts w:ascii="宋体" w:eastAsia="宋体" w:hint="eastAsia"/>
                <w:sz w:val="16"/>
              </w:rPr>
              <w:t>日</w:t>
            </w:r>
          </w:p>
        </w:tc>
        <w:tc>
          <w:tcPr>
            <w:tcW w:w="1693" w:type="dxa"/>
            <w:tcBorders>
              <w:top w:val="single" w:sz="4" w:space="0" w:color="9AC6CD"/>
              <w:bottom w:val="single" w:sz="4" w:space="0" w:color="9AC6CD"/>
            </w:tcBorders>
            <w:shd w:val="clear" w:color="auto" w:fill="DDEBED"/>
          </w:tcPr>
          <w:p>
            <w:pPr>
              <w:pStyle w:val="TableParagraph"/>
              <w:spacing w:before="12"/>
              <w:ind w:right="40"/>
              <w:rPr>
                <w:rFonts w:ascii="宋体" w:eastAsia="宋体" w:hint="eastAsia"/>
                <w:sz w:val="16"/>
              </w:rPr>
            </w:pPr>
            <w:r>
              <w:rPr>
                <w:rFonts w:ascii="宋体" w:eastAsia="宋体" w:hint="eastAsia"/>
                <w:sz w:val="16"/>
              </w:rPr>
              <w:t>运营商</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tcPr>
          <w:p>
            <w:pPr>
              <w:pStyle w:val="TableParagraph"/>
              <w:spacing w:before="52"/>
              <w:ind w:left="17"/>
              <w:jc w:val="left"/>
              <w:rPr>
                <w:sz w:val="16"/>
              </w:rPr>
            </w:pPr>
            <w:r>
              <w:rPr>
                <w:sz w:val="16"/>
              </w:rPr>
              <w:t>2380 HK</w:t>
            </w:r>
          </w:p>
        </w:tc>
        <w:tc>
          <w:tcPr>
            <w:tcW w:w="1560" w:type="dxa"/>
            <w:tcBorders>
              <w:top w:val="single" w:sz="4" w:space="0" w:color="9AC6CD"/>
              <w:bottom w:val="single" w:sz="4" w:space="0" w:color="9AC6CD"/>
            </w:tcBorders>
          </w:tcPr>
          <w:p>
            <w:pPr>
              <w:pStyle w:val="TableParagraph"/>
              <w:spacing w:before="12"/>
              <w:ind w:right="370"/>
              <w:rPr>
                <w:rFonts w:ascii="宋体" w:eastAsia="宋体" w:hint="eastAsia"/>
                <w:sz w:val="16"/>
              </w:rPr>
            </w:pPr>
            <w:r>
              <w:rPr>
                <w:rFonts w:ascii="宋体" w:eastAsia="宋体" w:hint="eastAsia"/>
                <w:sz w:val="16"/>
              </w:rPr>
              <w:t>中国电力</w:t>
            </w:r>
          </w:p>
        </w:tc>
        <w:tc>
          <w:tcPr>
            <w:tcW w:w="859" w:type="dxa"/>
            <w:tcBorders>
              <w:top w:val="single" w:sz="4" w:space="0" w:color="9AC6CD"/>
              <w:bottom w:val="single" w:sz="4" w:space="0" w:color="9AC6CD"/>
            </w:tcBorders>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tcPr>
          <w:p>
            <w:pPr>
              <w:pStyle w:val="TableParagraph"/>
              <w:spacing w:before="52"/>
              <w:ind w:right="165"/>
              <w:rPr>
                <w:sz w:val="16"/>
              </w:rPr>
            </w:pPr>
            <w:r>
              <w:rPr>
                <w:sz w:val="16"/>
              </w:rPr>
              <w:t>3.43</w:t>
            </w:r>
          </w:p>
        </w:tc>
        <w:tc>
          <w:tcPr>
            <w:tcW w:w="1107" w:type="dxa"/>
            <w:tcBorders>
              <w:top w:val="single" w:sz="4" w:space="0" w:color="9AC6CD"/>
              <w:bottom w:val="single" w:sz="4" w:space="0" w:color="9AC6CD"/>
            </w:tcBorders>
          </w:tcPr>
          <w:p>
            <w:pPr>
              <w:pStyle w:val="TableParagraph"/>
              <w:spacing w:before="52"/>
              <w:ind w:right="209"/>
              <w:rPr>
                <w:sz w:val="16"/>
              </w:rPr>
            </w:pPr>
            <w:r>
              <w:rPr>
                <w:sz w:val="16"/>
              </w:rPr>
              <w:t>4.06</w:t>
            </w:r>
          </w:p>
        </w:tc>
        <w:tc>
          <w:tcPr>
            <w:tcW w:w="1195" w:type="dxa"/>
            <w:tcBorders>
              <w:top w:val="single" w:sz="4" w:space="0" w:color="9AC6CD"/>
              <w:bottom w:val="single" w:sz="4" w:space="0" w:color="9AC6CD"/>
            </w:tcBorders>
          </w:tcPr>
          <w:p>
            <w:pPr>
              <w:pStyle w:val="TableParagraph"/>
              <w:spacing w:before="52"/>
              <w:ind w:right="340"/>
              <w:rPr>
                <w:sz w:val="16"/>
              </w:rPr>
            </w:pPr>
            <w:r>
              <w:rPr>
                <w:sz w:val="16"/>
              </w:rPr>
              <w:t>18.4%</w:t>
            </w:r>
          </w:p>
        </w:tc>
        <w:tc>
          <w:tcPr>
            <w:tcW w:w="1550" w:type="dxa"/>
            <w:tcBorders>
              <w:top w:val="single" w:sz="4" w:space="0" w:color="9AC6CD"/>
              <w:bottom w:val="single" w:sz="4" w:space="0" w:color="9AC6CD"/>
            </w:tcBorders>
          </w:tcPr>
          <w:p>
            <w:pPr>
              <w:pStyle w:val="TableParagraph"/>
              <w:spacing w:before="12"/>
              <w:ind w:right="47"/>
              <w:rPr>
                <w:rFonts w:ascii="宋体" w:eastAsia="宋体" w:hint="eastAsia"/>
                <w:sz w:val="16"/>
              </w:rPr>
            </w:pPr>
            <w:r>
              <w:rPr>
                <w:sz w:val="16"/>
              </w:rPr>
              <w:t>2023</w:t>
            </w:r>
            <w:r>
              <w:rPr>
                <w:rFonts w:ascii="宋体" w:eastAsia="宋体" w:hint="eastAsia"/>
                <w:sz w:val="16"/>
              </w:rPr>
              <w:t>年</w:t>
            </w:r>
            <w:r>
              <w:rPr>
                <w:sz w:val="16"/>
              </w:rPr>
              <w:t>08</w:t>
            </w:r>
            <w:r>
              <w:rPr>
                <w:rFonts w:ascii="宋体" w:eastAsia="宋体" w:hint="eastAsia"/>
                <w:sz w:val="16"/>
              </w:rPr>
              <w:t>月</w:t>
            </w:r>
            <w:r>
              <w:rPr>
                <w:sz w:val="16"/>
              </w:rPr>
              <w:t>28</w:t>
            </w:r>
            <w:r>
              <w:rPr>
                <w:rFonts w:ascii="宋体" w:eastAsia="宋体" w:hint="eastAsia"/>
                <w:sz w:val="16"/>
              </w:rPr>
              <w:t>日</w:t>
            </w:r>
          </w:p>
        </w:tc>
        <w:tc>
          <w:tcPr>
            <w:tcW w:w="1693" w:type="dxa"/>
            <w:tcBorders>
              <w:top w:val="single" w:sz="4" w:space="0" w:color="9AC6CD"/>
              <w:bottom w:val="single" w:sz="4" w:space="0" w:color="9AC6CD"/>
            </w:tcBorders>
          </w:tcPr>
          <w:p>
            <w:pPr>
              <w:pStyle w:val="TableParagraph"/>
              <w:spacing w:before="12"/>
              <w:ind w:right="40"/>
              <w:rPr>
                <w:rFonts w:ascii="宋体" w:eastAsia="宋体" w:hint="eastAsia"/>
                <w:sz w:val="16"/>
              </w:rPr>
            </w:pPr>
            <w:r>
              <w:rPr>
                <w:rFonts w:ascii="宋体" w:eastAsia="宋体" w:hint="eastAsia"/>
                <w:sz w:val="16"/>
              </w:rPr>
              <w:t>运营商</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shd w:val="clear" w:color="auto" w:fill="DDEBED"/>
          </w:tcPr>
          <w:p>
            <w:pPr>
              <w:pStyle w:val="TableParagraph"/>
              <w:spacing w:before="52"/>
              <w:ind w:left="17"/>
              <w:jc w:val="left"/>
              <w:rPr>
                <w:sz w:val="16"/>
              </w:rPr>
            </w:pPr>
            <w:r>
              <w:rPr>
                <w:sz w:val="16"/>
              </w:rPr>
              <w:t>836 HK</w:t>
            </w:r>
          </w:p>
        </w:tc>
        <w:tc>
          <w:tcPr>
            <w:tcW w:w="1560" w:type="dxa"/>
            <w:tcBorders>
              <w:top w:val="single" w:sz="4" w:space="0" w:color="9AC6CD"/>
              <w:bottom w:val="single" w:sz="4" w:space="0" w:color="9AC6CD"/>
            </w:tcBorders>
            <w:shd w:val="clear" w:color="auto" w:fill="DDEBED"/>
          </w:tcPr>
          <w:p>
            <w:pPr>
              <w:pStyle w:val="TableParagraph"/>
              <w:spacing w:before="12"/>
              <w:ind w:right="370"/>
              <w:rPr>
                <w:rFonts w:ascii="宋体" w:eastAsia="宋体" w:hint="eastAsia"/>
                <w:sz w:val="16"/>
              </w:rPr>
            </w:pPr>
            <w:r>
              <w:rPr>
                <w:rFonts w:ascii="宋体" w:eastAsia="宋体" w:hint="eastAsia"/>
                <w:sz w:val="16"/>
              </w:rPr>
              <w:t>华润电力</w:t>
            </w:r>
          </w:p>
        </w:tc>
        <w:tc>
          <w:tcPr>
            <w:tcW w:w="859" w:type="dxa"/>
            <w:tcBorders>
              <w:top w:val="single" w:sz="4" w:space="0" w:color="9AC6CD"/>
              <w:bottom w:val="single" w:sz="4" w:space="0" w:color="9AC6CD"/>
            </w:tcBorders>
            <w:shd w:val="clear" w:color="auto" w:fill="DDEBED"/>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shd w:val="clear" w:color="auto" w:fill="DDEBED"/>
          </w:tcPr>
          <w:p>
            <w:pPr>
              <w:pStyle w:val="TableParagraph"/>
              <w:spacing w:before="52"/>
              <w:ind w:right="165"/>
              <w:rPr>
                <w:sz w:val="16"/>
              </w:rPr>
            </w:pPr>
            <w:r>
              <w:rPr>
                <w:sz w:val="16"/>
              </w:rPr>
              <w:t>18.26</w:t>
            </w:r>
          </w:p>
        </w:tc>
        <w:tc>
          <w:tcPr>
            <w:tcW w:w="1107" w:type="dxa"/>
            <w:tcBorders>
              <w:top w:val="single" w:sz="4" w:space="0" w:color="9AC6CD"/>
              <w:bottom w:val="single" w:sz="4" w:space="0" w:color="9AC6CD"/>
            </w:tcBorders>
            <w:shd w:val="clear" w:color="auto" w:fill="DDEBED"/>
          </w:tcPr>
          <w:p>
            <w:pPr>
              <w:pStyle w:val="TableParagraph"/>
              <w:spacing w:before="52"/>
              <w:ind w:right="209"/>
              <w:rPr>
                <w:sz w:val="16"/>
              </w:rPr>
            </w:pPr>
            <w:r>
              <w:rPr>
                <w:sz w:val="16"/>
              </w:rPr>
              <w:t>21.14</w:t>
            </w:r>
          </w:p>
        </w:tc>
        <w:tc>
          <w:tcPr>
            <w:tcW w:w="1195" w:type="dxa"/>
            <w:tcBorders>
              <w:top w:val="single" w:sz="4" w:space="0" w:color="9AC6CD"/>
              <w:bottom w:val="single" w:sz="4" w:space="0" w:color="9AC6CD"/>
            </w:tcBorders>
            <w:shd w:val="clear" w:color="auto" w:fill="DDEBED"/>
          </w:tcPr>
          <w:p>
            <w:pPr>
              <w:pStyle w:val="TableParagraph"/>
              <w:spacing w:before="52"/>
              <w:ind w:right="340"/>
              <w:rPr>
                <w:sz w:val="16"/>
              </w:rPr>
            </w:pPr>
            <w:r>
              <w:rPr>
                <w:sz w:val="16"/>
              </w:rPr>
              <w:t>15.8%</w:t>
            </w:r>
          </w:p>
        </w:tc>
        <w:tc>
          <w:tcPr>
            <w:tcW w:w="1550" w:type="dxa"/>
            <w:tcBorders>
              <w:top w:val="single" w:sz="4" w:space="0" w:color="9AC6CD"/>
              <w:bottom w:val="single" w:sz="4" w:space="0" w:color="9AC6CD"/>
            </w:tcBorders>
            <w:shd w:val="clear" w:color="auto" w:fill="DDEBED"/>
          </w:tcPr>
          <w:p>
            <w:pPr>
              <w:pStyle w:val="TableParagraph"/>
              <w:spacing w:before="12"/>
              <w:ind w:right="47"/>
              <w:rPr>
                <w:rFonts w:ascii="宋体" w:eastAsia="宋体" w:hint="eastAsia"/>
                <w:sz w:val="16"/>
              </w:rPr>
            </w:pPr>
            <w:r>
              <w:rPr>
                <w:sz w:val="16"/>
              </w:rPr>
              <w:t>2023</w:t>
            </w:r>
            <w:r>
              <w:rPr>
                <w:rFonts w:ascii="宋体" w:eastAsia="宋体" w:hint="eastAsia"/>
                <w:sz w:val="16"/>
              </w:rPr>
              <w:t>年</w:t>
            </w:r>
            <w:r>
              <w:rPr>
                <w:sz w:val="16"/>
              </w:rPr>
              <w:t>08</w:t>
            </w:r>
            <w:r>
              <w:rPr>
                <w:rFonts w:ascii="宋体" w:eastAsia="宋体" w:hint="eastAsia"/>
                <w:sz w:val="16"/>
              </w:rPr>
              <w:t>月</w:t>
            </w:r>
            <w:r>
              <w:rPr>
                <w:sz w:val="16"/>
              </w:rPr>
              <w:t>23</w:t>
            </w:r>
            <w:r>
              <w:rPr>
                <w:rFonts w:ascii="宋体" w:eastAsia="宋体" w:hint="eastAsia"/>
                <w:sz w:val="16"/>
              </w:rPr>
              <w:t>日</w:t>
            </w:r>
          </w:p>
        </w:tc>
        <w:tc>
          <w:tcPr>
            <w:tcW w:w="1693" w:type="dxa"/>
            <w:tcBorders>
              <w:top w:val="single" w:sz="4" w:space="0" w:color="9AC6CD"/>
              <w:bottom w:val="single" w:sz="4" w:space="0" w:color="9AC6CD"/>
            </w:tcBorders>
            <w:shd w:val="clear" w:color="auto" w:fill="DDEBED"/>
          </w:tcPr>
          <w:p>
            <w:pPr>
              <w:pStyle w:val="TableParagraph"/>
              <w:spacing w:before="12"/>
              <w:ind w:right="40"/>
              <w:rPr>
                <w:rFonts w:ascii="宋体" w:eastAsia="宋体" w:hint="eastAsia"/>
                <w:sz w:val="16"/>
              </w:rPr>
            </w:pPr>
            <w:r>
              <w:rPr>
                <w:rFonts w:ascii="宋体" w:eastAsia="宋体" w:hint="eastAsia"/>
                <w:sz w:val="16"/>
              </w:rPr>
              <w:t>运营商</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tcPr>
          <w:p>
            <w:pPr>
              <w:pStyle w:val="TableParagraph"/>
              <w:spacing w:before="52"/>
              <w:ind w:left="17"/>
              <w:jc w:val="left"/>
              <w:rPr>
                <w:sz w:val="16"/>
              </w:rPr>
            </w:pPr>
            <w:r>
              <w:rPr>
                <w:sz w:val="16"/>
              </w:rPr>
              <w:t>1799 HK</w:t>
            </w:r>
          </w:p>
        </w:tc>
        <w:tc>
          <w:tcPr>
            <w:tcW w:w="1560" w:type="dxa"/>
            <w:tcBorders>
              <w:top w:val="single" w:sz="4" w:space="0" w:color="9AC6CD"/>
              <w:bottom w:val="single" w:sz="4" w:space="0" w:color="9AC6CD"/>
            </w:tcBorders>
          </w:tcPr>
          <w:p>
            <w:pPr>
              <w:pStyle w:val="TableParagraph"/>
              <w:spacing w:before="12"/>
              <w:ind w:right="370"/>
              <w:rPr>
                <w:rFonts w:ascii="宋体" w:eastAsia="宋体" w:hint="eastAsia"/>
                <w:sz w:val="16"/>
              </w:rPr>
            </w:pPr>
            <w:r>
              <w:rPr>
                <w:rFonts w:ascii="宋体" w:eastAsia="宋体" w:hint="eastAsia"/>
                <w:sz w:val="16"/>
              </w:rPr>
              <w:t>新特能源</w:t>
            </w:r>
          </w:p>
        </w:tc>
        <w:tc>
          <w:tcPr>
            <w:tcW w:w="859" w:type="dxa"/>
            <w:tcBorders>
              <w:top w:val="single" w:sz="4" w:space="0" w:color="9AC6CD"/>
              <w:bottom w:val="single" w:sz="4" w:space="0" w:color="9AC6CD"/>
            </w:tcBorders>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tcPr>
          <w:p>
            <w:pPr>
              <w:pStyle w:val="TableParagraph"/>
              <w:spacing w:before="52"/>
              <w:ind w:right="165"/>
              <w:rPr>
                <w:sz w:val="16"/>
              </w:rPr>
            </w:pPr>
            <w:r>
              <w:rPr>
                <w:sz w:val="16"/>
              </w:rPr>
              <w:t>11.26</w:t>
            </w:r>
          </w:p>
        </w:tc>
        <w:tc>
          <w:tcPr>
            <w:tcW w:w="1107" w:type="dxa"/>
            <w:tcBorders>
              <w:top w:val="single" w:sz="4" w:space="0" w:color="9AC6CD"/>
              <w:bottom w:val="single" w:sz="4" w:space="0" w:color="9AC6CD"/>
            </w:tcBorders>
          </w:tcPr>
          <w:p>
            <w:pPr>
              <w:pStyle w:val="TableParagraph"/>
              <w:spacing w:before="52"/>
              <w:ind w:right="209"/>
              <w:rPr>
                <w:sz w:val="16"/>
              </w:rPr>
            </w:pPr>
            <w:r>
              <w:rPr>
                <w:sz w:val="16"/>
              </w:rPr>
              <w:t>13.50</w:t>
            </w:r>
          </w:p>
        </w:tc>
        <w:tc>
          <w:tcPr>
            <w:tcW w:w="1195" w:type="dxa"/>
            <w:tcBorders>
              <w:top w:val="single" w:sz="4" w:space="0" w:color="9AC6CD"/>
              <w:bottom w:val="single" w:sz="4" w:space="0" w:color="9AC6CD"/>
            </w:tcBorders>
          </w:tcPr>
          <w:p>
            <w:pPr>
              <w:pStyle w:val="TableParagraph"/>
              <w:spacing w:before="52"/>
              <w:ind w:right="340"/>
              <w:rPr>
                <w:sz w:val="16"/>
              </w:rPr>
            </w:pPr>
            <w:r>
              <w:rPr>
                <w:sz w:val="16"/>
              </w:rPr>
              <w:t>19.9%</w:t>
            </w:r>
          </w:p>
        </w:tc>
        <w:tc>
          <w:tcPr>
            <w:tcW w:w="1550" w:type="dxa"/>
            <w:tcBorders>
              <w:top w:val="single" w:sz="4" w:space="0" w:color="9AC6CD"/>
              <w:bottom w:val="single" w:sz="4" w:space="0" w:color="9AC6CD"/>
            </w:tcBorders>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01</w:t>
            </w:r>
            <w:r>
              <w:rPr>
                <w:rFonts w:ascii="宋体" w:eastAsia="宋体" w:hint="eastAsia"/>
                <w:sz w:val="16"/>
              </w:rPr>
              <w:t>月</w:t>
            </w:r>
            <w:r>
              <w:rPr>
                <w:sz w:val="16"/>
              </w:rPr>
              <w:t>25</w:t>
            </w:r>
            <w:r>
              <w:rPr>
                <w:rFonts w:ascii="宋体" w:eastAsia="宋体" w:hint="eastAsia"/>
                <w:sz w:val="16"/>
              </w:rPr>
              <w:t>日</w:t>
            </w:r>
          </w:p>
        </w:tc>
        <w:tc>
          <w:tcPr>
            <w:tcW w:w="1693" w:type="dxa"/>
            <w:tcBorders>
              <w:top w:val="single" w:sz="4" w:space="0" w:color="9AC6CD"/>
              <w:bottom w:val="single" w:sz="4" w:space="0" w:color="9AC6CD"/>
            </w:tcBorders>
          </w:tcPr>
          <w:p>
            <w:pPr>
              <w:pStyle w:val="TableParagraph"/>
              <w:spacing w:before="12"/>
              <w:ind w:right="40"/>
              <w:rPr>
                <w:rFonts w:ascii="宋体" w:eastAsia="宋体" w:hint="eastAsia"/>
                <w:sz w:val="16"/>
              </w:rPr>
            </w:pPr>
            <w:r>
              <w:rPr>
                <w:rFonts w:ascii="宋体" w:eastAsia="宋体" w:hint="eastAsia"/>
                <w:sz w:val="16"/>
              </w:rPr>
              <w:t>光伏制造（多晶硅）</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shd w:val="clear" w:color="auto" w:fill="DDEBED"/>
          </w:tcPr>
          <w:p>
            <w:pPr>
              <w:pStyle w:val="TableParagraph"/>
              <w:spacing w:before="52"/>
              <w:ind w:left="17"/>
              <w:jc w:val="left"/>
              <w:rPr>
                <w:sz w:val="16"/>
              </w:rPr>
            </w:pPr>
            <w:r>
              <w:rPr>
                <w:sz w:val="16"/>
              </w:rPr>
              <w:t>3800 HK</w:t>
            </w:r>
          </w:p>
        </w:tc>
        <w:tc>
          <w:tcPr>
            <w:tcW w:w="1560" w:type="dxa"/>
            <w:tcBorders>
              <w:top w:val="single" w:sz="4" w:space="0" w:color="9AC6CD"/>
              <w:bottom w:val="single" w:sz="4" w:space="0" w:color="9AC6CD"/>
            </w:tcBorders>
            <w:shd w:val="clear" w:color="auto" w:fill="DDEBED"/>
          </w:tcPr>
          <w:p>
            <w:pPr>
              <w:pStyle w:val="TableParagraph"/>
              <w:spacing w:before="12"/>
              <w:ind w:right="370"/>
              <w:rPr>
                <w:rFonts w:ascii="宋体" w:eastAsia="宋体" w:hint="eastAsia"/>
                <w:sz w:val="16"/>
              </w:rPr>
            </w:pPr>
            <w:r>
              <w:rPr>
                <w:rFonts w:ascii="宋体" w:eastAsia="宋体" w:hint="eastAsia"/>
                <w:sz w:val="16"/>
              </w:rPr>
              <w:t>协鑫科技</w:t>
            </w:r>
          </w:p>
        </w:tc>
        <w:tc>
          <w:tcPr>
            <w:tcW w:w="859" w:type="dxa"/>
            <w:tcBorders>
              <w:top w:val="single" w:sz="4" w:space="0" w:color="9AC6CD"/>
              <w:bottom w:val="single" w:sz="4" w:space="0" w:color="9AC6CD"/>
            </w:tcBorders>
            <w:shd w:val="clear" w:color="auto" w:fill="DDEBED"/>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shd w:val="clear" w:color="auto" w:fill="DDEBED"/>
          </w:tcPr>
          <w:p>
            <w:pPr>
              <w:pStyle w:val="TableParagraph"/>
              <w:spacing w:before="52"/>
              <w:ind w:right="165"/>
              <w:rPr>
                <w:sz w:val="16"/>
              </w:rPr>
            </w:pPr>
            <w:r>
              <w:rPr>
                <w:sz w:val="16"/>
              </w:rPr>
              <w:t>1.22</w:t>
            </w:r>
          </w:p>
        </w:tc>
        <w:tc>
          <w:tcPr>
            <w:tcW w:w="1107" w:type="dxa"/>
            <w:tcBorders>
              <w:top w:val="single" w:sz="4" w:space="0" w:color="9AC6CD"/>
              <w:bottom w:val="single" w:sz="4" w:space="0" w:color="9AC6CD"/>
            </w:tcBorders>
            <w:shd w:val="clear" w:color="auto" w:fill="DDEBED"/>
          </w:tcPr>
          <w:p>
            <w:pPr>
              <w:pStyle w:val="TableParagraph"/>
              <w:spacing w:before="52"/>
              <w:ind w:right="209"/>
              <w:rPr>
                <w:sz w:val="16"/>
              </w:rPr>
            </w:pPr>
            <w:r>
              <w:rPr>
                <w:sz w:val="16"/>
              </w:rPr>
              <w:t>1.56</w:t>
            </w:r>
          </w:p>
        </w:tc>
        <w:tc>
          <w:tcPr>
            <w:tcW w:w="1195" w:type="dxa"/>
            <w:tcBorders>
              <w:top w:val="single" w:sz="4" w:space="0" w:color="9AC6CD"/>
              <w:bottom w:val="single" w:sz="4" w:space="0" w:color="9AC6CD"/>
            </w:tcBorders>
            <w:shd w:val="clear" w:color="auto" w:fill="DDEBED"/>
          </w:tcPr>
          <w:p>
            <w:pPr>
              <w:pStyle w:val="TableParagraph"/>
              <w:spacing w:before="52"/>
              <w:ind w:right="340"/>
              <w:rPr>
                <w:sz w:val="16"/>
              </w:rPr>
            </w:pPr>
            <w:r>
              <w:rPr>
                <w:sz w:val="16"/>
              </w:rPr>
              <w:t>27.9%</w:t>
            </w:r>
          </w:p>
        </w:tc>
        <w:tc>
          <w:tcPr>
            <w:tcW w:w="1550" w:type="dxa"/>
            <w:tcBorders>
              <w:top w:val="single" w:sz="4" w:space="0" w:color="9AC6CD"/>
              <w:bottom w:val="single" w:sz="4" w:space="0" w:color="9AC6CD"/>
            </w:tcBorders>
            <w:shd w:val="clear" w:color="auto" w:fill="DDEBED"/>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01</w:t>
            </w:r>
            <w:r>
              <w:rPr>
                <w:rFonts w:ascii="宋体" w:eastAsia="宋体" w:hint="eastAsia"/>
                <w:sz w:val="16"/>
              </w:rPr>
              <w:t>月</w:t>
            </w:r>
            <w:r>
              <w:rPr>
                <w:sz w:val="16"/>
              </w:rPr>
              <w:t>05</w:t>
            </w:r>
            <w:r>
              <w:rPr>
                <w:rFonts w:ascii="宋体" w:eastAsia="宋体" w:hint="eastAsia"/>
                <w:sz w:val="16"/>
              </w:rPr>
              <w:t>日</w:t>
            </w:r>
          </w:p>
        </w:tc>
        <w:tc>
          <w:tcPr>
            <w:tcW w:w="1693" w:type="dxa"/>
            <w:tcBorders>
              <w:top w:val="single" w:sz="4" w:space="0" w:color="9AC6CD"/>
              <w:bottom w:val="single" w:sz="4" w:space="0" w:color="9AC6CD"/>
            </w:tcBorders>
            <w:shd w:val="clear" w:color="auto" w:fill="DDEBED"/>
          </w:tcPr>
          <w:p>
            <w:pPr>
              <w:pStyle w:val="TableParagraph"/>
              <w:spacing w:before="12"/>
              <w:ind w:right="40"/>
              <w:rPr>
                <w:rFonts w:ascii="宋体" w:eastAsia="宋体" w:hint="eastAsia"/>
                <w:sz w:val="16"/>
              </w:rPr>
            </w:pPr>
            <w:r>
              <w:rPr>
                <w:rFonts w:ascii="宋体" w:eastAsia="宋体" w:hint="eastAsia"/>
                <w:sz w:val="16"/>
              </w:rPr>
              <w:t>光伏制造（多晶硅）</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tcPr>
          <w:p>
            <w:pPr>
              <w:pStyle w:val="TableParagraph"/>
              <w:spacing w:before="52"/>
              <w:ind w:left="17"/>
              <w:jc w:val="left"/>
              <w:rPr>
                <w:sz w:val="16"/>
              </w:rPr>
            </w:pPr>
            <w:r>
              <w:rPr>
                <w:sz w:val="16"/>
              </w:rPr>
              <w:t>968 HK</w:t>
            </w:r>
          </w:p>
        </w:tc>
        <w:tc>
          <w:tcPr>
            <w:tcW w:w="1560" w:type="dxa"/>
            <w:tcBorders>
              <w:top w:val="single" w:sz="4" w:space="0" w:color="9AC6CD"/>
              <w:bottom w:val="single" w:sz="4" w:space="0" w:color="9AC6CD"/>
            </w:tcBorders>
          </w:tcPr>
          <w:p>
            <w:pPr>
              <w:pStyle w:val="TableParagraph"/>
              <w:spacing w:before="12"/>
              <w:ind w:right="370"/>
              <w:rPr>
                <w:rFonts w:ascii="宋体" w:eastAsia="宋体" w:hint="eastAsia"/>
                <w:sz w:val="16"/>
              </w:rPr>
            </w:pPr>
            <w:r>
              <w:rPr>
                <w:rFonts w:ascii="宋体" w:eastAsia="宋体" w:hint="eastAsia"/>
                <w:sz w:val="16"/>
              </w:rPr>
              <w:t>信义光能</w:t>
            </w:r>
          </w:p>
        </w:tc>
        <w:tc>
          <w:tcPr>
            <w:tcW w:w="859" w:type="dxa"/>
            <w:tcBorders>
              <w:top w:val="single" w:sz="4" w:space="0" w:color="9AC6CD"/>
              <w:bottom w:val="single" w:sz="4" w:space="0" w:color="9AC6CD"/>
            </w:tcBorders>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tcPr>
          <w:p>
            <w:pPr>
              <w:pStyle w:val="TableParagraph"/>
              <w:spacing w:before="52"/>
              <w:ind w:right="165"/>
              <w:rPr>
                <w:sz w:val="16"/>
              </w:rPr>
            </w:pPr>
            <w:r>
              <w:rPr>
                <w:sz w:val="16"/>
              </w:rPr>
              <w:t>5.91</w:t>
            </w:r>
          </w:p>
        </w:tc>
        <w:tc>
          <w:tcPr>
            <w:tcW w:w="1107" w:type="dxa"/>
            <w:tcBorders>
              <w:top w:val="single" w:sz="4" w:space="0" w:color="9AC6CD"/>
              <w:bottom w:val="single" w:sz="4" w:space="0" w:color="9AC6CD"/>
            </w:tcBorders>
          </w:tcPr>
          <w:p>
            <w:pPr>
              <w:pStyle w:val="TableParagraph"/>
              <w:spacing w:before="52"/>
              <w:ind w:right="209"/>
              <w:rPr>
                <w:sz w:val="16"/>
              </w:rPr>
            </w:pPr>
            <w:r>
              <w:rPr>
                <w:sz w:val="16"/>
              </w:rPr>
              <w:t>5.93</w:t>
            </w:r>
          </w:p>
        </w:tc>
        <w:tc>
          <w:tcPr>
            <w:tcW w:w="1195" w:type="dxa"/>
            <w:tcBorders>
              <w:top w:val="single" w:sz="4" w:space="0" w:color="9AC6CD"/>
              <w:bottom w:val="single" w:sz="4" w:space="0" w:color="9AC6CD"/>
            </w:tcBorders>
          </w:tcPr>
          <w:p>
            <w:pPr>
              <w:pStyle w:val="TableParagraph"/>
              <w:spacing w:before="52"/>
              <w:ind w:right="340"/>
              <w:rPr>
                <w:sz w:val="16"/>
              </w:rPr>
            </w:pPr>
            <w:r>
              <w:rPr>
                <w:sz w:val="16"/>
              </w:rPr>
              <w:t>0.3%</w:t>
            </w:r>
          </w:p>
        </w:tc>
        <w:tc>
          <w:tcPr>
            <w:tcW w:w="1550" w:type="dxa"/>
            <w:tcBorders>
              <w:top w:val="single" w:sz="4" w:space="0" w:color="9AC6CD"/>
              <w:bottom w:val="single" w:sz="4" w:space="0" w:color="9AC6CD"/>
            </w:tcBorders>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02</w:t>
            </w:r>
            <w:r>
              <w:rPr>
                <w:rFonts w:ascii="宋体" w:eastAsia="宋体" w:hint="eastAsia"/>
                <w:sz w:val="16"/>
              </w:rPr>
              <w:t>月</w:t>
            </w:r>
            <w:r>
              <w:rPr>
                <w:sz w:val="16"/>
              </w:rPr>
              <w:t>29</w:t>
            </w:r>
            <w:r>
              <w:rPr>
                <w:rFonts w:ascii="宋体" w:eastAsia="宋体" w:hint="eastAsia"/>
                <w:sz w:val="16"/>
              </w:rPr>
              <w:t>日</w:t>
            </w:r>
          </w:p>
        </w:tc>
        <w:tc>
          <w:tcPr>
            <w:tcW w:w="1693" w:type="dxa"/>
            <w:tcBorders>
              <w:top w:val="single" w:sz="4" w:space="0" w:color="9AC6CD"/>
              <w:bottom w:val="single" w:sz="4" w:space="0" w:color="9AC6CD"/>
            </w:tcBorders>
          </w:tcPr>
          <w:p>
            <w:pPr>
              <w:pStyle w:val="TableParagraph"/>
              <w:spacing w:before="12"/>
              <w:ind w:right="40"/>
              <w:rPr>
                <w:rFonts w:ascii="宋体" w:eastAsia="宋体" w:hint="eastAsia"/>
                <w:sz w:val="16"/>
              </w:rPr>
            </w:pPr>
            <w:r>
              <w:rPr>
                <w:rFonts w:ascii="宋体" w:eastAsia="宋体" w:hint="eastAsia"/>
                <w:sz w:val="16"/>
              </w:rPr>
              <w:t>光伏制造（光伏玻璃）</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shd w:val="clear" w:color="auto" w:fill="DDEBED"/>
          </w:tcPr>
          <w:p>
            <w:pPr>
              <w:pStyle w:val="TableParagraph"/>
              <w:spacing w:before="52"/>
              <w:ind w:left="17"/>
              <w:jc w:val="left"/>
              <w:rPr>
                <w:sz w:val="16"/>
              </w:rPr>
            </w:pPr>
            <w:r>
              <w:rPr>
                <w:sz w:val="16"/>
              </w:rPr>
              <w:t>6865 HK</w:t>
            </w:r>
          </w:p>
        </w:tc>
        <w:tc>
          <w:tcPr>
            <w:tcW w:w="1560" w:type="dxa"/>
            <w:tcBorders>
              <w:top w:val="single" w:sz="4" w:space="0" w:color="9AC6CD"/>
              <w:bottom w:val="single" w:sz="4" w:space="0" w:color="9AC6CD"/>
            </w:tcBorders>
            <w:shd w:val="clear" w:color="auto" w:fill="DDEBED"/>
          </w:tcPr>
          <w:p>
            <w:pPr>
              <w:pStyle w:val="TableParagraph"/>
              <w:spacing w:before="12"/>
              <w:ind w:right="370"/>
              <w:rPr>
                <w:rFonts w:ascii="宋体" w:eastAsia="宋体" w:hint="eastAsia"/>
                <w:sz w:val="16"/>
              </w:rPr>
            </w:pPr>
            <w:r>
              <w:rPr>
                <w:rFonts w:ascii="宋体" w:eastAsia="宋体" w:hint="eastAsia"/>
                <w:sz w:val="16"/>
              </w:rPr>
              <w:t>福莱特玻璃</w:t>
            </w:r>
          </w:p>
        </w:tc>
        <w:tc>
          <w:tcPr>
            <w:tcW w:w="859" w:type="dxa"/>
            <w:tcBorders>
              <w:top w:val="single" w:sz="4" w:space="0" w:color="9AC6CD"/>
              <w:bottom w:val="single" w:sz="4" w:space="0" w:color="9AC6CD"/>
            </w:tcBorders>
            <w:shd w:val="clear" w:color="auto" w:fill="DDEBED"/>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shd w:val="clear" w:color="auto" w:fill="DDEBED"/>
          </w:tcPr>
          <w:p>
            <w:pPr>
              <w:pStyle w:val="TableParagraph"/>
              <w:spacing w:before="52"/>
              <w:ind w:right="165"/>
              <w:rPr>
                <w:sz w:val="16"/>
              </w:rPr>
            </w:pPr>
            <w:r>
              <w:rPr>
                <w:sz w:val="16"/>
              </w:rPr>
              <w:t>18.54</w:t>
            </w:r>
          </w:p>
        </w:tc>
        <w:tc>
          <w:tcPr>
            <w:tcW w:w="1107" w:type="dxa"/>
            <w:tcBorders>
              <w:top w:val="single" w:sz="4" w:space="0" w:color="9AC6CD"/>
              <w:bottom w:val="single" w:sz="4" w:space="0" w:color="9AC6CD"/>
            </w:tcBorders>
            <w:shd w:val="clear" w:color="auto" w:fill="DDEBED"/>
          </w:tcPr>
          <w:p>
            <w:pPr>
              <w:pStyle w:val="TableParagraph"/>
              <w:spacing w:before="52"/>
              <w:ind w:right="209"/>
              <w:rPr>
                <w:sz w:val="16"/>
              </w:rPr>
            </w:pPr>
            <w:r>
              <w:rPr>
                <w:sz w:val="16"/>
              </w:rPr>
              <w:t>19.00</w:t>
            </w:r>
          </w:p>
        </w:tc>
        <w:tc>
          <w:tcPr>
            <w:tcW w:w="1195" w:type="dxa"/>
            <w:tcBorders>
              <w:top w:val="single" w:sz="4" w:space="0" w:color="9AC6CD"/>
              <w:bottom w:val="single" w:sz="4" w:space="0" w:color="9AC6CD"/>
            </w:tcBorders>
            <w:shd w:val="clear" w:color="auto" w:fill="DDEBED"/>
          </w:tcPr>
          <w:p>
            <w:pPr>
              <w:pStyle w:val="TableParagraph"/>
              <w:spacing w:before="52"/>
              <w:ind w:right="340"/>
              <w:rPr>
                <w:sz w:val="16"/>
              </w:rPr>
            </w:pPr>
            <w:r>
              <w:rPr>
                <w:sz w:val="16"/>
              </w:rPr>
              <w:t>2.5%</w:t>
            </w:r>
          </w:p>
        </w:tc>
        <w:tc>
          <w:tcPr>
            <w:tcW w:w="1550" w:type="dxa"/>
            <w:tcBorders>
              <w:top w:val="single" w:sz="4" w:space="0" w:color="9AC6CD"/>
              <w:bottom w:val="single" w:sz="4" w:space="0" w:color="9AC6CD"/>
            </w:tcBorders>
            <w:shd w:val="clear" w:color="auto" w:fill="DDEBED"/>
          </w:tcPr>
          <w:p>
            <w:pPr>
              <w:pStyle w:val="TableParagraph"/>
              <w:spacing w:before="12"/>
              <w:ind w:right="47"/>
              <w:rPr>
                <w:rFonts w:ascii="宋体" w:eastAsia="宋体" w:hint="eastAsia"/>
                <w:sz w:val="16"/>
              </w:rPr>
            </w:pPr>
            <w:r>
              <w:rPr>
                <w:sz w:val="16"/>
              </w:rPr>
              <w:t>2023</w:t>
            </w:r>
            <w:r>
              <w:rPr>
                <w:rFonts w:ascii="宋体" w:eastAsia="宋体" w:hint="eastAsia"/>
                <w:sz w:val="16"/>
              </w:rPr>
              <w:t>年</w:t>
            </w:r>
            <w:r>
              <w:rPr>
                <w:sz w:val="16"/>
              </w:rPr>
              <w:t>11</w:t>
            </w:r>
            <w:r>
              <w:rPr>
                <w:rFonts w:ascii="宋体" w:eastAsia="宋体" w:hint="eastAsia"/>
                <w:sz w:val="16"/>
              </w:rPr>
              <w:t>月</w:t>
            </w:r>
            <w:r>
              <w:rPr>
                <w:sz w:val="16"/>
              </w:rPr>
              <w:t>01</w:t>
            </w:r>
            <w:r>
              <w:rPr>
                <w:rFonts w:ascii="宋体" w:eastAsia="宋体" w:hint="eastAsia"/>
                <w:sz w:val="16"/>
              </w:rPr>
              <w:t>日</w:t>
            </w:r>
          </w:p>
        </w:tc>
        <w:tc>
          <w:tcPr>
            <w:tcW w:w="1693" w:type="dxa"/>
            <w:tcBorders>
              <w:top w:val="single" w:sz="4" w:space="0" w:color="9AC6CD"/>
              <w:bottom w:val="single" w:sz="4" w:space="0" w:color="9AC6CD"/>
            </w:tcBorders>
            <w:shd w:val="clear" w:color="auto" w:fill="DDEBED"/>
          </w:tcPr>
          <w:p>
            <w:pPr>
              <w:pStyle w:val="TableParagraph"/>
              <w:spacing w:before="12"/>
              <w:ind w:right="40"/>
              <w:rPr>
                <w:rFonts w:ascii="宋体" w:eastAsia="宋体" w:hint="eastAsia"/>
                <w:sz w:val="16"/>
              </w:rPr>
            </w:pPr>
            <w:r>
              <w:rPr>
                <w:rFonts w:ascii="宋体" w:eastAsia="宋体" w:hint="eastAsia"/>
                <w:sz w:val="16"/>
              </w:rPr>
              <w:t>光伏制造（光伏玻璃）</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tcPr>
          <w:p>
            <w:pPr>
              <w:pStyle w:val="TableParagraph"/>
              <w:spacing w:before="52"/>
              <w:ind w:left="17"/>
              <w:jc w:val="left"/>
              <w:rPr>
                <w:sz w:val="16"/>
              </w:rPr>
            </w:pPr>
            <w:r>
              <w:rPr>
                <w:sz w:val="16"/>
              </w:rPr>
              <w:t>1108 HK</w:t>
            </w:r>
          </w:p>
        </w:tc>
        <w:tc>
          <w:tcPr>
            <w:tcW w:w="1560" w:type="dxa"/>
            <w:tcBorders>
              <w:top w:val="single" w:sz="4" w:space="0" w:color="9AC6CD"/>
              <w:bottom w:val="single" w:sz="4" w:space="0" w:color="9AC6CD"/>
            </w:tcBorders>
          </w:tcPr>
          <w:p>
            <w:pPr>
              <w:pStyle w:val="TableParagraph"/>
              <w:spacing w:before="12"/>
              <w:ind w:right="370"/>
              <w:rPr>
                <w:rFonts w:ascii="宋体" w:eastAsia="宋体" w:hint="eastAsia"/>
                <w:sz w:val="16"/>
              </w:rPr>
            </w:pPr>
            <w:r>
              <w:rPr>
                <w:rFonts w:ascii="宋体" w:eastAsia="宋体" w:hint="eastAsia"/>
                <w:sz w:val="16"/>
              </w:rPr>
              <w:t>凯盛新能</w:t>
            </w:r>
          </w:p>
        </w:tc>
        <w:tc>
          <w:tcPr>
            <w:tcW w:w="859" w:type="dxa"/>
            <w:tcBorders>
              <w:top w:val="single" w:sz="4" w:space="0" w:color="9AC6CD"/>
              <w:bottom w:val="single" w:sz="4" w:space="0" w:color="9AC6CD"/>
            </w:tcBorders>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tcPr>
          <w:p>
            <w:pPr>
              <w:pStyle w:val="TableParagraph"/>
              <w:spacing w:before="52"/>
              <w:ind w:right="165"/>
              <w:rPr>
                <w:sz w:val="16"/>
              </w:rPr>
            </w:pPr>
            <w:r>
              <w:rPr>
                <w:sz w:val="16"/>
              </w:rPr>
              <w:t>5.60</w:t>
            </w:r>
          </w:p>
        </w:tc>
        <w:tc>
          <w:tcPr>
            <w:tcW w:w="1107" w:type="dxa"/>
            <w:tcBorders>
              <w:top w:val="single" w:sz="4" w:space="0" w:color="9AC6CD"/>
              <w:bottom w:val="single" w:sz="4" w:space="0" w:color="9AC6CD"/>
            </w:tcBorders>
          </w:tcPr>
          <w:p>
            <w:pPr>
              <w:pStyle w:val="TableParagraph"/>
              <w:spacing w:before="52"/>
              <w:ind w:right="209"/>
              <w:rPr>
                <w:sz w:val="16"/>
              </w:rPr>
            </w:pPr>
            <w:r>
              <w:rPr>
                <w:sz w:val="16"/>
              </w:rPr>
              <w:t>5.71</w:t>
            </w:r>
          </w:p>
        </w:tc>
        <w:tc>
          <w:tcPr>
            <w:tcW w:w="1195" w:type="dxa"/>
            <w:tcBorders>
              <w:top w:val="single" w:sz="4" w:space="0" w:color="9AC6CD"/>
              <w:bottom w:val="single" w:sz="4" w:space="0" w:color="9AC6CD"/>
            </w:tcBorders>
          </w:tcPr>
          <w:p>
            <w:pPr>
              <w:pStyle w:val="TableParagraph"/>
              <w:spacing w:before="52"/>
              <w:ind w:right="340"/>
              <w:rPr>
                <w:sz w:val="16"/>
              </w:rPr>
            </w:pPr>
            <w:r>
              <w:rPr>
                <w:sz w:val="16"/>
              </w:rPr>
              <w:t>2.0%</w:t>
            </w:r>
          </w:p>
        </w:tc>
        <w:tc>
          <w:tcPr>
            <w:tcW w:w="1550" w:type="dxa"/>
            <w:tcBorders>
              <w:top w:val="single" w:sz="4" w:space="0" w:color="9AC6CD"/>
              <w:bottom w:val="single" w:sz="4" w:space="0" w:color="9AC6CD"/>
            </w:tcBorders>
          </w:tcPr>
          <w:p>
            <w:pPr>
              <w:pStyle w:val="TableParagraph"/>
              <w:spacing w:before="12"/>
              <w:ind w:right="47"/>
              <w:rPr>
                <w:rFonts w:ascii="宋体" w:eastAsia="宋体" w:hint="eastAsia"/>
                <w:sz w:val="16"/>
              </w:rPr>
            </w:pPr>
            <w:r>
              <w:rPr>
                <w:sz w:val="16"/>
              </w:rPr>
              <w:t>2023</w:t>
            </w:r>
            <w:r>
              <w:rPr>
                <w:rFonts w:ascii="宋体" w:eastAsia="宋体" w:hint="eastAsia"/>
                <w:sz w:val="16"/>
              </w:rPr>
              <w:t>年</w:t>
            </w:r>
            <w:r>
              <w:rPr>
                <w:sz w:val="16"/>
              </w:rPr>
              <w:t>10</w:t>
            </w:r>
            <w:r>
              <w:rPr>
                <w:rFonts w:ascii="宋体" w:eastAsia="宋体" w:hint="eastAsia"/>
                <w:sz w:val="16"/>
              </w:rPr>
              <w:t>月</w:t>
            </w:r>
            <w:r>
              <w:rPr>
                <w:sz w:val="16"/>
              </w:rPr>
              <w:t>30</w:t>
            </w:r>
            <w:r>
              <w:rPr>
                <w:rFonts w:ascii="宋体" w:eastAsia="宋体" w:hint="eastAsia"/>
                <w:sz w:val="16"/>
              </w:rPr>
              <w:t>日</w:t>
            </w:r>
          </w:p>
        </w:tc>
        <w:tc>
          <w:tcPr>
            <w:tcW w:w="1693" w:type="dxa"/>
            <w:tcBorders>
              <w:top w:val="single" w:sz="4" w:space="0" w:color="9AC6CD"/>
              <w:bottom w:val="single" w:sz="4" w:space="0" w:color="9AC6CD"/>
            </w:tcBorders>
          </w:tcPr>
          <w:p>
            <w:pPr>
              <w:pStyle w:val="TableParagraph"/>
              <w:spacing w:before="12"/>
              <w:ind w:right="40"/>
              <w:rPr>
                <w:rFonts w:ascii="宋体" w:eastAsia="宋体" w:hint="eastAsia"/>
                <w:sz w:val="16"/>
              </w:rPr>
            </w:pPr>
            <w:r>
              <w:rPr>
                <w:rFonts w:ascii="宋体" w:eastAsia="宋体" w:hint="eastAsia"/>
                <w:sz w:val="16"/>
              </w:rPr>
              <w:t>光伏制造（光伏玻璃）</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shd w:val="clear" w:color="auto" w:fill="DDEBED"/>
          </w:tcPr>
          <w:p>
            <w:pPr>
              <w:pStyle w:val="TableParagraph"/>
              <w:spacing w:before="52"/>
              <w:ind w:left="17"/>
              <w:jc w:val="left"/>
              <w:rPr>
                <w:sz w:val="16"/>
              </w:rPr>
            </w:pPr>
            <w:r>
              <w:rPr>
                <w:sz w:val="16"/>
              </w:rPr>
              <w:t>3868 HK</w:t>
            </w:r>
          </w:p>
        </w:tc>
        <w:tc>
          <w:tcPr>
            <w:tcW w:w="1560" w:type="dxa"/>
            <w:tcBorders>
              <w:top w:val="single" w:sz="4" w:space="0" w:color="9AC6CD"/>
              <w:bottom w:val="single" w:sz="4" w:space="0" w:color="9AC6CD"/>
            </w:tcBorders>
            <w:shd w:val="clear" w:color="auto" w:fill="DDEBED"/>
          </w:tcPr>
          <w:p>
            <w:pPr>
              <w:pStyle w:val="TableParagraph"/>
              <w:spacing w:before="12"/>
              <w:ind w:right="370"/>
              <w:rPr>
                <w:rFonts w:ascii="宋体" w:eastAsia="宋体" w:hint="eastAsia"/>
                <w:sz w:val="16"/>
              </w:rPr>
            </w:pPr>
            <w:r>
              <w:rPr>
                <w:rFonts w:ascii="宋体" w:eastAsia="宋体" w:hint="eastAsia"/>
                <w:sz w:val="16"/>
              </w:rPr>
              <w:t>信义能源</w:t>
            </w:r>
          </w:p>
        </w:tc>
        <w:tc>
          <w:tcPr>
            <w:tcW w:w="859" w:type="dxa"/>
            <w:tcBorders>
              <w:top w:val="single" w:sz="4" w:space="0" w:color="9AC6CD"/>
              <w:bottom w:val="single" w:sz="4" w:space="0" w:color="9AC6CD"/>
            </w:tcBorders>
            <w:shd w:val="clear" w:color="auto" w:fill="DDEBED"/>
          </w:tcPr>
          <w:p>
            <w:pPr>
              <w:pStyle w:val="TableParagraph"/>
              <w:spacing w:before="12"/>
              <w:ind w:right="166"/>
              <w:rPr>
                <w:rFonts w:ascii="宋体" w:eastAsia="宋体" w:hint="eastAsia"/>
                <w:sz w:val="16"/>
              </w:rPr>
            </w:pPr>
            <w:r>
              <w:rPr>
                <w:rFonts w:ascii="宋体" w:eastAsia="宋体" w:hint="eastAsia"/>
                <w:sz w:val="16"/>
              </w:rPr>
              <w:t>中性</w:t>
            </w:r>
          </w:p>
        </w:tc>
        <w:tc>
          <w:tcPr>
            <w:tcW w:w="1063" w:type="dxa"/>
            <w:tcBorders>
              <w:top w:val="single" w:sz="4" w:space="0" w:color="9AC6CD"/>
              <w:bottom w:val="single" w:sz="4" w:space="0" w:color="9AC6CD"/>
            </w:tcBorders>
            <w:shd w:val="clear" w:color="auto" w:fill="DDEBED"/>
          </w:tcPr>
          <w:p>
            <w:pPr>
              <w:pStyle w:val="TableParagraph"/>
              <w:spacing w:before="52"/>
              <w:ind w:right="165"/>
              <w:rPr>
                <w:sz w:val="16"/>
              </w:rPr>
            </w:pPr>
            <w:r>
              <w:rPr>
                <w:sz w:val="16"/>
              </w:rPr>
              <w:t>1.11</w:t>
            </w:r>
          </w:p>
        </w:tc>
        <w:tc>
          <w:tcPr>
            <w:tcW w:w="1107" w:type="dxa"/>
            <w:tcBorders>
              <w:top w:val="single" w:sz="4" w:space="0" w:color="9AC6CD"/>
              <w:bottom w:val="single" w:sz="4" w:space="0" w:color="9AC6CD"/>
            </w:tcBorders>
            <w:shd w:val="clear" w:color="auto" w:fill="DDEBED"/>
          </w:tcPr>
          <w:p>
            <w:pPr>
              <w:pStyle w:val="TableParagraph"/>
              <w:spacing w:before="52"/>
              <w:ind w:right="209"/>
              <w:rPr>
                <w:sz w:val="16"/>
              </w:rPr>
            </w:pPr>
            <w:r>
              <w:rPr>
                <w:sz w:val="16"/>
              </w:rPr>
              <w:t>1.16</w:t>
            </w:r>
          </w:p>
        </w:tc>
        <w:tc>
          <w:tcPr>
            <w:tcW w:w="1195" w:type="dxa"/>
            <w:tcBorders>
              <w:top w:val="single" w:sz="4" w:space="0" w:color="9AC6CD"/>
              <w:bottom w:val="single" w:sz="4" w:space="0" w:color="9AC6CD"/>
            </w:tcBorders>
            <w:shd w:val="clear" w:color="auto" w:fill="DDEBED"/>
          </w:tcPr>
          <w:p>
            <w:pPr>
              <w:pStyle w:val="TableParagraph"/>
              <w:spacing w:before="52"/>
              <w:ind w:right="340"/>
              <w:rPr>
                <w:sz w:val="16"/>
              </w:rPr>
            </w:pPr>
            <w:r>
              <w:rPr>
                <w:sz w:val="16"/>
              </w:rPr>
              <w:t>4.5%</w:t>
            </w:r>
          </w:p>
        </w:tc>
        <w:tc>
          <w:tcPr>
            <w:tcW w:w="1550" w:type="dxa"/>
            <w:tcBorders>
              <w:top w:val="single" w:sz="4" w:space="0" w:color="9AC6CD"/>
              <w:bottom w:val="single" w:sz="4" w:space="0" w:color="9AC6CD"/>
            </w:tcBorders>
            <w:shd w:val="clear" w:color="auto" w:fill="DDEBED"/>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02</w:t>
            </w:r>
            <w:r>
              <w:rPr>
                <w:rFonts w:ascii="宋体" w:eastAsia="宋体" w:hint="eastAsia"/>
                <w:sz w:val="16"/>
              </w:rPr>
              <w:t>月</w:t>
            </w:r>
            <w:r>
              <w:rPr>
                <w:sz w:val="16"/>
              </w:rPr>
              <w:t>29</w:t>
            </w:r>
            <w:r>
              <w:rPr>
                <w:rFonts w:ascii="宋体" w:eastAsia="宋体" w:hint="eastAsia"/>
                <w:sz w:val="16"/>
              </w:rPr>
              <w:t>日</w:t>
            </w:r>
          </w:p>
        </w:tc>
        <w:tc>
          <w:tcPr>
            <w:tcW w:w="1693" w:type="dxa"/>
            <w:tcBorders>
              <w:top w:val="single" w:sz="4" w:space="0" w:color="9AC6CD"/>
              <w:bottom w:val="single" w:sz="4" w:space="0" w:color="9AC6CD"/>
            </w:tcBorders>
            <w:shd w:val="clear" w:color="auto" w:fill="DDEBED"/>
          </w:tcPr>
          <w:p>
            <w:pPr>
              <w:pStyle w:val="TableParagraph"/>
              <w:spacing w:before="12"/>
              <w:ind w:right="40"/>
              <w:rPr>
                <w:rFonts w:ascii="宋体" w:eastAsia="宋体" w:hint="eastAsia"/>
                <w:sz w:val="16"/>
              </w:rPr>
            </w:pPr>
            <w:r>
              <w:rPr>
                <w:rFonts w:ascii="宋体" w:eastAsia="宋体" w:hint="eastAsia"/>
                <w:sz w:val="16"/>
              </w:rPr>
              <w:t>新能源发电运营商</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9AC6CD"/>
            </w:tcBorders>
          </w:tcPr>
          <w:p>
            <w:pPr>
              <w:pStyle w:val="TableParagraph"/>
              <w:spacing w:before="52"/>
              <w:ind w:left="17"/>
              <w:jc w:val="left"/>
              <w:rPr>
                <w:sz w:val="16"/>
              </w:rPr>
            </w:pPr>
            <w:r>
              <w:rPr>
                <w:sz w:val="16"/>
              </w:rPr>
              <w:t>688390 CH</w:t>
            </w:r>
          </w:p>
        </w:tc>
        <w:tc>
          <w:tcPr>
            <w:tcW w:w="1560" w:type="dxa"/>
            <w:tcBorders>
              <w:top w:val="single" w:sz="4" w:space="0" w:color="9AC6CD"/>
              <w:bottom w:val="single" w:sz="4" w:space="0" w:color="9AC6CD"/>
            </w:tcBorders>
          </w:tcPr>
          <w:p>
            <w:pPr>
              <w:pStyle w:val="TableParagraph"/>
              <w:spacing w:before="12"/>
              <w:ind w:right="370"/>
              <w:rPr>
                <w:rFonts w:ascii="宋体" w:eastAsia="宋体" w:hint="eastAsia"/>
                <w:sz w:val="16"/>
              </w:rPr>
            </w:pPr>
            <w:r>
              <w:rPr>
                <w:rFonts w:ascii="宋体" w:eastAsia="宋体" w:hint="eastAsia"/>
                <w:sz w:val="16"/>
              </w:rPr>
              <w:t>固德威</w:t>
            </w:r>
          </w:p>
        </w:tc>
        <w:tc>
          <w:tcPr>
            <w:tcW w:w="859" w:type="dxa"/>
            <w:tcBorders>
              <w:top w:val="single" w:sz="4" w:space="0" w:color="9AC6CD"/>
              <w:bottom w:val="single" w:sz="4" w:space="0" w:color="9AC6CD"/>
            </w:tcBorders>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9AC6CD"/>
            </w:tcBorders>
          </w:tcPr>
          <w:p>
            <w:pPr>
              <w:pStyle w:val="TableParagraph"/>
              <w:spacing w:before="52"/>
              <w:ind w:right="165"/>
              <w:rPr>
                <w:sz w:val="16"/>
              </w:rPr>
            </w:pPr>
            <w:r>
              <w:rPr>
                <w:sz w:val="16"/>
              </w:rPr>
              <w:t>110.88</w:t>
            </w:r>
          </w:p>
        </w:tc>
        <w:tc>
          <w:tcPr>
            <w:tcW w:w="1107" w:type="dxa"/>
            <w:tcBorders>
              <w:top w:val="single" w:sz="4" w:space="0" w:color="9AC6CD"/>
              <w:bottom w:val="single" w:sz="4" w:space="0" w:color="9AC6CD"/>
            </w:tcBorders>
          </w:tcPr>
          <w:p>
            <w:pPr>
              <w:pStyle w:val="TableParagraph"/>
              <w:spacing w:before="52"/>
              <w:ind w:right="209"/>
              <w:rPr>
                <w:sz w:val="16"/>
              </w:rPr>
            </w:pPr>
            <w:r>
              <w:rPr>
                <w:sz w:val="16"/>
              </w:rPr>
              <w:t>135.60</w:t>
            </w:r>
          </w:p>
        </w:tc>
        <w:tc>
          <w:tcPr>
            <w:tcW w:w="1195" w:type="dxa"/>
            <w:tcBorders>
              <w:top w:val="single" w:sz="4" w:space="0" w:color="9AC6CD"/>
              <w:bottom w:val="single" w:sz="4" w:space="0" w:color="9AC6CD"/>
            </w:tcBorders>
          </w:tcPr>
          <w:p>
            <w:pPr>
              <w:pStyle w:val="TableParagraph"/>
              <w:spacing w:before="52"/>
              <w:ind w:right="340"/>
              <w:rPr>
                <w:sz w:val="16"/>
              </w:rPr>
            </w:pPr>
            <w:r>
              <w:rPr>
                <w:sz w:val="16"/>
              </w:rPr>
              <w:t>22.3%</w:t>
            </w:r>
          </w:p>
        </w:tc>
        <w:tc>
          <w:tcPr>
            <w:tcW w:w="1550" w:type="dxa"/>
            <w:tcBorders>
              <w:top w:val="single" w:sz="4" w:space="0" w:color="9AC6CD"/>
              <w:bottom w:val="single" w:sz="4" w:space="0" w:color="9AC6CD"/>
            </w:tcBorders>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03</w:t>
            </w:r>
            <w:r>
              <w:rPr>
                <w:rFonts w:ascii="宋体" w:eastAsia="宋体" w:hint="eastAsia"/>
                <w:sz w:val="16"/>
              </w:rPr>
              <w:t>月</w:t>
            </w:r>
            <w:r>
              <w:rPr>
                <w:sz w:val="16"/>
              </w:rPr>
              <w:t>11</w:t>
            </w:r>
            <w:r>
              <w:rPr>
                <w:rFonts w:ascii="宋体" w:eastAsia="宋体" w:hint="eastAsia"/>
                <w:sz w:val="16"/>
              </w:rPr>
              <w:t>日</w:t>
            </w:r>
          </w:p>
        </w:tc>
        <w:tc>
          <w:tcPr>
            <w:tcW w:w="1693" w:type="dxa"/>
            <w:tcBorders>
              <w:top w:val="single" w:sz="4" w:space="0" w:color="9AC6CD"/>
              <w:bottom w:val="single" w:sz="4" w:space="0" w:color="9AC6CD"/>
            </w:tcBorders>
          </w:tcPr>
          <w:p>
            <w:pPr>
              <w:pStyle w:val="TableParagraph"/>
              <w:spacing w:before="12"/>
              <w:ind w:right="12"/>
              <w:rPr>
                <w:rFonts w:ascii="宋体" w:eastAsia="宋体" w:hint="eastAsia"/>
                <w:sz w:val="16"/>
              </w:rPr>
            </w:pPr>
            <w:r>
              <w:rPr>
                <w:rFonts w:ascii="宋体" w:eastAsia="宋体" w:hint="eastAsia"/>
                <w:sz w:val="16"/>
              </w:rPr>
              <w:t>光伏制造（逆变器）</w:t>
            </w:r>
          </w:p>
        </w:tc>
      </w:tr>
      <w:tr>
        <w:tblPrEx>
          <w:tblW w:w="0" w:type="auto"/>
          <w:jc w:val="left"/>
          <w:tblInd w:w="1158" w:type="dxa"/>
          <w:tblLayout w:type="fixed"/>
          <w:tblCellMar>
            <w:top w:w="0" w:type="dxa"/>
            <w:left w:w="0" w:type="dxa"/>
            <w:bottom w:w="0" w:type="dxa"/>
            <w:right w:w="0" w:type="dxa"/>
          </w:tblCellMar>
          <w:tblLook w:val="01E0"/>
        </w:tblPrEx>
        <w:trPr>
          <w:trHeight w:val="263"/>
          <w:jc w:val="left"/>
        </w:trPr>
        <w:tc>
          <w:tcPr>
            <w:tcW w:w="909" w:type="dxa"/>
            <w:tcBorders>
              <w:top w:val="single" w:sz="4" w:space="0" w:color="9AC6CD"/>
              <w:bottom w:val="single" w:sz="4" w:space="0" w:color="000000"/>
            </w:tcBorders>
            <w:shd w:val="clear" w:color="auto" w:fill="DDEBED"/>
          </w:tcPr>
          <w:p>
            <w:pPr>
              <w:pStyle w:val="TableParagraph"/>
              <w:spacing w:before="52"/>
              <w:ind w:left="17"/>
              <w:jc w:val="left"/>
              <w:rPr>
                <w:sz w:val="16"/>
              </w:rPr>
            </w:pPr>
            <w:r>
              <w:rPr>
                <w:sz w:val="16"/>
              </w:rPr>
              <w:t>300274 CH</w:t>
            </w:r>
          </w:p>
        </w:tc>
        <w:tc>
          <w:tcPr>
            <w:tcW w:w="1560" w:type="dxa"/>
            <w:tcBorders>
              <w:top w:val="single" w:sz="4" w:space="0" w:color="9AC6CD"/>
              <w:bottom w:val="single" w:sz="4" w:space="0" w:color="000000"/>
            </w:tcBorders>
            <w:shd w:val="clear" w:color="auto" w:fill="DDEBED"/>
          </w:tcPr>
          <w:p>
            <w:pPr>
              <w:pStyle w:val="TableParagraph"/>
              <w:spacing w:before="12"/>
              <w:ind w:right="370"/>
              <w:rPr>
                <w:rFonts w:ascii="宋体" w:eastAsia="宋体" w:hint="eastAsia"/>
                <w:sz w:val="16"/>
              </w:rPr>
            </w:pPr>
            <w:r>
              <w:rPr>
                <w:rFonts w:ascii="宋体" w:eastAsia="宋体" w:hint="eastAsia"/>
                <w:sz w:val="16"/>
              </w:rPr>
              <w:t>阳光电源</w:t>
            </w:r>
          </w:p>
        </w:tc>
        <w:tc>
          <w:tcPr>
            <w:tcW w:w="859" w:type="dxa"/>
            <w:tcBorders>
              <w:top w:val="single" w:sz="4" w:space="0" w:color="9AC6CD"/>
              <w:bottom w:val="single" w:sz="4" w:space="0" w:color="000000"/>
            </w:tcBorders>
            <w:shd w:val="clear" w:color="auto" w:fill="DDEBED"/>
          </w:tcPr>
          <w:p>
            <w:pPr>
              <w:pStyle w:val="TableParagraph"/>
              <w:spacing w:before="12"/>
              <w:ind w:right="166"/>
              <w:rPr>
                <w:rFonts w:ascii="宋体" w:eastAsia="宋体" w:hint="eastAsia"/>
                <w:sz w:val="16"/>
              </w:rPr>
            </w:pPr>
            <w:r>
              <w:rPr>
                <w:rFonts w:ascii="宋体" w:eastAsia="宋体" w:hint="eastAsia"/>
                <w:sz w:val="16"/>
              </w:rPr>
              <w:t>买入</w:t>
            </w:r>
          </w:p>
        </w:tc>
        <w:tc>
          <w:tcPr>
            <w:tcW w:w="1063" w:type="dxa"/>
            <w:tcBorders>
              <w:top w:val="single" w:sz="4" w:space="0" w:color="9AC6CD"/>
              <w:bottom w:val="single" w:sz="4" w:space="0" w:color="000000"/>
            </w:tcBorders>
            <w:shd w:val="clear" w:color="auto" w:fill="DDEBED"/>
          </w:tcPr>
          <w:p>
            <w:pPr>
              <w:pStyle w:val="TableParagraph"/>
              <w:spacing w:before="52"/>
              <w:ind w:right="165"/>
              <w:rPr>
                <w:sz w:val="16"/>
              </w:rPr>
            </w:pPr>
            <w:r>
              <w:rPr>
                <w:sz w:val="16"/>
              </w:rPr>
              <w:t>99.40</w:t>
            </w:r>
          </w:p>
        </w:tc>
        <w:tc>
          <w:tcPr>
            <w:tcW w:w="1107" w:type="dxa"/>
            <w:tcBorders>
              <w:top w:val="single" w:sz="4" w:space="0" w:color="9AC6CD"/>
              <w:bottom w:val="single" w:sz="4" w:space="0" w:color="000000"/>
            </w:tcBorders>
            <w:shd w:val="clear" w:color="auto" w:fill="DDEBED"/>
          </w:tcPr>
          <w:p>
            <w:pPr>
              <w:pStyle w:val="TableParagraph"/>
              <w:spacing w:before="52"/>
              <w:ind w:right="209"/>
              <w:rPr>
                <w:sz w:val="16"/>
              </w:rPr>
            </w:pPr>
            <w:r>
              <w:rPr>
                <w:sz w:val="16"/>
              </w:rPr>
              <w:t>125.50</w:t>
            </w:r>
          </w:p>
        </w:tc>
        <w:tc>
          <w:tcPr>
            <w:tcW w:w="1195" w:type="dxa"/>
            <w:tcBorders>
              <w:top w:val="single" w:sz="4" w:space="0" w:color="9AC6CD"/>
              <w:bottom w:val="single" w:sz="4" w:space="0" w:color="000000"/>
            </w:tcBorders>
            <w:shd w:val="clear" w:color="auto" w:fill="DDEBED"/>
          </w:tcPr>
          <w:p>
            <w:pPr>
              <w:pStyle w:val="TableParagraph"/>
              <w:spacing w:before="52"/>
              <w:ind w:right="340"/>
              <w:rPr>
                <w:sz w:val="16"/>
              </w:rPr>
            </w:pPr>
            <w:r>
              <w:rPr>
                <w:sz w:val="16"/>
              </w:rPr>
              <w:t>26.3%</w:t>
            </w:r>
          </w:p>
        </w:tc>
        <w:tc>
          <w:tcPr>
            <w:tcW w:w="1550" w:type="dxa"/>
            <w:tcBorders>
              <w:top w:val="single" w:sz="4" w:space="0" w:color="9AC6CD"/>
              <w:bottom w:val="single" w:sz="4" w:space="0" w:color="000000"/>
            </w:tcBorders>
            <w:shd w:val="clear" w:color="auto" w:fill="DDEBED"/>
          </w:tcPr>
          <w:p>
            <w:pPr>
              <w:pStyle w:val="TableParagraph"/>
              <w:spacing w:before="12"/>
              <w:ind w:right="47"/>
              <w:rPr>
                <w:rFonts w:ascii="宋体" w:eastAsia="宋体" w:hint="eastAsia"/>
                <w:sz w:val="16"/>
              </w:rPr>
            </w:pPr>
            <w:r>
              <w:rPr>
                <w:sz w:val="16"/>
              </w:rPr>
              <w:t>2024</w:t>
            </w:r>
            <w:r>
              <w:rPr>
                <w:rFonts w:ascii="宋体" w:eastAsia="宋体" w:hint="eastAsia"/>
                <w:sz w:val="16"/>
              </w:rPr>
              <w:t>年</w:t>
            </w:r>
            <w:r>
              <w:rPr>
                <w:sz w:val="16"/>
              </w:rPr>
              <w:t>03</w:t>
            </w:r>
            <w:r>
              <w:rPr>
                <w:rFonts w:ascii="宋体" w:eastAsia="宋体" w:hint="eastAsia"/>
                <w:sz w:val="16"/>
              </w:rPr>
              <w:t>月</w:t>
            </w:r>
            <w:r>
              <w:rPr>
                <w:sz w:val="16"/>
              </w:rPr>
              <w:t>11</w:t>
            </w:r>
            <w:r>
              <w:rPr>
                <w:rFonts w:ascii="宋体" w:eastAsia="宋体" w:hint="eastAsia"/>
                <w:sz w:val="16"/>
              </w:rPr>
              <w:t>日</w:t>
            </w:r>
          </w:p>
        </w:tc>
        <w:tc>
          <w:tcPr>
            <w:tcW w:w="1693" w:type="dxa"/>
            <w:tcBorders>
              <w:top w:val="single" w:sz="4" w:space="0" w:color="9AC6CD"/>
              <w:bottom w:val="single" w:sz="4" w:space="0" w:color="000000"/>
            </w:tcBorders>
            <w:shd w:val="clear" w:color="auto" w:fill="DDEBED"/>
          </w:tcPr>
          <w:p>
            <w:pPr>
              <w:pStyle w:val="TableParagraph"/>
              <w:spacing w:before="12"/>
              <w:ind w:right="40"/>
              <w:rPr>
                <w:rFonts w:ascii="宋体" w:eastAsia="宋体" w:hint="eastAsia"/>
                <w:sz w:val="16"/>
              </w:rPr>
            </w:pPr>
            <w:r>
              <w:rPr>
                <w:rFonts w:ascii="宋体" w:eastAsia="宋体" w:hint="eastAsia"/>
                <w:sz w:val="16"/>
              </w:rPr>
              <w:t>光伏制造（逆变器）</w:t>
            </w:r>
          </w:p>
        </w:tc>
      </w:tr>
    </w:tbl>
    <w:p>
      <w:pPr>
        <w:spacing w:before="0"/>
        <w:ind w:left="1150" w:right="0" w:firstLine="0"/>
        <w:jc w:val="left"/>
        <w:rPr>
          <w:sz w:val="15"/>
        </w:rPr>
      </w:pPr>
      <w:r>
        <w:t>资料来源: FactSet,  预测, 截至2024年3月8日</w:t>
      </w:r>
    </w:p>
    <w:p>
      <w:pPr>
        <w:spacing w:after="0"/>
        <w:jc w:val="left"/>
        <w:rPr>
          <w:sz w:val="15"/>
        </w:rPr>
        <w:sectPr>
          <w:headerReference w:type="default" r:id="rId178"/>
          <w:footerReference w:type="default" r:id="rId179"/>
          <w:pgSz w:w="12240" w:h="15840"/>
          <w:pgMar w:top="1720" w:right="0" w:bottom="1380" w:left="0" w:header="708" w:footer="708"/>
          <w:pgNumType w:start="6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5"/>
        </w:rPr>
      </w:pPr>
    </w:p>
    <w:p>
      <w:pPr>
        <w:tabs>
          <w:tab w:val="left" w:pos="9615"/>
        </w:tabs>
        <w:spacing w:before="0" w:line="536" w:lineRule="exact"/>
        <w:ind w:left="1150" w:right="0" w:firstLine="0"/>
        <w:jc w:val="left"/>
        <w:rPr>
          <w:rFonts w:ascii="Malgun Gothic" w:eastAsia="Malgun Gothic" w:hint="eastAsia"/>
          <w:b/>
          <w:sz w:val="34"/>
        </w:rPr>
      </w:pPr>
      <w:r>
        <w:rPr>
          <w:rFonts w:ascii="Times New Roman" w:eastAsia="Times New Roman"/>
          <w:b/>
          <w:i/>
          <w:color w:val="287ED4"/>
          <w:w w:val="94"/>
          <w:sz w:val="34"/>
          <w:u w:val="thick" w:color="287ED4"/>
        </w:rPr>
        <w:t xml:space="preserve"> </w:t>
      </w:r>
      <w:r>
        <w:rPr>
          <w:rFonts w:ascii="Times New Roman" w:eastAsia="Times New Roman"/>
          <w:b/>
          <w:i/>
          <w:color w:val="287ED4"/>
          <w:sz w:val="34"/>
          <w:u w:val="thick" w:color="287ED4"/>
        </w:rPr>
        <w:tab/>
      </w:r>
      <w:r>
        <w:rPr>
          <w:rFonts w:ascii="Malgun Gothic" w:eastAsia="Malgun Gothic" w:hint="eastAsia"/>
          <w:b/>
          <w:color w:val="287ED4"/>
          <w:sz w:val="34"/>
          <w:u w:val="thick" w:color="287ED4"/>
        </w:rPr>
        <w:t>公司分析</w:t>
      </w:r>
    </w:p>
    <w:p>
      <w:pPr>
        <w:spacing w:after="0" w:line="536" w:lineRule="exact"/>
        <w:jc w:val="left"/>
        <w:rPr>
          <w:rFonts w:ascii="Malgun Gothic" w:eastAsia="Malgun Gothic" w:hint="eastAsia"/>
          <w:sz w:val="34"/>
        </w:rPr>
        <w:sectPr>
          <w:headerReference w:type="default" r:id="rId180"/>
          <w:footerReference w:type="default" r:id="rId181"/>
          <w:pgSz w:w="12240" w:h="15840"/>
          <w:pgMar w:top="1720" w:right="0" w:bottom="1380" w:left="0" w:header="708" w:footer="708"/>
          <w:pgNumType w:start="68"/>
          <w:cols w:space="708"/>
        </w:sectPr>
      </w:pPr>
    </w:p>
    <w:p>
      <w:pPr>
        <w:pStyle w:val="BodyText"/>
        <w:ind w:left="1143"/>
        <w:rPr>
          <w:rFonts w:ascii="Malgun Gothic"/>
          <w:sz w:val="20"/>
        </w:rPr>
      </w:pPr>
      <w:r>
        <w:rPr>
          <w:rFonts w:ascii="Malgun Gothic"/>
          <w:sz w:val="20"/>
        </w:rPr>
        <w:pict>
          <v:group id="_x0000_i1822" style="width:496.8pt;height:127.85pt;mso-position-horizontal-relative:char;mso-position-vertical-relative:line" coordorigin="0,0" coordsize="9936,2557">
            <v:rect id="_x0000_s1823" style="width:9927;height:300;position:absolute;top:811" filled="t" fillcolor="#ddebed" stroked="f">
              <v:fill type="solid"/>
            </v:rect>
            <v:line id="_x0000_s1824" style="position:absolute" from="2251,1111" to="2251,1701" stroked="t" strokecolor="#9ac6cd" strokeweight="0.75pt">
              <v:stroke dashstyle="solid"/>
            </v:line>
            <v:rect id="_x0000_s1825" style="width:7222;height:238;position:absolute;top:2319" filled="t" fillcolor="#ddebed" stroked="f">
              <v:fill type="solid"/>
            </v:rect>
            <v:line id="_x0000_s1826" style="position:absolute" from="7229,1111" to="7229,2557" stroked="t" strokecolor="#9ac6cd" strokeweight="0.75pt">
              <v:stroke dashstyle="solid"/>
            </v:line>
            <v:line id="_x0000_s1827" style="position:absolute" from="9928,1111" to="9928,2557" stroked="t" strokecolor="#9ac6cd" strokeweight="0.75pt">
              <v:stroke dashstyle="solid"/>
            </v:line>
            <v:line id="_x0000_s1828" style="position:absolute" from="0,1709" to="2251,1709" stroked="t" strokecolor="#9ac6cd" strokeweight="0.75pt">
              <v:stroke dashstyle="solid"/>
            </v:line>
            <v:shape id="_x0000_s1829" type="#_x0000_t75" style="width:2967;height:800;left:6898;position:absolute" stroked="f">
              <v:imagedata r:id="rId182" o:title=""/>
            </v:shape>
            <v:shape id="_x0000_s1830" type="#_x0000_t202" style="width:1460;height:1136;position:absolute;top:239" filled="f" stroked="f">
              <v:textbox inset="0,0,0,0">
                <w:txbxContent>
                  <w:p>
                    <w:pPr>
                      <w:spacing w:before="0" w:line="250" w:lineRule="exact"/>
                      <w:ind w:left="0" w:right="0" w:firstLine="0"/>
                      <w:jc w:val="left"/>
                      <w:rPr>
                        <w:rFonts w:ascii="Microsoft JhengHei" w:eastAsia="Microsoft JhengHei" w:hint="eastAsia"/>
                        <w:b/>
                        <w:sz w:val="24"/>
                      </w:rPr>
                    </w:pPr>
                    <w:r>
                      <w:rPr>
                        <w:rFonts w:ascii="Microsoft JhengHei" w:eastAsia="Microsoft JhengHei" w:hint="eastAsia"/>
                        <w:b/>
                        <w:color w:val="59A1AE"/>
                        <w:sz w:val="24"/>
                      </w:rPr>
                      <w:t>交银国际研究</w:t>
                    </w:r>
                  </w:p>
                  <w:p>
                    <w:pPr>
                      <w:spacing w:before="0" w:line="377" w:lineRule="exact"/>
                      <w:ind w:left="0" w:right="0" w:firstLine="0"/>
                      <w:jc w:val="left"/>
                      <w:rPr>
                        <w:rFonts w:ascii="Microsoft JhengHei" w:eastAsia="Microsoft JhengHei" w:hint="eastAsia"/>
                        <w:b/>
                        <w:sz w:val="24"/>
                      </w:rPr>
                    </w:pPr>
                    <w:r>
                      <w:rPr>
                        <w:rFonts w:ascii="Microsoft JhengHei" w:eastAsia="Microsoft JhengHei" w:hint="eastAsia"/>
                        <w:b/>
                        <w:sz w:val="24"/>
                      </w:rPr>
                      <w:t>首次覆盖</w:t>
                    </w:r>
                  </w:p>
                  <w:p>
                    <w:pPr>
                      <w:spacing w:before="142" w:line="367" w:lineRule="exact"/>
                      <w:ind w:left="0" w:right="0" w:firstLine="0"/>
                      <w:jc w:val="left"/>
                      <w:rPr>
                        <w:rFonts w:ascii="Microsoft JhengHei" w:eastAsia="Microsoft JhengHei" w:hint="eastAsia"/>
                        <w:b/>
                        <w:sz w:val="24"/>
                      </w:rPr>
                    </w:pPr>
                    <w:r>
                      <w:rPr>
                        <w:rFonts w:ascii="Microsoft JhengHei" w:eastAsia="Microsoft JhengHei" w:hint="eastAsia"/>
                        <w:b/>
                        <w:sz w:val="24"/>
                      </w:rPr>
                      <w:t>新能源</w:t>
                    </w:r>
                  </w:p>
                </w:txbxContent>
              </v:textbox>
            </v:shape>
            <v:shape id="_x0000_s1831" type="#_x0000_t202" style="width:2689;height:484;left:2310;position:absolute;top:1172" filled="f" stroked="f">
              <v:textbox inset="0,0,0,0">
                <w:txbxContent>
                  <w:p>
                    <w:pPr>
                      <w:tabs>
                        <w:tab w:val="left" w:pos="1467"/>
                      </w:tabs>
                      <w:spacing w:before="0" w:line="214" w:lineRule="exact"/>
                      <w:ind w:left="0" w:right="0" w:firstLine="0"/>
                      <w:jc w:val="left"/>
                      <w:rPr>
                        <w:rFonts w:ascii="Microsoft JhengHei" w:eastAsia="Microsoft JhengHei" w:hint="eastAsia"/>
                        <w:b/>
                        <w:sz w:val="20"/>
                      </w:rPr>
                    </w:pPr>
                    <w:r>
                      <w:rPr>
                        <w:rFonts w:ascii="Microsoft JhengHei" w:eastAsia="Microsoft JhengHei" w:hint="eastAsia"/>
                        <w:b/>
                        <w:color w:val="287ED4"/>
                        <w:sz w:val="20"/>
                      </w:rPr>
                      <w:t>收盘价</w:t>
                      <w:tab/>
                      <w:t>目标价</w:t>
                    </w:r>
                  </w:p>
                  <w:p>
                    <w:pPr>
                      <w:tabs>
                        <w:tab w:val="left" w:pos="1467"/>
                      </w:tabs>
                      <w:spacing w:before="0" w:line="269" w:lineRule="exact"/>
                      <w:ind w:left="0" w:right="0" w:firstLine="0"/>
                      <w:jc w:val="left"/>
                      <w:rPr>
                        <w:rFonts w:ascii="Calibri" w:eastAsia="Calibri"/>
                        <w:b/>
                        <w:sz w:val="20"/>
                      </w:rPr>
                    </w:pPr>
                    <w:r>
                      <w:rPr>
                        <w:rFonts w:ascii="Microsoft JhengHei" w:eastAsia="Microsoft JhengHei" w:hint="eastAsia"/>
                        <w:b/>
                        <w:sz w:val="20"/>
                      </w:rPr>
                      <w:t>人民币</w:t>
                    </w:r>
                    <w:r>
                      <w:rPr>
                        <w:rFonts w:ascii="Microsoft JhengHei" w:eastAsia="Microsoft JhengHei" w:hint="eastAsia"/>
                        <w:b/>
                        <w:spacing w:val="-7"/>
                        <w:sz w:val="20"/>
                      </w:rPr>
                      <w:t xml:space="preserve"> </w:t>
                    </w:r>
                    <w:r>
                      <w:rPr>
                        <w:rFonts w:ascii="Calibri" w:eastAsia="Calibri"/>
                        <w:b/>
                        <w:sz w:val="20"/>
                      </w:rPr>
                      <w:t>109.17</w:t>
                      <w:tab/>
                    </w:r>
                    <w:r>
                      <w:rPr>
                        <w:rFonts w:ascii="Microsoft JhengHei" w:eastAsia="Microsoft JhengHei" w:hint="eastAsia"/>
                        <w:b/>
                        <w:sz w:val="20"/>
                      </w:rPr>
                      <w:t>人民币</w:t>
                    </w:r>
                    <w:r>
                      <w:rPr>
                        <w:rFonts w:ascii="Microsoft JhengHei" w:eastAsia="Microsoft JhengHei" w:hint="eastAsia"/>
                        <w:b/>
                        <w:spacing w:val="-8"/>
                        <w:sz w:val="20"/>
                      </w:rPr>
                      <w:t xml:space="preserve"> </w:t>
                    </w:r>
                    <w:r>
                      <w:rPr>
                        <w:rFonts w:ascii="Calibri" w:eastAsia="Calibri"/>
                        <w:b/>
                        <w:sz w:val="20"/>
                      </w:rPr>
                      <w:t>125.50</w:t>
                    </w:r>
                  </w:p>
                </w:txbxContent>
              </v:textbox>
            </v:shape>
            <v:shape id="_x0000_s1832" type="#_x0000_t202" style="width:817;height:469;left:5455;position:absolute;top:1172" filled="f" stroked="f">
              <v:textbox inset="0,0,0,0">
                <w:txbxContent>
                  <w:p>
                    <w:pPr>
                      <w:spacing w:before="0" w:line="245" w:lineRule="exact"/>
                      <w:ind w:left="0" w:right="0" w:firstLine="0"/>
                      <w:jc w:val="left"/>
                      <w:rPr>
                        <w:rFonts w:ascii="Microsoft JhengHei" w:eastAsia="Microsoft JhengHei" w:hint="eastAsia"/>
                        <w:b/>
                        <w:sz w:val="20"/>
                      </w:rPr>
                    </w:pPr>
                    <w:r>
                      <w:rPr>
                        <w:rFonts w:ascii="Microsoft JhengHei" w:eastAsia="Microsoft JhengHei" w:hint="eastAsia"/>
                        <w:b/>
                        <w:color w:val="287ED4"/>
                        <w:sz w:val="20"/>
                      </w:rPr>
                      <w:t>潜在涨幅</w:t>
                    </w:r>
                  </w:p>
                  <w:p>
                    <w:pPr>
                      <w:spacing w:before="0" w:line="224" w:lineRule="exact"/>
                      <w:ind w:left="0" w:right="0" w:firstLine="0"/>
                      <w:jc w:val="left"/>
                      <w:rPr>
                        <w:rFonts w:ascii="Calibri"/>
                        <w:b/>
                        <w:sz w:val="20"/>
                      </w:rPr>
                    </w:pPr>
                    <w:r>
                      <w:rPr>
                        <w:rFonts w:ascii="Calibri"/>
                        <w:b/>
                        <w:sz w:val="20"/>
                      </w:rPr>
                      <w:t>+15.0%</w:t>
                    </w:r>
                  </w:p>
                </w:txbxContent>
              </v:textbox>
            </v:shape>
            <v:shape id="_x0000_s1833" type="#_x0000_t202" style="width:1199;height:190;left:8628;position:absolute;top:1249" filled="f" stroked="f">
              <v:textbox inset="0,0,0,0">
                <w:txbxContent>
                  <w:p>
                    <w:pPr>
                      <w:spacing w:before="0" w:line="189" w:lineRule="exact"/>
                      <w:ind w:left="0" w:right="0" w:firstLine="0"/>
                      <w:jc w:val="left"/>
                      <w:rPr>
                        <w:sz w:val="18"/>
                      </w:rPr>
                    </w:pPr>
                    <w:r>
                      <w:rPr>
                        <w:rFonts w:ascii="Calibri" w:eastAsia="Calibri"/>
                        <w:sz w:val="18"/>
                      </w:rPr>
                      <w:t>2024</w:t>
                    </w:r>
                    <w:r>
                      <w:rPr>
                        <w:sz w:val="18"/>
                      </w:rPr>
                      <w:t>年</w:t>
                    </w:r>
                    <w:r>
                      <w:rPr>
                        <w:rFonts w:ascii="Calibri" w:eastAsia="Calibri"/>
                        <w:sz w:val="18"/>
                      </w:rPr>
                      <w:t>3</w:t>
                    </w:r>
                    <w:r>
                      <w:rPr>
                        <w:sz w:val="18"/>
                      </w:rPr>
                      <w:t>月</w:t>
                    </w:r>
                    <w:r>
                      <w:rPr>
                        <w:rFonts w:ascii="Calibri" w:eastAsia="Calibri"/>
                        <w:sz w:val="18"/>
                      </w:rPr>
                      <w:t>11</w:t>
                    </w:r>
                    <w:r>
                      <w:rPr>
                        <w:sz w:val="18"/>
                      </w:rPr>
                      <w:t>日</w:t>
                    </w:r>
                  </w:p>
                </w:txbxContent>
              </v:textbox>
            </v:shape>
            <v:shape id="_x0000_s1834" type="#_x0000_t202" style="width:3731;height:421;position:absolute;top:1876" filled="f" stroked="f">
              <v:textbox inset="0,0,0,0">
                <w:txbxContent>
                  <w:p>
                    <w:pPr>
                      <w:spacing w:before="0" w:line="420" w:lineRule="exact"/>
                      <w:ind w:left="0" w:right="0" w:firstLine="0"/>
                      <w:jc w:val="left"/>
                      <w:rPr>
                        <w:rFonts w:ascii="Calibri" w:eastAsia="Calibri"/>
                        <w:b/>
                        <w:sz w:val="40"/>
                      </w:rPr>
                    </w:pPr>
                    <w:r>
                      <w:rPr>
                        <w:rFonts w:ascii="Microsoft JhengHei" w:eastAsia="Microsoft JhengHei" w:hint="eastAsia"/>
                        <w:b/>
                        <w:color w:val="59A1AE"/>
                        <w:sz w:val="40"/>
                      </w:rPr>
                      <w:t xml:space="preserve">阳光电源 </w:t>
                    </w:r>
                    <w:r>
                      <w:rPr>
                        <w:rFonts w:ascii="Calibri" w:eastAsia="Calibri"/>
                        <w:b/>
                        <w:color w:val="59A1AE"/>
                        <w:sz w:val="40"/>
                      </w:rPr>
                      <w:t>(300274 CH)</w:t>
                    </w:r>
                  </w:p>
                </w:txbxContent>
              </v:textbox>
            </v:shape>
            <w10:wrap type="none"/>
          </v:group>
        </w:pict>
      </w:r>
    </w:p>
    <w:p>
      <w:pPr>
        <w:spacing w:before="0" w:line="428" w:lineRule="exact"/>
        <w:ind w:left="1151" w:right="0" w:firstLine="0"/>
        <w:jc w:val="left"/>
        <w:rPr>
          <w:rFonts w:ascii="Microsoft JhengHei" w:eastAsia="Microsoft JhengHei" w:hint="eastAsia"/>
          <w:b/>
          <w:sz w:val="32"/>
        </w:rPr>
      </w:pPr>
      <w:r>
        <w:pict>
          <v:line id="_x0000_s1835" style="mso-position-horizontal-relative:page;position:absolute;z-index:-251508736" from="57.55pt,18.75pt" to="553.9pt,18.75pt" stroked="t" strokecolor="#9ac6cd" strokeweight="0.75pt">
            <v:stroke dashstyle="solid"/>
          </v:line>
        </w:pict>
      </w:r>
      <w:r>
        <w:rPr>
          <w:rFonts w:ascii="Microsoft JhengHei" w:eastAsia="Microsoft JhengHei" w:hint="eastAsia"/>
          <w:b/>
          <w:sz w:val="32"/>
        </w:rPr>
        <w:t>业绩井喷后龙头地位助力今明年稳健增长，历史低点估值具吸引力</w:t>
      </w:r>
    </w:p>
    <w:p>
      <w:pPr>
        <w:spacing w:after="0" w:line="428" w:lineRule="exact"/>
        <w:jc w:val="left"/>
        <w:rPr>
          <w:rFonts w:ascii="Microsoft JhengHei" w:eastAsia="Microsoft JhengHei" w:hint="eastAsia"/>
          <w:sz w:val="32"/>
        </w:rPr>
        <w:sectPr>
          <w:headerReference w:type="default" r:id="rId183"/>
          <w:footerReference w:type="default" r:id="rId184"/>
          <w:pgSz w:w="12240" w:h="15840"/>
          <w:pgMar w:top="740" w:right="0" w:bottom="280" w:left="0" w:header="708" w:footer="708"/>
          <w:pgNumType w:start="69"/>
          <w:cols w:space="708"/>
        </w:sectPr>
      </w:pPr>
    </w:p>
    <w:p>
      <w:pPr>
        <w:pStyle w:val="BodyText"/>
        <w:spacing w:before="155" w:line="211" w:lineRule="auto"/>
        <w:ind w:left="1508" w:hanging="357"/>
        <w:jc w:val="both"/>
      </w:pPr>
      <w:r>
        <w:rPr>
          <w:rFonts w:ascii="Symbol" w:eastAsia="Symbol" w:hAnsi="Symbol"/>
          <w:color w:val="59A1AE"/>
          <w:sz w:val="20"/>
        </w:rPr>
        <w:sym w:font="Symbol" w:char="F051"/>
      </w:r>
      <w:r>
        <w:rPr>
          <w:rFonts w:ascii="Times New Roman" w:eastAsia="Times New Roman" w:hAnsi="Times New Roman"/>
          <w:color w:val="59A1AE"/>
          <w:spacing w:val="4"/>
          <w:sz w:val="20"/>
        </w:rPr>
        <w:t xml:space="preserve">  </w:t>
      </w:r>
      <w:r>
        <w:rPr>
          <w:rFonts w:ascii="Microsoft JhengHei" w:eastAsia="Microsoft JhengHei" w:hAnsi="Microsoft JhengHei" w:hint="eastAsia"/>
          <w:b/>
        </w:rPr>
        <w:t>光伏逆变器全能龙头，充分受益于地面装机爆发。</w:t>
      </w:r>
      <w:r>
        <w:t>公司主要产品光伏逆变器种类齐全程度行业居首，技术领先推出多项行业首创，在大功率产品领</w:t>
      </w:r>
      <w:r>
        <w:rPr>
          <w:spacing w:val="-6"/>
        </w:rPr>
        <w:t xml:space="preserve">域优势明显， </w:t>
      </w:r>
      <w:r>
        <w:rPr>
          <w:rFonts w:ascii="Calibri" w:eastAsia="Calibri" w:hAnsi="Calibri"/>
        </w:rPr>
        <w:t>2023</w:t>
      </w:r>
      <w:r>
        <w:t>年上半年在国内招投标项目</w:t>
      </w:r>
      <w:r>
        <w:rPr>
          <w:rFonts w:ascii="Calibri" w:eastAsia="Calibri" w:hAnsi="Calibri"/>
        </w:rPr>
        <w:t>150kW</w:t>
      </w:r>
      <w:r>
        <w:rPr>
          <w:spacing w:val="-2"/>
        </w:rPr>
        <w:t>以上功率段中标规模</w:t>
      </w:r>
      <w:r>
        <w:rPr>
          <w:spacing w:val="4"/>
        </w:rPr>
        <w:t>排名第一，</w:t>
      </w:r>
      <w:r>
        <w:rPr>
          <w:rFonts w:ascii="Calibri" w:eastAsia="Calibri" w:hAnsi="Calibri"/>
          <w:spacing w:val="2"/>
        </w:rPr>
        <w:t>2022</w:t>
      </w:r>
      <w:r>
        <w:rPr>
          <w:spacing w:val="5"/>
        </w:rPr>
        <w:t>年以</w:t>
      </w:r>
      <w:r>
        <w:rPr>
          <w:rFonts w:ascii="Calibri" w:eastAsia="Calibri" w:hAnsi="Calibri"/>
        </w:rPr>
        <w:t>77GW</w:t>
      </w:r>
      <w:r>
        <w:rPr>
          <w:spacing w:val="5"/>
        </w:rPr>
        <w:t>蝉联光伏逆变器企业出货量全球第一。</w:t>
      </w:r>
      <w:r>
        <w:rPr>
          <w:rFonts w:ascii="Calibri" w:eastAsia="Calibri" w:hAnsi="Calibri"/>
        </w:rPr>
        <w:t>2023</w:t>
      </w:r>
      <w:r>
        <w:t>年</w:t>
      </w:r>
    </w:p>
    <w:p>
      <w:pPr>
        <w:pStyle w:val="BodyText"/>
        <w:spacing w:line="223" w:lineRule="auto"/>
        <w:ind w:left="1508"/>
        <w:jc w:val="both"/>
      </w:pPr>
      <w:r>
        <w:t>前</w:t>
      </w:r>
      <w:r>
        <w:rPr>
          <w:rFonts w:ascii="Calibri" w:eastAsia="Calibri"/>
        </w:rPr>
        <w:t>3</w:t>
      </w:r>
      <w:r>
        <w:t>季度公司逆变器出货中地面电站占比</w:t>
      </w:r>
      <w:r>
        <w:rPr>
          <w:rFonts w:ascii="Calibri" w:eastAsia="Calibri"/>
        </w:rPr>
        <w:t>67%</w:t>
      </w:r>
      <w:r>
        <w:t>，充分受益于</w:t>
      </w:r>
      <w:r>
        <w:rPr>
          <w:rFonts w:ascii="Calibri" w:eastAsia="Calibri"/>
        </w:rPr>
        <w:t>2023</w:t>
      </w:r>
      <w:r>
        <w:rPr>
          <w:spacing w:val="-3"/>
        </w:rPr>
        <w:t>年以来光伏</w:t>
      </w:r>
      <w:r>
        <w:rPr>
          <w:spacing w:val="-1"/>
        </w:rPr>
        <w:t>组件价格大跌而导致的地面新增装机爆发。我们预计公司光伏逆变器</w:t>
      </w:r>
      <w:r>
        <w:rPr>
          <w:rFonts w:ascii="Calibri" w:eastAsia="Calibri"/>
          <w:spacing w:val="-5"/>
        </w:rPr>
        <w:t xml:space="preserve">2023- </w:t>
      </w:r>
      <w:r>
        <w:rPr>
          <w:rFonts w:ascii="Calibri" w:eastAsia="Calibri"/>
          <w:spacing w:val="2"/>
        </w:rPr>
        <w:t>25</w:t>
      </w:r>
      <w:r>
        <w:rPr>
          <w:spacing w:val="4"/>
        </w:rPr>
        <w:t>年销量为</w:t>
      </w:r>
      <w:r>
        <w:rPr>
          <w:rFonts w:ascii="Calibri" w:eastAsia="Calibri"/>
        </w:rPr>
        <w:t>130/156/187GW</w:t>
      </w:r>
      <w:r>
        <w:rPr>
          <w:spacing w:val="3"/>
        </w:rPr>
        <w:t>，同比增长</w:t>
      </w:r>
      <w:r>
        <w:rPr>
          <w:rFonts w:ascii="Calibri" w:eastAsia="Calibri"/>
        </w:rPr>
        <w:t>69%/20%/20%</w:t>
      </w:r>
      <w:r>
        <w:rPr>
          <w:spacing w:val="3"/>
        </w:rPr>
        <w:t>，单瓦毛利将由</w:t>
      </w:r>
      <w:r>
        <w:rPr>
          <w:rFonts w:ascii="Calibri" w:eastAsia="Calibri"/>
        </w:rPr>
        <w:t xml:space="preserve">2023 </w:t>
      </w:r>
      <w:r>
        <w:t>年的</w:t>
      </w:r>
      <w:r>
        <w:rPr>
          <w:rFonts w:ascii="Calibri" w:eastAsia="Calibri"/>
        </w:rPr>
        <w:t>0.081</w:t>
      </w:r>
      <w:r>
        <w:t>元高位降至</w:t>
      </w:r>
      <w:r>
        <w:rPr>
          <w:rFonts w:ascii="Calibri" w:eastAsia="Calibri"/>
        </w:rPr>
        <w:t>2024/25</w:t>
      </w:r>
      <w:r>
        <w:t>年的</w:t>
      </w:r>
      <w:r>
        <w:rPr>
          <w:rFonts w:ascii="Calibri" w:eastAsia="Calibri"/>
        </w:rPr>
        <w:t>0.073/0.064</w:t>
      </w:r>
      <w:r>
        <w:t>元。</w:t>
      </w:r>
    </w:p>
    <w:p>
      <w:pPr>
        <w:spacing w:before="129" w:line="211" w:lineRule="auto"/>
        <w:ind w:left="1511" w:right="0" w:hanging="360"/>
        <w:jc w:val="both"/>
        <w:rPr>
          <w:sz w:val="21"/>
        </w:rPr>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sz w:val="21"/>
        </w:rPr>
        <w:t>储能系统业务稳居全球第一，需求爆发下成为第二成长曲线。</w:t>
      </w:r>
      <w:r>
        <w:rPr>
          <w:sz w:val="21"/>
        </w:rPr>
        <w:t>公司从光伏逆变器切入储能，多年深耕下技术积累雄厚。公司储能系统、变流器全球</w:t>
      </w:r>
      <w:r>
        <w:rPr>
          <w:spacing w:val="-5"/>
          <w:sz w:val="21"/>
        </w:rPr>
        <w:t>出货量</w:t>
      </w:r>
      <w:r>
        <w:rPr>
          <w:rFonts w:ascii="Calibri" w:eastAsia="Calibri" w:hAnsi="Calibri"/>
          <w:sz w:val="21"/>
        </w:rPr>
        <w:t>2016-2022</w:t>
      </w:r>
      <w:r>
        <w:rPr>
          <w:spacing w:val="-1"/>
          <w:sz w:val="21"/>
        </w:rPr>
        <w:t xml:space="preserve">连续七年蝉联国内企业第一。公司出货以海外大储为主， </w:t>
      </w:r>
      <w:r>
        <w:rPr>
          <w:spacing w:val="3"/>
          <w:sz w:val="21"/>
        </w:rPr>
        <w:t>其中全球主要市场中利润率最高的美国占</w:t>
      </w:r>
      <w:r>
        <w:rPr>
          <w:rFonts w:ascii="Calibri" w:eastAsia="Calibri" w:hAnsi="Calibri"/>
          <w:sz w:val="21"/>
        </w:rPr>
        <w:t>50%</w:t>
      </w:r>
      <w:r>
        <w:rPr>
          <w:spacing w:val="1"/>
          <w:sz w:val="21"/>
        </w:rPr>
        <w:t>，随着全球储能需求爆发，</w:t>
      </w:r>
    </w:p>
    <w:p>
      <w:pPr>
        <w:pStyle w:val="BodyText"/>
        <w:spacing w:line="223" w:lineRule="auto"/>
        <w:ind w:left="1511"/>
        <w:jc w:val="both"/>
      </w:pPr>
      <w:r>
        <w:rPr>
          <w:spacing w:val="-4"/>
        </w:rPr>
        <w:t>我们预计公司</w:t>
      </w:r>
      <w:r>
        <w:rPr>
          <w:rFonts w:ascii="Calibri" w:eastAsia="Calibri"/>
        </w:rPr>
        <w:t>2023</w:t>
      </w:r>
      <w:r>
        <w:rPr>
          <w:spacing w:val="-2"/>
        </w:rPr>
        <w:t>年储能系统销量将同比增长约一倍至</w:t>
      </w:r>
      <w:r>
        <w:rPr>
          <w:rFonts w:ascii="Calibri" w:eastAsia="Calibri"/>
        </w:rPr>
        <w:t>15GWh</w:t>
      </w:r>
      <w:r>
        <w:t>，</w:t>
      </w:r>
      <w:r>
        <w:rPr>
          <w:rFonts w:ascii="Calibri" w:eastAsia="Calibri"/>
        </w:rPr>
        <w:t>2024/25</w:t>
      </w:r>
      <w:r>
        <w:rPr>
          <w:spacing w:val="-15"/>
        </w:rPr>
        <w:t>年</w:t>
      </w:r>
      <w:r>
        <w:rPr>
          <w:spacing w:val="3"/>
        </w:rPr>
        <w:t>维持</w:t>
      </w:r>
      <w:r>
        <w:rPr>
          <w:rFonts w:ascii="Calibri" w:eastAsia="Calibri"/>
        </w:rPr>
        <w:t>87%/60%</w:t>
      </w:r>
      <w:r>
        <w:rPr>
          <w:spacing w:val="3"/>
        </w:rPr>
        <w:t>的高速增长。由于竞争加剧，我们预计单位毛利将由</w:t>
      </w:r>
      <w:r>
        <w:rPr>
          <w:rFonts w:ascii="Calibri" w:eastAsia="Calibri"/>
        </w:rPr>
        <w:t>2023</w:t>
      </w:r>
      <w:r>
        <w:t>年的</w:t>
      </w:r>
      <w:r>
        <w:rPr>
          <w:rFonts w:ascii="Calibri" w:eastAsia="Calibri"/>
        </w:rPr>
        <w:t>0.45</w:t>
      </w:r>
      <w:r>
        <w:t>元</w:t>
      </w:r>
      <w:r>
        <w:rPr>
          <w:rFonts w:ascii="Calibri" w:eastAsia="Calibri"/>
        </w:rPr>
        <w:t>/Wh</w:t>
      </w:r>
      <w:r>
        <w:t>高位降至</w:t>
      </w:r>
      <w:r>
        <w:rPr>
          <w:rFonts w:ascii="Calibri" w:eastAsia="Calibri"/>
        </w:rPr>
        <w:t>2024/25</w:t>
      </w:r>
      <w:r>
        <w:t>年的</w:t>
      </w:r>
      <w:r>
        <w:rPr>
          <w:rFonts w:ascii="Calibri" w:eastAsia="Calibri"/>
        </w:rPr>
        <w:t>0.3/0.24</w:t>
      </w:r>
      <w:r>
        <w:t>元</w:t>
      </w:r>
      <w:r>
        <w:rPr>
          <w:rFonts w:ascii="Calibri" w:eastAsia="Calibri"/>
        </w:rPr>
        <w:t>/Wh</w:t>
      </w:r>
      <w:r>
        <w:t>。</w:t>
      </w:r>
    </w:p>
    <w:p>
      <w:pPr>
        <w:spacing w:before="129" w:line="211" w:lineRule="auto"/>
        <w:ind w:left="1511" w:right="0" w:hanging="360"/>
        <w:jc w:val="both"/>
        <w:rPr>
          <w:sz w:val="21"/>
        </w:rPr>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sz w:val="21"/>
        </w:rPr>
        <w:t>量利齐升推动</w:t>
      </w:r>
      <w:r>
        <w:rPr>
          <w:rFonts w:ascii="Calibri" w:eastAsia="Calibri" w:hAnsi="Calibri"/>
          <w:b/>
          <w:sz w:val="21"/>
        </w:rPr>
        <w:t>2023</w:t>
      </w:r>
      <w:r>
        <w:rPr>
          <w:rFonts w:ascii="Microsoft JhengHei" w:eastAsia="Microsoft JhengHei" w:hAnsi="Microsoft JhengHei" w:hint="eastAsia"/>
          <w:b/>
          <w:sz w:val="21"/>
        </w:rPr>
        <w:t>年业绩井喷，</w:t>
      </w:r>
      <w:r>
        <w:rPr>
          <w:rFonts w:ascii="Calibri" w:eastAsia="Calibri" w:hAnsi="Calibri"/>
          <w:b/>
          <w:sz w:val="21"/>
        </w:rPr>
        <w:t>2024/25</w:t>
      </w:r>
      <w:r>
        <w:rPr>
          <w:rFonts w:ascii="Microsoft JhengHei" w:eastAsia="Microsoft JhengHei" w:hAnsi="Microsoft JhengHei" w:hint="eastAsia"/>
          <w:b/>
          <w:sz w:val="21"/>
        </w:rPr>
        <w:t>年以量补价仍将增长</w:t>
      </w:r>
      <w:r>
        <w:rPr>
          <w:rFonts w:ascii="Calibri" w:eastAsia="Calibri" w:hAnsi="Calibri"/>
          <w:b/>
          <w:sz w:val="21"/>
        </w:rPr>
        <w:t>12%/15%</w:t>
      </w:r>
      <w:r>
        <w:rPr>
          <w:rFonts w:ascii="Microsoft JhengHei" w:eastAsia="Microsoft JhengHei" w:hAnsi="Microsoft JhengHei" w:hint="eastAsia"/>
          <w:b/>
          <w:sz w:val="21"/>
        </w:rPr>
        <w:t>。</w:t>
      </w:r>
      <w:r>
        <w:rPr>
          <w:sz w:val="21"/>
        </w:rPr>
        <w:t>我们预计逆变器、储能系统量利齐升推动公司</w:t>
      </w:r>
      <w:r>
        <w:rPr>
          <w:rFonts w:ascii="Calibri" w:eastAsia="Calibri" w:hAnsi="Calibri"/>
          <w:sz w:val="21"/>
        </w:rPr>
        <w:t>2023</w:t>
      </w:r>
      <w:r>
        <w:rPr>
          <w:sz w:val="21"/>
        </w:rPr>
        <w:t>年归母净利大增</w:t>
      </w:r>
      <w:r>
        <w:rPr>
          <w:rFonts w:ascii="Calibri" w:eastAsia="Calibri" w:hAnsi="Calibri"/>
          <w:sz w:val="21"/>
        </w:rPr>
        <w:t>168%</w:t>
      </w:r>
      <w:r>
        <w:rPr>
          <w:sz w:val="21"/>
        </w:rPr>
        <w:t>，尽管</w:t>
      </w:r>
      <w:r>
        <w:rPr>
          <w:rFonts w:ascii="Calibri" w:eastAsia="Calibri" w:hAnsi="Calibri"/>
          <w:sz w:val="21"/>
        </w:rPr>
        <w:t>2024/25</w:t>
      </w:r>
      <w:r>
        <w:rPr>
          <w:sz w:val="21"/>
        </w:rPr>
        <w:t>年核心产品或将降价，但高基数下仍可以量补价实现</w:t>
      </w:r>
      <w:r>
        <w:rPr>
          <w:rFonts w:ascii="Calibri" w:eastAsia="Calibri" w:hAnsi="Calibri"/>
          <w:sz w:val="21"/>
        </w:rPr>
        <w:t>12%/15%</w:t>
      </w:r>
      <w:r>
        <w:rPr>
          <w:sz w:val="21"/>
        </w:rPr>
        <w:t>增长，</w:t>
      </w:r>
      <w:r>
        <w:rPr>
          <w:rFonts w:ascii="Calibri" w:eastAsia="Calibri" w:hAnsi="Calibri"/>
          <w:sz w:val="21"/>
        </w:rPr>
        <w:t>2026</w:t>
      </w:r>
      <w:r>
        <w:rPr>
          <w:sz w:val="21"/>
        </w:rPr>
        <w:t>年起随着产品价格企稳，增速有望恢复至</w:t>
      </w:r>
      <w:r>
        <w:rPr>
          <w:rFonts w:ascii="Calibri" w:eastAsia="Calibri" w:hAnsi="Calibri"/>
          <w:sz w:val="21"/>
        </w:rPr>
        <w:t>20%</w:t>
      </w:r>
      <w:r>
        <w:rPr>
          <w:sz w:val="21"/>
        </w:rPr>
        <w:t>以上。</w:t>
      </w:r>
    </w:p>
    <w:p>
      <w:pPr>
        <w:spacing w:before="130" w:line="211" w:lineRule="auto"/>
        <w:ind w:left="1511" w:right="0" w:hanging="360"/>
        <w:jc w:val="both"/>
        <w:rPr>
          <w:sz w:val="21"/>
        </w:rPr>
      </w:pPr>
      <w:r>
        <w:rPr>
          <w:rFonts w:ascii="Symbol" w:eastAsia="Symbol" w:hAnsi="Symbol"/>
          <w:color w:val="59A1AE"/>
          <w:sz w:val="20"/>
        </w:rPr>
        <w:sym w:font="Symbol" w:char="F051"/>
      </w:r>
      <w:r>
        <w:rPr>
          <w:rFonts w:ascii="Times New Roman" w:eastAsia="Times New Roman" w:hAnsi="Times New Roman"/>
          <w:color w:val="59A1AE"/>
          <w:sz w:val="20"/>
        </w:rPr>
        <w:t xml:space="preserve"> </w:t>
      </w:r>
      <w:r>
        <w:rPr>
          <w:rFonts w:ascii="Microsoft JhengHei" w:eastAsia="Microsoft JhengHei" w:hAnsi="Microsoft JhengHei" w:hint="eastAsia"/>
          <w:b/>
          <w:sz w:val="21"/>
        </w:rPr>
        <w:t>长期仍有较大成长空间，历史低点估值具吸引力，首予买入评级。</w:t>
      </w:r>
      <w:r>
        <w:rPr>
          <w:sz w:val="21"/>
        </w:rPr>
        <w:t>尽管面临行业竞争加剧，但全球光储新增装机长期增长空间仍然巨大，公司作为逆变器和储能系统的绝对龙头，仍有较大成长空间。公司目前股价仅对应</w:t>
      </w:r>
      <w:r>
        <w:rPr>
          <w:rFonts w:ascii="Calibri" w:eastAsia="Calibri" w:hAnsi="Calibri"/>
          <w:sz w:val="21"/>
        </w:rPr>
        <w:t>13.7</w:t>
      </w:r>
      <w:r>
        <w:rPr>
          <w:spacing w:val="-12"/>
          <w:sz w:val="21"/>
        </w:rPr>
        <w:t>倍</w:t>
      </w:r>
      <w:r>
        <w:rPr>
          <w:rFonts w:ascii="Calibri" w:eastAsia="Calibri" w:hAnsi="Calibri"/>
          <w:sz w:val="21"/>
        </w:rPr>
        <w:t>2024</w:t>
      </w:r>
      <w:r>
        <w:rPr>
          <w:spacing w:val="-2"/>
          <w:sz w:val="21"/>
        </w:rPr>
        <w:t>年市盈率，比过去</w:t>
      </w:r>
      <w:r>
        <w:rPr>
          <w:rFonts w:ascii="Calibri" w:eastAsia="Calibri" w:hAnsi="Calibri"/>
          <w:sz w:val="21"/>
        </w:rPr>
        <w:t>5</w:t>
      </w:r>
      <w:r>
        <w:rPr>
          <w:spacing w:val="-3"/>
          <w:sz w:val="21"/>
        </w:rPr>
        <w:t>年平均低</w:t>
      </w:r>
      <w:r>
        <w:rPr>
          <w:rFonts w:ascii="Calibri" w:eastAsia="Calibri" w:hAnsi="Calibri"/>
          <w:sz w:val="21"/>
        </w:rPr>
        <w:t>50%</w:t>
      </w:r>
      <w:r>
        <w:rPr>
          <w:spacing w:val="-2"/>
          <w:sz w:val="21"/>
        </w:rPr>
        <w:t>以上，且处于</w:t>
      </w:r>
      <w:r>
        <w:rPr>
          <w:rFonts w:ascii="Calibri" w:eastAsia="Calibri" w:hAnsi="Calibri"/>
          <w:sz w:val="21"/>
        </w:rPr>
        <w:t>2020</w:t>
      </w:r>
      <w:r>
        <w:rPr>
          <w:spacing w:val="-12"/>
          <w:sz w:val="21"/>
        </w:rPr>
        <w:t>年</w:t>
      </w:r>
      <w:r>
        <w:rPr>
          <w:rFonts w:ascii="Calibri" w:eastAsia="Calibri" w:hAnsi="Calibri"/>
          <w:sz w:val="21"/>
        </w:rPr>
        <w:t>9</w:t>
      </w:r>
      <w:r>
        <w:rPr>
          <w:spacing w:val="-4"/>
          <w:sz w:val="21"/>
        </w:rPr>
        <w:t>月內地宣</w:t>
      </w:r>
    </w:p>
    <w:p>
      <w:pPr>
        <w:pStyle w:val="BodyText"/>
        <w:spacing w:before="23" w:line="196" w:lineRule="auto"/>
        <w:ind w:left="1511"/>
        <w:jc w:val="both"/>
      </w:pPr>
      <w:r>
        <w:rPr>
          <w:spacing w:val="2"/>
        </w:rPr>
        <w:t xml:space="preserve">布双碳目标后的最低水平，我们认为存在较大修复空间。我们基于 </w:t>
      </w:r>
      <w:r>
        <w:rPr>
          <w:rFonts w:ascii="Calibri" w:eastAsia="Calibri"/>
        </w:rPr>
        <w:t>1.3</w:t>
      </w:r>
      <w:r>
        <w:t>倍</w:t>
      </w:r>
      <w:r>
        <w:rPr>
          <w:rFonts w:ascii="Calibri" w:eastAsia="Calibri"/>
        </w:rPr>
        <w:t>PEG</w:t>
      </w:r>
      <w:r>
        <w:rPr>
          <w:spacing w:val="-18"/>
        </w:rPr>
        <w:t xml:space="preserve">，对应 </w:t>
      </w:r>
      <w:r>
        <w:rPr>
          <w:rFonts w:ascii="Calibri" w:eastAsia="Calibri"/>
        </w:rPr>
        <w:t>17.3</w:t>
      </w:r>
      <w:r>
        <w:rPr>
          <w:spacing w:val="-35"/>
        </w:rPr>
        <w:t xml:space="preserve">倍 </w:t>
      </w:r>
      <w:r>
        <w:rPr>
          <w:rFonts w:ascii="Calibri" w:eastAsia="Calibri"/>
        </w:rPr>
        <w:t xml:space="preserve">2024 </w:t>
      </w:r>
      <w:r>
        <w:rPr>
          <w:spacing w:val="-12"/>
        </w:rPr>
        <w:t xml:space="preserve">年市盈率和 </w:t>
      </w:r>
      <w:r>
        <w:rPr>
          <w:rFonts w:ascii="Calibri" w:eastAsia="Calibri"/>
        </w:rPr>
        <w:t>13.3%</w:t>
      </w:r>
      <w:r>
        <w:rPr>
          <w:spacing w:val="-35"/>
        </w:rPr>
        <w:t xml:space="preserve">的 </w:t>
      </w:r>
      <w:r>
        <w:rPr>
          <w:rFonts w:ascii="Calibri" w:eastAsia="Calibri"/>
        </w:rPr>
        <w:t xml:space="preserve">2023-25 </w:t>
      </w:r>
      <w:r>
        <w:rPr>
          <w:spacing w:val="-2"/>
        </w:rPr>
        <w:t>盈利年复合增长率，给</w:t>
      </w:r>
      <w:r>
        <w:t>予公司目标价</w:t>
      </w:r>
      <w:r>
        <w:rPr>
          <w:rFonts w:ascii="Calibri" w:eastAsia="Calibri"/>
        </w:rPr>
        <w:t>125.5</w:t>
      </w:r>
      <w:r>
        <w:t>元，首次覆盖给予</w:t>
      </w:r>
      <w:r>
        <w:rPr>
          <w:rFonts w:ascii="Microsoft JhengHei" w:eastAsia="Microsoft JhengHei" w:hint="eastAsia"/>
          <w:b/>
        </w:rPr>
        <w:t>买入</w:t>
      </w:r>
      <w:r>
        <w:t>评级。</w:t>
      </w:r>
    </w:p>
    <w:p>
      <w:pPr>
        <w:spacing w:before="129" w:line="374" w:lineRule="exact"/>
        <w:ind w:left="243" w:right="0" w:firstLine="0"/>
        <w:jc w:val="left"/>
        <w:rPr>
          <w:rFonts w:ascii="Microsoft JhengHei" w:eastAsia="Microsoft JhengHei" w:hint="eastAsia"/>
          <w:b/>
          <w:sz w:val="24"/>
        </w:rPr>
      </w:pPr>
      <w:r>
        <w:br w:type="column"/>
      </w:r>
      <w:r>
        <w:rPr>
          <w:rFonts w:ascii="Microsoft JhengHei" w:eastAsia="Microsoft JhengHei" w:hint="eastAsia"/>
          <w:b/>
          <w:color w:val="287ED4"/>
          <w:sz w:val="24"/>
        </w:rPr>
        <w:t>个股评级</w:t>
      </w:r>
    </w:p>
    <w:p>
      <w:pPr>
        <w:tabs>
          <w:tab w:val="left" w:pos="2740"/>
        </w:tabs>
        <w:spacing w:before="0" w:line="447" w:lineRule="exact"/>
        <w:ind w:left="243" w:right="0" w:firstLine="0"/>
        <w:jc w:val="left"/>
        <w:rPr>
          <w:rFonts w:ascii="Microsoft JhengHei" w:eastAsia="Microsoft JhengHei" w:hint="eastAsia"/>
          <w:b/>
          <w:sz w:val="28"/>
        </w:rPr>
      </w:pPr>
      <w:r>
        <w:rPr>
          <w:rFonts w:ascii="Microsoft JhengHei" w:eastAsia="Microsoft JhengHei" w:hint="eastAsia"/>
          <w:b/>
          <w:color w:val="FFFFFF"/>
          <w:sz w:val="28"/>
          <w:shd w:val="clear" w:color="auto" w:fill="1D5D9E"/>
        </w:rPr>
        <w:t>买入</w:t>
        <w:tab/>
      </w:r>
    </w:p>
    <w:p>
      <w:pPr>
        <w:pStyle w:val="Heading3"/>
        <w:spacing w:before="112"/>
        <w:ind w:left="191"/>
      </w:pPr>
      <w:r>
        <w:pict>
          <v:line id="_x0000_s1836" style="mso-position-horizontal-relative:page;position:absolute;z-index:251808768" from="426.3pt,24.3pt" to="553.85pt,24.3pt" stroked="t" strokecolor="black" strokeweight="0.75pt">
            <v:stroke dashstyle="solid"/>
          </v:line>
        </w:pict>
      </w:r>
      <w:r>
        <w:rPr>
          <w:rFonts w:ascii="Calibri" w:eastAsia="Calibri"/>
        </w:rPr>
        <w:t>1</w:t>
      </w:r>
      <w:r>
        <w:t>年股价表现</w:t>
      </w:r>
    </w:p>
    <w:p>
      <w:pPr>
        <w:tabs>
          <w:tab w:val="left" w:pos="2097"/>
        </w:tabs>
        <w:spacing w:before="43" w:line="144" w:lineRule="exact"/>
        <w:ind w:left="1077" w:right="0" w:firstLine="0"/>
        <w:jc w:val="left"/>
        <w:rPr>
          <w:sz w:val="12"/>
        </w:rPr>
      </w:pPr>
      <w:r>
        <w:pict>
          <v:line id="_x0000_s1837" style="mso-position-horizontal-relative:page;position:absolute;z-index:251810816" from="448.8pt,7.1pt" to="469.05pt,7.1pt" stroked="t" strokecolor="#1d5d9e" strokeweight="1pt">
            <v:stroke dashstyle="solid"/>
          </v:line>
        </w:pict>
      </w:r>
      <w:r>
        <w:rPr>
          <w:sz w:val="12"/>
        </w:rPr>
        <w:t>300274</w:t>
      </w:r>
      <w:r>
        <w:rPr>
          <w:spacing w:val="-1"/>
          <w:sz w:val="12"/>
        </w:rPr>
        <w:t xml:space="preserve"> </w:t>
      </w:r>
      <w:r>
        <w:rPr>
          <w:sz w:val="12"/>
        </w:rPr>
        <w:t>CH</w:t>
      </w:r>
      <w:r>
        <w:rPr>
          <w:sz w:val="12"/>
          <w:u w:val="thick" w:color="A1C3E2"/>
        </w:rPr>
        <w:t xml:space="preserve"> </w:t>
        <w:tab/>
      </w:r>
      <w:r>
        <w:rPr>
          <w:sz w:val="12"/>
        </w:rPr>
        <w:t>深证成指</w:t>
      </w:r>
    </w:p>
    <w:p>
      <w:pPr>
        <w:spacing w:before="0" w:line="126" w:lineRule="exact"/>
        <w:ind w:left="294" w:right="0" w:firstLine="0"/>
        <w:jc w:val="left"/>
        <w:rPr>
          <w:rFonts w:ascii="Arial Narrow"/>
          <w:sz w:val="12"/>
        </w:rPr>
      </w:pPr>
      <w:r>
        <w:drawing>
          <wp:anchor distT="0" distB="0" distL="0" distR="0" simplePos="0" relativeHeight="251809792" behindDoc="0" locked="0" layoutInCell="1" allowOverlap="1">
            <wp:simplePos x="0" y="0"/>
            <wp:positionH relativeFrom="page">
              <wp:posOffset>5642658</wp:posOffset>
            </wp:positionH>
            <wp:positionV relativeFrom="paragraph">
              <wp:posOffset>35187</wp:posOffset>
            </wp:positionV>
            <wp:extent cx="1263917" cy="806701"/>
            <wp:effectExtent l="0" t="0" r="0" b="0"/>
            <wp:wrapNone/>
            <wp:docPr id="2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3.png"/>
                    <pic:cNvPicPr/>
                  </pic:nvPicPr>
                  <pic:blipFill>
                    <a:blip xmlns:r="http://schemas.openxmlformats.org/officeDocument/2006/relationships" r:embed="rId185" cstate="print"/>
                    <a:stretch>
                      <a:fillRect/>
                    </a:stretch>
                  </pic:blipFill>
                  <pic:spPr>
                    <a:xfrm>
                      <a:off x="0" y="0"/>
                      <a:ext cx="1263917" cy="806701"/>
                    </a:xfrm>
                    <a:prstGeom prst="rect">
                      <a:avLst/>
                    </a:prstGeom>
                  </pic:spPr>
                </pic:pic>
              </a:graphicData>
            </a:graphic>
          </wp:anchor>
        </w:drawing>
      </w:r>
      <w:r>
        <w:rPr>
          <w:rFonts w:ascii="Arial Narrow"/>
          <w:sz w:val="12"/>
        </w:rPr>
        <w:t>10%</w:t>
      </w:r>
    </w:p>
    <w:p>
      <w:pPr>
        <w:spacing w:before="0" w:line="136" w:lineRule="exact"/>
        <w:ind w:left="349" w:right="0" w:firstLine="0"/>
        <w:jc w:val="left"/>
        <w:rPr>
          <w:rFonts w:ascii="Arial Narrow"/>
          <w:sz w:val="12"/>
        </w:rPr>
      </w:pPr>
      <w:r>
        <w:rPr>
          <w:rFonts w:ascii="Arial Narrow"/>
          <w:sz w:val="12"/>
        </w:rPr>
        <w:t>5%</w:t>
      </w:r>
    </w:p>
    <w:p>
      <w:pPr>
        <w:spacing w:before="12" w:line="136" w:lineRule="exact"/>
        <w:ind w:left="349" w:right="0" w:firstLine="0"/>
        <w:jc w:val="left"/>
        <w:rPr>
          <w:rFonts w:ascii="Arial Narrow"/>
          <w:sz w:val="12"/>
        </w:rPr>
      </w:pPr>
      <w:r>
        <w:rPr>
          <w:rFonts w:ascii="Arial Narrow"/>
          <w:sz w:val="12"/>
        </w:rPr>
        <w:t>0%</w:t>
      </w:r>
    </w:p>
    <w:p>
      <w:pPr>
        <w:spacing w:before="0" w:line="135" w:lineRule="exact"/>
        <w:ind w:left="316" w:right="0" w:firstLine="0"/>
        <w:jc w:val="left"/>
        <w:rPr>
          <w:rFonts w:ascii="Arial Narrow"/>
          <w:sz w:val="12"/>
        </w:rPr>
      </w:pPr>
      <w:r>
        <w:rPr>
          <w:rFonts w:ascii="Arial Narrow"/>
          <w:sz w:val="12"/>
        </w:rPr>
        <w:t>-5%</w:t>
      </w:r>
    </w:p>
    <w:p>
      <w:pPr>
        <w:spacing w:before="0" w:line="136" w:lineRule="exact"/>
        <w:ind w:left="262" w:right="0" w:firstLine="0"/>
        <w:jc w:val="left"/>
        <w:rPr>
          <w:rFonts w:ascii="Arial Narrow"/>
          <w:sz w:val="12"/>
        </w:rPr>
      </w:pPr>
      <w:r>
        <w:rPr>
          <w:rFonts w:ascii="Arial Narrow"/>
          <w:sz w:val="12"/>
        </w:rPr>
        <w:t>-10%</w:t>
      </w:r>
    </w:p>
    <w:p>
      <w:pPr>
        <w:spacing w:before="13" w:line="136" w:lineRule="exact"/>
        <w:ind w:left="262" w:right="0" w:firstLine="0"/>
        <w:jc w:val="left"/>
        <w:rPr>
          <w:rFonts w:ascii="Arial Narrow"/>
          <w:sz w:val="12"/>
        </w:rPr>
      </w:pPr>
      <w:r>
        <w:rPr>
          <w:rFonts w:ascii="Arial Narrow"/>
          <w:sz w:val="12"/>
        </w:rPr>
        <w:t>-15%</w:t>
      </w:r>
    </w:p>
    <w:p>
      <w:pPr>
        <w:spacing w:before="0" w:line="135" w:lineRule="exact"/>
        <w:ind w:left="262" w:right="0" w:firstLine="0"/>
        <w:jc w:val="left"/>
        <w:rPr>
          <w:rFonts w:ascii="Arial Narrow"/>
          <w:sz w:val="12"/>
        </w:rPr>
      </w:pPr>
      <w:r>
        <w:rPr>
          <w:rFonts w:ascii="Arial Narrow"/>
          <w:sz w:val="12"/>
        </w:rPr>
        <w:t>-20%</w:t>
      </w:r>
    </w:p>
    <w:p>
      <w:pPr>
        <w:spacing w:before="0" w:line="136" w:lineRule="exact"/>
        <w:ind w:left="262" w:right="0" w:firstLine="0"/>
        <w:jc w:val="left"/>
        <w:rPr>
          <w:rFonts w:ascii="Arial Narrow"/>
          <w:sz w:val="12"/>
        </w:rPr>
      </w:pPr>
      <w:r>
        <w:rPr>
          <w:rFonts w:ascii="Arial Narrow"/>
          <w:sz w:val="12"/>
        </w:rPr>
        <w:t>-25%</w:t>
      </w:r>
    </w:p>
    <w:p>
      <w:pPr>
        <w:spacing w:before="12" w:line="136" w:lineRule="exact"/>
        <w:ind w:left="262" w:right="0" w:firstLine="0"/>
        <w:jc w:val="left"/>
        <w:rPr>
          <w:rFonts w:ascii="Arial Narrow"/>
          <w:sz w:val="12"/>
        </w:rPr>
      </w:pPr>
      <w:r>
        <w:rPr>
          <w:rFonts w:ascii="Arial Narrow"/>
          <w:sz w:val="12"/>
        </w:rPr>
        <w:t>-30%</w:t>
      </w:r>
    </w:p>
    <w:p>
      <w:pPr>
        <w:spacing w:before="0" w:line="136" w:lineRule="exact"/>
        <w:ind w:left="262" w:right="0" w:firstLine="0"/>
        <w:jc w:val="left"/>
        <w:rPr>
          <w:rFonts w:ascii="Arial Narrow"/>
          <w:sz w:val="12"/>
        </w:rPr>
      </w:pPr>
      <w:r>
        <w:rPr>
          <w:rFonts w:ascii="Arial Narrow"/>
          <w:sz w:val="12"/>
        </w:rPr>
        <w:t>-35%</w:t>
      </w:r>
    </w:p>
    <w:p>
      <w:pPr>
        <w:tabs>
          <w:tab w:val="left" w:pos="1146"/>
          <w:tab w:val="left" w:pos="1779"/>
        </w:tabs>
        <w:spacing w:before="5"/>
        <w:ind w:left="486" w:right="0" w:firstLine="0"/>
        <w:jc w:val="left"/>
        <w:rPr>
          <w:rFonts w:ascii="Arial Narrow"/>
          <w:sz w:val="12"/>
        </w:rPr>
      </w:pPr>
      <w:r>
        <w:rPr>
          <w:rFonts w:ascii="Arial Narrow"/>
          <w:sz w:val="12"/>
        </w:rPr>
        <w:t>3/23</w:t>
        <w:tab/>
        <w:t>7/23</w:t>
        <w:tab/>
        <w:t>11/23</w:t>
      </w:r>
    </w:p>
    <w:p>
      <w:pPr>
        <w:pStyle w:val="BodyText"/>
        <w:spacing w:before="6"/>
        <w:rPr>
          <w:rFonts w:ascii="Arial Narrow"/>
          <w:sz w:val="2"/>
        </w:rPr>
      </w:pPr>
    </w:p>
    <w:p>
      <w:pPr>
        <w:pStyle w:val="BodyText"/>
        <w:spacing w:line="20" w:lineRule="exact"/>
        <w:ind w:left="183"/>
        <w:rPr>
          <w:rFonts w:ascii="Arial Narrow"/>
          <w:sz w:val="2"/>
        </w:rPr>
      </w:pPr>
      <w:r>
        <w:rPr>
          <w:rFonts w:ascii="Arial Narrow"/>
          <w:sz w:val="2"/>
        </w:rPr>
        <w:pict>
          <v:group id="_x0000_i1838" style="width:127.55pt;height:0.75pt;mso-position-horizontal-relative:char;mso-position-vertical-relative:line" coordorigin="0,0" coordsize="2551,15">
            <v:line id="_x0000_s1839" style="position:absolute" from="0,8" to="2551,8" stroked="t" strokecolor="black" strokeweight="0.75pt">
              <v:stroke dashstyle="solid"/>
            </v:line>
            <w10:wrap type="none"/>
          </v:group>
        </w:pict>
      </w:r>
    </w:p>
    <w:p>
      <w:pPr>
        <w:spacing w:before="0"/>
        <w:ind w:left="191" w:right="0" w:firstLine="0"/>
        <w:jc w:val="left"/>
        <w:rPr>
          <w:rFonts w:ascii="Calibri" w:eastAsia="Calibri"/>
          <w:i/>
          <w:sz w:val="14"/>
        </w:rPr>
      </w:pPr>
      <w:r>
        <w:rPr>
          <w:sz w:val="15"/>
        </w:rPr>
        <w:t>资料来源</w:t>
      </w:r>
      <w:r>
        <w:rPr>
          <w:rFonts w:ascii="Calibri" w:eastAsia="Calibri"/>
          <w:i/>
          <w:sz w:val="14"/>
        </w:rPr>
        <w:t>: FactSet</w:t>
      </w:r>
    </w:p>
    <w:p>
      <w:pPr>
        <w:pStyle w:val="Heading3"/>
        <w:tabs>
          <w:tab w:val="left" w:pos="2740"/>
        </w:tabs>
        <w:spacing w:before="100" w:line="398" w:lineRule="exact"/>
        <w:ind w:left="243"/>
      </w:pPr>
      <w:r>
        <w:rPr>
          <w:u w:val="single"/>
        </w:rPr>
        <w:t>股份资料</w:t>
        <w:tab/>
      </w:r>
    </w:p>
    <w:p>
      <w:pPr>
        <w:tabs>
          <w:tab w:val="right" w:pos="2710"/>
        </w:tabs>
        <w:spacing w:before="0" w:line="198" w:lineRule="exact"/>
        <w:ind w:left="221" w:right="0" w:firstLine="0"/>
        <w:jc w:val="left"/>
        <w:rPr>
          <w:rFonts w:ascii="Arial Narrow" w:eastAsia="Arial Narrow"/>
          <w:sz w:val="16"/>
        </w:rPr>
      </w:pPr>
      <w:r>
        <w:rPr>
          <w:rFonts w:ascii="Arial Narrow" w:eastAsia="Arial Narrow"/>
          <w:sz w:val="16"/>
        </w:rPr>
        <w:t>52</w:t>
      </w:r>
      <w:r>
        <w:rPr>
          <w:sz w:val="16"/>
        </w:rPr>
        <w:t>周高位</w:t>
      </w:r>
      <w:r>
        <w:rPr>
          <w:spacing w:val="-44"/>
          <w:sz w:val="16"/>
        </w:rPr>
        <w:t xml:space="preserve"> </w:t>
      </w:r>
      <w:r>
        <w:rPr>
          <w:rFonts w:ascii="Arial Narrow" w:eastAsia="Arial Narrow"/>
          <w:sz w:val="16"/>
        </w:rPr>
        <w:t>(</w:t>
      </w:r>
      <w:r>
        <w:rPr>
          <w:sz w:val="16"/>
        </w:rPr>
        <w:t>人民币</w:t>
      </w:r>
      <w:r>
        <w:rPr>
          <w:rFonts w:ascii="Arial Narrow" w:eastAsia="Arial Narrow"/>
          <w:sz w:val="16"/>
        </w:rPr>
        <w:t>)</w:t>
        <w:tab/>
        <w:t>122.79</w:t>
      </w:r>
    </w:p>
    <w:p>
      <w:pPr>
        <w:tabs>
          <w:tab w:val="left" w:pos="2380"/>
        </w:tabs>
        <w:spacing w:before="46"/>
        <w:ind w:left="221" w:right="0" w:firstLine="0"/>
        <w:jc w:val="left"/>
        <w:rPr>
          <w:rFonts w:ascii="Arial Narrow" w:eastAsia="Arial Narrow"/>
          <w:sz w:val="16"/>
        </w:rPr>
      </w:pPr>
      <w:r>
        <w:rPr>
          <w:rFonts w:ascii="Arial Narrow" w:eastAsia="Arial Narrow"/>
          <w:sz w:val="16"/>
        </w:rPr>
        <w:t>52</w:t>
      </w:r>
      <w:r>
        <w:rPr>
          <w:sz w:val="16"/>
        </w:rPr>
        <w:t>周低位</w:t>
      </w:r>
      <w:r>
        <w:rPr>
          <w:spacing w:val="-5"/>
          <w:sz w:val="16"/>
        </w:rPr>
        <w:t xml:space="preserve"> </w:t>
      </w:r>
      <w:r>
        <w:rPr>
          <w:rFonts w:ascii="Arial Narrow" w:eastAsia="Arial Narrow"/>
          <w:sz w:val="16"/>
        </w:rPr>
        <w:t>(</w:t>
      </w:r>
      <w:r>
        <w:rPr>
          <w:sz w:val="16"/>
        </w:rPr>
        <w:t>人民币</w:t>
      </w:r>
      <w:r>
        <w:rPr>
          <w:rFonts w:ascii="Arial Narrow" w:eastAsia="Arial Narrow"/>
          <w:sz w:val="16"/>
        </w:rPr>
        <w:t>)</w:t>
        <w:tab/>
        <w:t>76.00</w:t>
      </w:r>
    </w:p>
    <w:p>
      <w:pPr>
        <w:tabs>
          <w:tab w:val="left" w:pos="2050"/>
        </w:tabs>
        <w:spacing w:before="46"/>
        <w:ind w:left="221" w:right="0" w:firstLine="0"/>
        <w:jc w:val="left"/>
        <w:rPr>
          <w:rFonts w:ascii="Arial Narrow" w:eastAsia="Arial Narrow"/>
          <w:sz w:val="16"/>
        </w:rPr>
      </w:pPr>
      <w:r>
        <w:rPr>
          <w:sz w:val="16"/>
        </w:rPr>
        <w:t>市</w:t>
      </w:r>
      <w:r>
        <w:rPr>
          <w:spacing w:val="36"/>
          <w:sz w:val="16"/>
        </w:rPr>
        <w:t>值</w:t>
      </w:r>
      <w:r>
        <w:rPr>
          <w:rFonts w:ascii="Arial Narrow" w:eastAsia="Arial Narrow"/>
          <w:sz w:val="16"/>
        </w:rPr>
        <w:t>(</w:t>
      </w:r>
      <w:r>
        <w:rPr>
          <w:sz w:val="16"/>
        </w:rPr>
        <w:t>百万人民币</w:t>
      </w:r>
      <w:r>
        <w:rPr>
          <w:rFonts w:ascii="Arial Narrow" w:eastAsia="Arial Narrow"/>
          <w:sz w:val="16"/>
        </w:rPr>
        <w:t>)</w:t>
        <w:tab/>
        <w:t>123,236.55</w:t>
      </w:r>
    </w:p>
    <w:p>
      <w:pPr>
        <w:tabs>
          <w:tab w:val="right" w:pos="2710"/>
        </w:tabs>
        <w:spacing w:before="46"/>
        <w:ind w:left="221" w:right="0" w:firstLine="0"/>
        <w:jc w:val="left"/>
        <w:rPr>
          <w:rFonts w:ascii="Arial Narrow" w:eastAsia="Arial Narrow"/>
          <w:sz w:val="16"/>
        </w:rPr>
      </w:pPr>
      <w:r>
        <w:rPr>
          <w:sz w:val="16"/>
        </w:rPr>
        <w:t>日均成交</w:t>
      </w:r>
      <w:r>
        <w:rPr>
          <w:spacing w:val="36"/>
          <w:sz w:val="16"/>
        </w:rPr>
        <w:t>量</w:t>
      </w:r>
      <w:r>
        <w:rPr>
          <w:rFonts w:ascii="Arial Narrow" w:eastAsia="Arial Narrow"/>
          <w:sz w:val="16"/>
        </w:rPr>
        <w:t>(</w:t>
      </w:r>
      <w:r>
        <w:rPr>
          <w:sz w:val="16"/>
        </w:rPr>
        <w:t>百万</w:t>
      </w:r>
      <w:r>
        <w:rPr>
          <w:rFonts w:ascii="Arial Narrow" w:eastAsia="Arial Narrow"/>
          <w:sz w:val="16"/>
        </w:rPr>
        <w:t>)</w:t>
        <w:tab/>
        <w:t>47.05</w:t>
      </w:r>
    </w:p>
    <w:p>
      <w:pPr>
        <w:tabs>
          <w:tab w:val="right" w:pos="2710"/>
        </w:tabs>
        <w:spacing w:before="46"/>
        <w:ind w:left="221" w:right="0" w:firstLine="0"/>
        <w:jc w:val="left"/>
        <w:rPr>
          <w:rFonts w:ascii="Arial Narrow" w:eastAsia="Arial Narrow"/>
          <w:sz w:val="16"/>
        </w:rPr>
      </w:pPr>
      <w:r>
        <w:rPr>
          <w:sz w:val="16"/>
        </w:rPr>
        <w:t>年初至今变</w:t>
      </w:r>
      <w:r>
        <w:rPr>
          <w:spacing w:val="36"/>
          <w:sz w:val="16"/>
        </w:rPr>
        <w:t>化</w:t>
      </w:r>
      <w:r>
        <w:rPr>
          <w:rFonts w:ascii="Arial Narrow" w:eastAsia="Arial Narrow"/>
          <w:sz w:val="16"/>
        </w:rPr>
        <w:t>(%)</w:t>
        <w:tab/>
        <w:t>24.64</w:t>
      </w:r>
    </w:p>
    <w:p>
      <w:pPr>
        <w:tabs>
          <w:tab w:val="right" w:pos="2710"/>
        </w:tabs>
        <w:spacing w:before="45"/>
        <w:ind w:left="221" w:right="0" w:firstLine="0"/>
        <w:jc w:val="left"/>
        <w:rPr>
          <w:rFonts w:ascii="Arial Narrow" w:eastAsia="Arial Narrow"/>
          <w:sz w:val="16"/>
        </w:rPr>
      </w:pPr>
      <w:r>
        <w:rPr>
          <w:rFonts w:ascii="Arial Narrow" w:eastAsia="Arial Narrow"/>
          <w:sz w:val="16"/>
        </w:rPr>
        <w:t>200</w:t>
      </w:r>
      <w:r>
        <w:rPr>
          <w:sz w:val="16"/>
        </w:rPr>
        <w:t>天平均价</w:t>
      </w:r>
      <w:r>
        <w:rPr>
          <w:spacing w:val="-44"/>
          <w:sz w:val="16"/>
        </w:rPr>
        <w:t xml:space="preserve"> </w:t>
      </w:r>
      <w:r>
        <w:rPr>
          <w:rFonts w:ascii="Arial Narrow" w:eastAsia="Arial Narrow"/>
          <w:sz w:val="16"/>
        </w:rPr>
        <w:t>(</w:t>
      </w:r>
      <w:r>
        <w:rPr>
          <w:sz w:val="16"/>
        </w:rPr>
        <w:t>人民币</w:t>
      </w:r>
      <w:r>
        <w:rPr>
          <w:rFonts w:ascii="Arial Narrow" w:eastAsia="Arial Narrow"/>
          <w:sz w:val="16"/>
        </w:rPr>
        <w:t>)</w:t>
        <w:tab/>
        <w:t>86.44</w:t>
      </w:r>
    </w:p>
    <w:p>
      <w:pPr>
        <w:pStyle w:val="BodyText"/>
        <w:spacing w:before="3"/>
        <w:rPr>
          <w:rFonts w:ascii="Arial Narrow"/>
          <w:sz w:val="5"/>
        </w:rPr>
      </w:pPr>
    </w:p>
    <w:p>
      <w:pPr>
        <w:pStyle w:val="BodyText"/>
        <w:spacing w:line="20" w:lineRule="exact"/>
        <w:ind w:left="183"/>
        <w:rPr>
          <w:rFonts w:ascii="Arial Narrow"/>
          <w:sz w:val="2"/>
        </w:rPr>
      </w:pPr>
      <w:r>
        <w:rPr>
          <w:rFonts w:ascii="Arial Narrow"/>
          <w:sz w:val="2"/>
        </w:rPr>
        <w:pict>
          <v:group id="_x0000_i1840" style="width:127.55pt;height:0.75pt;mso-position-horizontal-relative:char;mso-position-vertical-relative:line" coordorigin="0,0" coordsize="2551,15">
            <v:line id="_x0000_s1841" style="position:absolute" from="0,8" to="2551,8" stroked="t" strokecolor="black" strokeweight="0.75pt">
              <v:stroke dashstyle="solid"/>
            </v:line>
            <w10:wrap type="none"/>
          </v:group>
        </w:pict>
      </w:r>
    </w:p>
    <w:p>
      <w:pPr>
        <w:spacing w:before="0"/>
        <w:ind w:left="191" w:right="0" w:firstLine="0"/>
        <w:jc w:val="left"/>
        <w:rPr>
          <w:rFonts w:ascii="Calibri" w:eastAsia="Calibri"/>
          <w:i/>
          <w:sz w:val="14"/>
        </w:rPr>
      </w:pPr>
      <w:r>
        <w:rPr>
          <w:sz w:val="15"/>
        </w:rPr>
        <w:t>资料来源</w:t>
      </w:r>
      <w:r>
        <w:rPr>
          <w:rFonts w:ascii="Calibri" w:eastAsia="Calibri"/>
          <w:i/>
          <w:sz w:val="14"/>
        </w:rPr>
        <w:t>: FactSet</w:t>
      </w:r>
    </w:p>
    <w:p>
      <w:pPr>
        <w:spacing w:before="112" w:line="343" w:lineRule="exact"/>
        <w:ind w:left="243" w:right="0" w:firstLine="0"/>
        <w:jc w:val="left"/>
        <w:rPr>
          <w:rFonts w:ascii="Calibri" w:eastAsia="Calibri"/>
          <w:sz w:val="20"/>
        </w:rPr>
      </w:pPr>
      <w:r>
        <w:rPr>
          <w:rFonts w:ascii="Microsoft JhengHei" w:eastAsia="Microsoft JhengHei" w:hint="eastAsia"/>
          <w:b/>
          <w:color w:val="59A1AE"/>
          <w:sz w:val="20"/>
        </w:rPr>
        <w:t>文昊</w:t>
      </w:r>
      <w:r>
        <w:rPr>
          <w:rFonts w:ascii="Calibri" w:eastAsia="Calibri"/>
          <w:color w:val="59A1AE"/>
          <w:sz w:val="20"/>
        </w:rPr>
        <w:t>, CPA</w:t>
      </w:r>
    </w:p>
    <w:p>
      <w:pPr>
        <w:spacing w:before="0" w:line="171" w:lineRule="exact"/>
        <w:ind w:left="243" w:right="0" w:firstLine="0"/>
        <w:jc w:val="left"/>
        <w:rPr>
          <w:rFonts w:ascii="Calibri"/>
          <w:sz w:val="16"/>
        </w:rPr>
      </w:pPr>
      <w:hyperlink r:id="rId16">
        <w:r>
          <w:rPr>
            <w:rFonts w:ascii="Calibri"/>
            <w:sz w:val="16"/>
          </w:rPr>
          <w:t>bob.wen@bocomgroup.com</w:t>
        </w:r>
      </w:hyperlink>
    </w:p>
    <w:p>
      <w:pPr>
        <w:spacing w:before="37"/>
        <w:ind w:left="243" w:right="0" w:firstLine="0"/>
        <w:jc w:val="left"/>
        <w:rPr>
          <w:rFonts w:ascii="Calibri"/>
          <w:sz w:val="16"/>
        </w:rPr>
      </w:pPr>
      <w:r>
        <w:rPr>
          <w:rFonts w:ascii="Calibri"/>
          <w:sz w:val="16"/>
        </w:rPr>
        <w:t>(86) 21 6065 3667</w:t>
      </w:r>
    </w:p>
    <w:p>
      <w:pPr>
        <w:pStyle w:val="BodyText"/>
        <w:spacing w:before="4"/>
        <w:rPr>
          <w:rFonts w:ascii="Calibri"/>
          <w:sz w:val="15"/>
        </w:rPr>
      </w:pPr>
    </w:p>
    <w:p>
      <w:pPr>
        <w:spacing w:before="0" w:line="338" w:lineRule="exact"/>
        <w:ind w:left="243" w:right="0" w:firstLine="0"/>
        <w:jc w:val="left"/>
        <w:rPr>
          <w:rFonts w:ascii="Microsoft JhengHei" w:eastAsia="Microsoft JhengHei" w:hint="eastAsia"/>
          <w:b/>
          <w:sz w:val="20"/>
        </w:rPr>
      </w:pPr>
      <w:r>
        <w:rPr>
          <w:rFonts w:ascii="Microsoft JhengHei" w:eastAsia="Microsoft JhengHei" w:hint="eastAsia"/>
          <w:b/>
          <w:color w:val="59A1AE"/>
          <w:sz w:val="20"/>
        </w:rPr>
        <w:t>郑民康</w:t>
      </w:r>
    </w:p>
    <w:p>
      <w:pPr>
        <w:spacing w:before="0" w:line="166" w:lineRule="exact"/>
        <w:ind w:left="243" w:right="0" w:firstLine="0"/>
        <w:jc w:val="left"/>
        <w:rPr>
          <w:rFonts w:ascii="Calibri"/>
          <w:sz w:val="16"/>
        </w:rPr>
      </w:pPr>
      <w:hyperlink r:id="rId17">
        <w:r>
          <w:rPr>
            <w:rFonts w:ascii="Calibri"/>
            <w:sz w:val="16"/>
          </w:rPr>
          <w:t>wallace.cheng@bocomgroup.com</w:t>
        </w:r>
      </w:hyperlink>
    </w:p>
    <w:p>
      <w:pPr>
        <w:spacing w:before="38"/>
        <w:ind w:left="243" w:right="0" w:firstLine="0"/>
        <w:jc w:val="left"/>
        <w:rPr>
          <w:rFonts w:ascii="Calibri"/>
          <w:sz w:val="16"/>
        </w:rPr>
      </w:pPr>
      <w:r>
        <w:rPr>
          <w:rFonts w:ascii="Calibri"/>
          <w:sz w:val="16"/>
        </w:rPr>
        <w:t>(852) 3766 1810</w:t>
      </w:r>
    </w:p>
    <w:p>
      <w:pPr>
        <w:spacing w:after="0"/>
        <w:jc w:val="left"/>
        <w:rPr>
          <w:rFonts w:ascii="Calibri"/>
          <w:sz w:val="16"/>
        </w:rPr>
        <w:sectPr>
          <w:headerReference w:type="default" r:id="rId186"/>
          <w:footerReference w:type="default" r:id="rId187"/>
          <w:type w:val="continuous"/>
          <w:pgSz w:w="12240" w:h="15840"/>
          <w:pgMar w:top="1500" w:right="0" w:bottom="280" w:left="0" w:header="708" w:footer="708"/>
          <w:pgNumType w:start="70"/>
          <w:cols w:num="2" w:space="708" w:equalWidth="0">
            <w:col w:w="8295" w:space="40"/>
            <w:col w:w="3905" w:space="0"/>
          </w:cols>
        </w:sectPr>
      </w:pPr>
    </w:p>
    <w:tbl>
      <w:tblPr>
        <w:tblStyle w:val="TableNormal8"/>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23"/>
        <w:gridCol w:w="817"/>
        <w:gridCol w:w="1065"/>
        <w:gridCol w:w="1065"/>
        <w:gridCol w:w="1028"/>
        <w:gridCol w:w="824"/>
        <w:gridCol w:w="2818"/>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49"/>
          <w:jc w:val="left"/>
        </w:trPr>
        <w:tc>
          <w:tcPr>
            <w:tcW w:w="2323" w:type="dxa"/>
            <w:tcBorders>
              <w:bottom w:val="single" w:sz="4" w:space="0" w:color="000000"/>
            </w:tcBorders>
          </w:tcPr>
          <w:p>
            <w:pPr>
              <w:pStyle w:val="TableParagraph"/>
              <w:spacing w:line="230" w:lineRule="exact"/>
              <w:ind w:left="51"/>
              <w:jc w:val="left"/>
              <w:rPr>
                <w:rFonts w:ascii="Microsoft JhengHei" w:eastAsia="Microsoft JhengHei" w:hint="eastAsia"/>
                <w:b/>
                <w:sz w:val="22"/>
              </w:rPr>
            </w:pPr>
            <w:r>
              <w:rPr>
                <w:rFonts w:ascii="Microsoft JhengHei" w:eastAsia="Microsoft JhengHei" w:hint="eastAsia"/>
                <w:b/>
                <w:sz w:val="22"/>
              </w:rPr>
              <w:t>财务数据一览</w:t>
            </w:r>
          </w:p>
        </w:tc>
        <w:tc>
          <w:tcPr>
            <w:tcW w:w="7617" w:type="dxa"/>
            <w:gridSpan w:val="6"/>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22"/>
          <w:jc w:val="left"/>
        </w:trPr>
        <w:tc>
          <w:tcPr>
            <w:tcW w:w="2323" w:type="dxa"/>
            <w:tcBorders>
              <w:top w:val="single" w:sz="4" w:space="0" w:color="000000"/>
              <w:bottom w:val="single" w:sz="4" w:space="0" w:color="000000"/>
            </w:tcBorders>
          </w:tcPr>
          <w:p>
            <w:pPr>
              <w:pStyle w:val="TableParagraph"/>
              <w:spacing w:line="203" w:lineRule="exact"/>
              <w:ind w:left="51"/>
              <w:jc w:val="left"/>
              <w:rPr>
                <w:rFonts w:ascii="Microsoft JhengHei" w:eastAsia="Microsoft JhengHei" w:hint="eastAsia"/>
                <w:b/>
                <w:sz w:val="16"/>
              </w:rPr>
            </w:pPr>
            <w:r>
              <w:rPr>
                <w:rFonts w:ascii="Microsoft JhengHei" w:eastAsia="Microsoft JhengHei" w:hint="eastAsia"/>
                <w:b/>
                <w:sz w:val="16"/>
              </w:rPr>
              <w:t>年结</w:t>
            </w:r>
            <w:r>
              <w:rPr>
                <w:b/>
                <w:sz w:val="16"/>
              </w:rPr>
              <w:t>12</w:t>
            </w:r>
            <w:r>
              <w:rPr>
                <w:rFonts w:ascii="Microsoft JhengHei" w:eastAsia="Microsoft JhengHei" w:hint="eastAsia"/>
                <w:b/>
                <w:sz w:val="16"/>
              </w:rPr>
              <w:t>月</w:t>
            </w:r>
            <w:r>
              <w:rPr>
                <w:b/>
                <w:sz w:val="16"/>
              </w:rPr>
              <w:t>31</w:t>
            </w:r>
            <w:r>
              <w:rPr>
                <w:rFonts w:ascii="Microsoft JhengHei" w:eastAsia="Microsoft JhengHei" w:hint="eastAsia"/>
                <w:b/>
                <w:sz w:val="16"/>
              </w:rPr>
              <w:t>日</w:t>
            </w:r>
          </w:p>
        </w:tc>
        <w:tc>
          <w:tcPr>
            <w:tcW w:w="817" w:type="dxa"/>
            <w:tcBorders>
              <w:top w:val="single" w:sz="4" w:space="0" w:color="000000"/>
              <w:bottom w:val="single" w:sz="4" w:space="0" w:color="000000"/>
            </w:tcBorders>
          </w:tcPr>
          <w:p>
            <w:pPr>
              <w:pStyle w:val="TableParagraph"/>
              <w:spacing w:before="31" w:line="171" w:lineRule="exact"/>
              <w:ind w:right="329"/>
              <w:rPr>
                <w:b/>
                <w:sz w:val="16"/>
              </w:rPr>
            </w:pPr>
            <w:r>
              <w:rPr>
                <w:b/>
                <w:sz w:val="16"/>
              </w:rPr>
              <w:t>2021</w:t>
            </w:r>
          </w:p>
        </w:tc>
        <w:tc>
          <w:tcPr>
            <w:tcW w:w="1065" w:type="dxa"/>
            <w:tcBorders>
              <w:top w:val="single" w:sz="4" w:space="0" w:color="000000"/>
              <w:bottom w:val="single" w:sz="4" w:space="0" w:color="000000"/>
            </w:tcBorders>
          </w:tcPr>
          <w:p>
            <w:pPr>
              <w:pStyle w:val="TableParagraph"/>
              <w:spacing w:before="31" w:line="171" w:lineRule="exact"/>
              <w:ind w:right="329"/>
              <w:rPr>
                <w:b/>
                <w:sz w:val="16"/>
              </w:rPr>
            </w:pPr>
            <w:r>
              <w:rPr>
                <w:b/>
                <w:sz w:val="16"/>
              </w:rPr>
              <w:t>2022</w:t>
            </w:r>
          </w:p>
        </w:tc>
        <w:tc>
          <w:tcPr>
            <w:tcW w:w="1065" w:type="dxa"/>
            <w:tcBorders>
              <w:top w:val="single" w:sz="4" w:space="0" w:color="000000"/>
              <w:bottom w:val="single" w:sz="4" w:space="0" w:color="000000"/>
            </w:tcBorders>
          </w:tcPr>
          <w:p>
            <w:pPr>
              <w:pStyle w:val="TableParagraph"/>
              <w:spacing w:before="31" w:line="171" w:lineRule="exact"/>
              <w:ind w:left="311" w:right="293"/>
              <w:jc w:val="center"/>
              <w:rPr>
                <w:b/>
                <w:sz w:val="16"/>
              </w:rPr>
            </w:pPr>
            <w:r>
              <w:rPr>
                <w:b/>
                <w:sz w:val="16"/>
              </w:rPr>
              <w:t>2023E</w:t>
            </w:r>
          </w:p>
        </w:tc>
        <w:tc>
          <w:tcPr>
            <w:tcW w:w="1028" w:type="dxa"/>
            <w:tcBorders>
              <w:top w:val="single" w:sz="4" w:space="0" w:color="000000"/>
              <w:bottom w:val="single" w:sz="4" w:space="0" w:color="000000"/>
            </w:tcBorders>
          </w:tcPr>
          <w:p>
            <w:pPr>
              <w:pStyle w:val="TableParagraph"/>
              <w:spacing w:before="31" w:line="171" w:lineRule="exact"/>
              <w:ind w:right="293"/>
              <w:rPr>
                <w:b/>
                <w:sz w:val="16"/>
              </w:rPr>
            </w:pPr>
            <w:r>
              <w:rPr>
                <w:b/>
                <w:sz w:val="16"/>
              </w:rPr>
              <w:t>2024E</w:t>
            </w:r>
          </w:p>
        </w:tc>
        <w:tc>
          <w:tcPr>
            <w:tcW w:w="824" w:type="dxa"/>
            <w:tcBorders>
              <w:top w:val="single" w:sz="4" w:space="0" w:color="000000"/>
              <w:bottom w:val="single" w:sz="4" w:space="0" w:color="000000"/>
            </w:tcBorders>
          </w:tcPr>
          <w:p>
            <w:pPr>
              <w:pStyle w:val="TableParagraph"/>
              <w:spacing w:before="31" w:line="171" w:lineRule="exact"/>
              <w:ind w:right="53"/>
              <w:rPr>
                <w:b/>
                <w:sz w:val="16"/>
              </w:rPr>
            </w:pPr>
            <w:r>
              <w:rPr>
                <w:b/>
                <w:sz w:val="16"/>
              </w:rPr>
              <w:t>2025E</w:t>
            </w:r>
          </w:p>
        </w:tc>
        <w:tc>
          <w:tcPr>
            <w:tcW w:w="2818" w:type="dxa"/>
          </w:tcPr>
          <w:p>
            <w:pPr>
              <w:pStyle w:val="TableParagraph"/>
              <w:jc w:val="left"/>
              <w:rPr>
                <w:rFonts w:ascii="Times New Roman"/>
                <w:sz w:val="14"/>
              </w:rPr>
            </w:pPr>
          </w:p>
        </w:tc>
      </w:tr>
      <w:tr>
        <w:tblPrEx>
          <w:tblW w:w="0" w:type="auto"/>
          <w:jc w:val="left"/>
          <w:tblInd w:w="1158" w:type="dxa"/>
          <w:tblLayout w:type="fixed"/>
          <w:tblCellMar>
            <w:top w:w="0" w:type="dxa"/>
            <w:left w:w="0" w:type="dxa"/>
            <w:bottom w:w="0" w:type="dxa"/>
            <w:right w:w="0" w:type="dxa"/>
          </w:tblCellMar>
          <w:tblLook w:val="01E0"/>
        </w:tblPrEx>
        <w:trPr>
          <w:trHeight w:val="258"/>
          <w:jc w:val="left"/>
        </w:trPr>
        <w:tc>
          <w:tcPr>
            <w:tcW w:w="2323" w:type="dxa"/>
            <w:tcBorders>
              <w:top w:val="single" w:sz="4" w:space="0" w:color="000000"/>
            </w:tcBorders>
          </w:tcPr>
          <w:p>
            <w:pPr>
              <w:pStyle w:val="TableParagraph"/>
              <w:spacing w:before="30"/>
              <w:ind w:left="51"/>
              <w:jc w:val="left"/>
              <w:rPr>
                <w:sz w:val="16"/>
              </w:rPr>
            </w:pPr>
            <w:r>
              <w:rPr>
                <w:rFonts w:ascii="宋体" w:eastAsia="宋体" w:hint="eastAsia"/>
                <w:sz w:val="16"/>
              </w:rPr>
              <w:t>收入</w:t>
            </w:r>
            <w:r>
              <w:rPr>
                <w:sz w:val="16"/>
              </w:rPr>
              <w:t>(</w:t>
            </w:r>
            <w:r>
              <w:rPr>
                <w:rFonts w:ascii="宋体" w:eastAsia="宋体" w:hint="eastAsia"/>
                <w:sz w:val="16"/>
              </w:rPr>
              <w:t>百万人民币</w:t>
            </w:r>
            <w:r>
              <w:rPr>
                <w:sz w:val="16"/>
              </w:rPr>
              <w:t>)</w:t>
            </w:r>
          </w:p>
        </w:tc>
        <w:tc>
          <w:tcPr>
            <w:tcW w:w="817" w:type="dxa"/>
            <w:tcBorders>
              <w:top w:val="single" w:sz="4" w:space="0" w:color="000000"/>
            </w:tcBorders>
          </w:tcPr>
          <w:p>
            <w:pPr>
              <w:pStyle w:val="TableParagraph"/>
              <w:spacing w:before="40"/>
              <w:ind w:right="329"/>
              <w:rPr>
                <w:sz w:val="16"/>
              </w:rPr>
            </w:pPr>
            <w:r>
              <w:rPr>
                <w:sz w:val="16"/>
              </w:rPr>
              <w:t>24,137</w:t>
            </w:r>
          </w:p>
        </w:tc>
        <w:tc>
          <w:tcPr>
            <w:tcW w:w="1065" w:type="dxa"/>
            <w:tcBorders>
              <w:top w:val="single" w:sz="4" w:space="0" w:color="000000"/>
            </w:tcBorders>
          </w:tcPr>
          <w:p>
            <w:pPr>
              <w:pStyle w:val="TableParagraph"/>
              <w:spacing w:before="40"/>
              <w:ind w:right="329"/>
              <w:rPr>
                <w:sz w:val="16"/>
              </w:rPr>
            </w:pPr>
            <w:r>
              <w:rPr>
                <w:sz w:val="16"/>
              </w:rPr>
              <w:t>40,257</w:t>
            </w:r>
          </w:p>
        </w:tc>
        <w:tc>
          <w:tcPr>
            <w:tcW w:w="1065" w:type="dxa"/>
            <w:tcBorders>
              <w:top w:val="single" w:sz="4" w:space="0" w:color="000000"/>
            </w:tcBorders>
          </w:tcPr>
          <w:p>
            <w:pPr>
              <w:pStyle w:val="TableParagraph"/>
              <w:spacing w:before="40"/>
              <w:ind w:left="311" w:right="312"/>
              <w:jc w:val="center"/>
              <w:rPr>
                <w:sz w:val="16"/>
              </w:rPr>
            </w:pPr>
            <w:r>
              <w:rPr>
                <w:sz w:val="16"/>
              </w:rPr>
              <w:t>74,050</w:t>
            </w:r>
          </w:p>
        </w:tc>
        <w:tc>
          <w:tcPr>
            <w:tcW w:w="1028" w:type="dxa"/>
            <w:tcBorders>
              <w:top w:val="single" w:sz="4" w:space="0" w:color="000000"/>
            </w:tcBorders>
          </w:tcPr>
          <w:p>
            <w:pPr>
              <w:pStyle w:val="TableParagraph"/>
              <w:spacing w:before="40"/>
              <w:ind w:right="293"/>
              <w:rPr>
                <w:sz w:val="16"/>
              </w:rPr>
            </w:pPr>
            <w:r>
              <w:rPr>
                <w:sz w:val="16"/>
              </w:rPr>
              <w:t>88,731</w:t>
            </w:r>
          </w:p>
        </w:tc>
        <w:tc>
          <w:tcPr>
            <w:tcW w:w="824" w:type="dxa"/>
            <w:tcBorders>
              <w:top w:val="single" w:sz="4" w:space="0" w:color="000000"/>
            </w:tcBorders>
          </w:tcPr>
          <w:p>
            <w:pPr>
              <w:pStyle w:val="TableParagraph"/>
              <w:spacing w:before="40"/>
              <w:ind w:right="53"/>
              <w:rPr>
                <w:sz w:val="16"/>
              </w:rPr>
            </w:pPr>
            <w:r>
              <w:rPr>
                <w:sz w:val="16"/>
              </w:rPr>
              <w:t>112,286</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2323" w:type="dxa"/>
          </w:tcPr>
          <w:p>
            <w:pPr>
              <w:pStyle w:val="TableParagraph"/>
              <w:spacing w:before="23"/>
              <w:ind w:left="88"/>
              <w:jc w:val="left"/>
              <w:rPr>
                <w:sz w:val="16"/>
              </w:rPr>
            </w:pPr>
            <w:r>
              <w:rPr>
                <w:rFonts w:ascii="宋体" w:eastAsia="宋体" w:hint="eastAsia"/>
                <w:sz w:val="16"/>
              </w:rPr>
              <w:t>同比增长</w:t>
            </w:r>
            <w:r>
              <w:rPr>
                <w:sz w:val="16"/>
              </w:rPr>
              <w:t>(%)</w:t>
            </w:r>
          </w:p>
        </w:tc>
        <w:tc>
          <w:tcPr>
            <w:tcW w:w="817" w:type="dxa"/>
          </w:tcPr>
          <w:p>
            <w:pPr>
              <w:pStyle w:val="TableParagraph"/>
              <w:spacing w:before="34"/>
              <w:ind w:right="329"/>
              <w:rPr>
                <w:sz w:val="16"/>
              </w:rPr>
            </w:pPr>
            <w:r>
              <w:rPr>
                <w:sz w:val="16"/>
              </w:rPr>
              <w:t>25.2</w:t>
            </w:r>
          </w:p>
        </w:tc>
        <w:tc>
          <w:tcPr>
            <w:tcW w:w="1065" w:type="dxa"/>
          </w:tcPr>
          <w:p>
            <w:pPr>
              <w:pStyle w:val="TableParagraph"/>
              <w:spacing w:before="34"/>
              <w:ind w:right="329"/>
              <w:rPr>
                <w:sz w:val="16"/>
              </w:rPr>
            </w:pPr>
            <w:r>
              <w:rPr>
                <w:sz w:val="16"/>
              </w:rPr>
              <w:t>66.8</w:t>
            </w:r>
          </w:p>
        </w:tc>
        <w:tc>
          <w:tcPr>
            <w:tcW w:w="1065" w:type="dxa"/>
          </w:tcPr>
          <w:p>
            <w:pPr>
              <w:pStyle w:val="TableParagraph"/>
              <w:spacing w:before="34"/>
              <w:ind w:left="311" w:right="168"/>
              <w:jc w:val="center"/>
              <w:rPr>
                <w:sz w:val="16"/>
              </w:rPr>
            </w:pPr>
            <w:r>
              <w:rPr>
                <w:sz w:val="16"/>
              </w:rPr>
              <w:t>83.9</w:t>
            </w:r>
          </w:p>
        </w:tc>
        <w:tc>
          <w:tcPr>
            <w:tcW w:w="1028" w:type="dxa"/>
          </w:tcPr>
          <w:p>
            <w:pPr>
              <w:pStyle w:val="TableParagraph"/>
              <w:spacing w:before="34"/>
              <w:ind w:right="293"/>
              <w:rPr>
                <w:sz w:val="16"/>
              </w:rPr>
            </w:pPr>
            <w:r>
              <w:rPr>
                <w:sz w:val="16"/>
              </w:rPr>
              <w:t>19.8</w:t>
            </w:r>
          </w:p>
        </w:tc>
        <w:tc>
          <w:tcPr>
            <w:tcW w:w="824" w:type="dxa"/>
          </w:tcPr>
          <w:p>
            <w:pPr>
              <w:pStyle w:val="TableParagraph"/>
              <w:spacing w:before="34"/>
              <w:ind w:right="53"/>
              <w:rPr>
                <w:sz w:val="16"/>
              </w:rPr>
            </w:pPr>
            <w:r>
              <w:rPr>
                <w:sz w:val="16"/>
              </w:rPr>
              <w:t>26.5</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2323" w:type="dxa"/>
          </w:tcPr>
          <w:p>
            <w:pPr>
              <w:pStyle w:val="TableParagraph"/>
              <w:spacing w:before="23"/>
              <w:ind w:left="51"/>
              <w:jc w:val="left"/>
              <w:rPr>
                <w:sz w:val="16"/>
              </w:rPr>
            </w:pPr>
            <w:r>
              <w:rPr>
                <w:rFonts w:ascii="宋体" w:eastAsia="宋体" w:hint="eastAsia"/>
                <w:sz w:val="16"/>
              </w:rPr>
              <w:t>净利润</w:t>
            </w:r>
            <w:r>
              <w:rPr>
                <w:sz w:val="16"/>
              </w:rPr>
              <w:t>(</w:t>
            </w:r>
            <w:r>
              <w:rPr>
                <w:rFonts w:ascii="宋体" w:eastAsia="宋体" w:hint="eastAsia"/>
                <w:sz w:val="16"/>
              </w:rPr>
              <w:t>百万人民币</w:t>
            </w:r>
            <w:r>
              <w:rPr>
                <w:sz w:val="16"/>
              </w:rPr>
              <w:t>)</w:t>
            </w:r>
          </w:p>
        </w:tc>
        <w:tc>
          <w:tcPr>
            <w:tcW w:w="817" w:type="dxa"/>
          </w:tcPr>
          <w:p>
            <w:pPr>
              <w:pStyle w:val="TableParagraph"/>
              <w:spacing w:before="34"/>
              <w:ind w:right="329"/>
              <w:rPr>
                <w:sz w:val="16"/>
              </w:rPr>
            </w:pPr>
            <w:r>
              <w:rPr>
                <w:sz w:val="16"/>
              </w:rPr>
              <w:t>1,583</w:t>
            </w:r>
          </w:p>
        </w:tc>
        <w:tc>
          <w:tcPr>
            <w:tcW w:w="1065" w:type="dxa"/>
          </w:tcPr>
          <w:p>
            <w:pPr>
              <w:pStyle w:val="TableParagraph"/>
              <w:spacing w:before="34"/>
              <w:ind w:right="329"/>
              <w:rPr>
                <w:sz w:val="16"/>
              </w:rPr>
            </w:pPr>
            <w:r>
              <w:rPr>
                <w:sz w:val="16"/>
              </w:rPr>
              <w:t>3,593</w:t>
            </w:r>
          </w:p>
        </w:tc>
        <w:tc>
          <w:tcPr>
            <w:tcW w:w="1065" w:type="dxa"/>
          </w:tcPr>
          <w:p>
            <w:pPr>
              <w:pStyle w:val="TableParagraph"/>
              <w:spacing w:before="34"/>
              <w:ind w:left="311" w:right="241"/>
              <w:jc w:val="center"/>
              <w:rPr>
                <w:sz w:val="16"/>
              </w:rPr>
            </w:pPr>
            <w:r>
              <w:rPr>
                <w:sz w:val="16"/>
              </w:rPr>
              <w:t>9,641</w:t>
            </w:r>
          </w:p>
        </w:tc>
        <w:tc>
          <w:tcPr>
            <w:tcW w:w="1028" w:type="dxa"/>
          </w:tcPr>
          <w:p>
            <w:pPr>
              <w:pStyle w:val="TableParagraph"/>
              <w:spacing w:before="34"/>
              <w:ind w:right="293"/>
              <w:rPr>
                <w:sz w:val="16"/>
              </w:rPr>
            </w:pPr>
            <w:r>
              <w:rPr>
                <w:sz w:val="16"/>
              </w:rPr>
              <w:t>10,773</w:t>
            </w:r>
          </w:p>
        </w:tc>
        <w:tc>
          <w:tcPr>
            <w:tcW w:w="824" w:type="dxa"/>
          </w:tcPr>
          <w:p>
            <w:pPr>
              <w:pStyle w:val="TableParagraph"/>
              <w:spacing w:before="34"/>
              <w:ind w:right="53"/>
              <w:rPr>
                <w:sz w:val="16"/>
              </w:rPr>
            </w:pPr>
            <w:r>
              <w:rPr>
                <w:sz w:val="16"/>
              </w:rPr>
              <w:t>12,380</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2323" w:type="dxa"/>
          </w:tcPr>
          <w:p>
            <w:pPr>
              <w:pStyle w:val="TableParagraph"/>
              <w:spacing w:before="23"/>
              <w:ind w:left="51"/>
              <w:jc w:val="left"/>
              <w:rPr>
                <w:sz w:val="16"/>
              </w:rPr>
            </w:pPr>
            <w:r>
              <w:rPr>
                <w:rFonts w:ascii="宋体" w:eastAsia="宋体" w:hint="eastAsia"/>
                <w:sz w:val="16"/>
              </w:rPr>
              <w:t>每股盈利</w:t>
            </w:r>
            <w:r>
              <w:rPr>
                <w:sz w:val="16"/>
              </w:rPr>
              <w:t>(</w:t>
            </w:r>
            <w:r>
              <w:rPr>
                <w:rFonts w:ascii="宋体" w:eastAsia="宋体" w:hint="eastAsia"/>
                <w:sz w:val="16"/>
              </w:rPr>
              <w:t>人民币</w:t>
            </w:r>
            <w:r>
              <w:rPr>
                <w:sz w:val="16"/>
              </w:rPr>
              <w:t>)</w:t>
            </w:r>
          </w:p>
        </w:tc>
        <w:tc>
          <w:tcPr>
            <w:tcW w:w="817" w:type="dxa"/>
          </w:tcPr>
          <w:p>
            <w:pPr>
              <w:pStyle w:val="TableParagraph"/>
              <w:spacing w:before="34"/>
              <w:ind w:right="329"/>
              <w:rPr>
                <w:sz w:val="16"/>
              </w:rPr>
            </w:pPr>
            <w:r>
              <w:rPr>
                <w:sz w:val="16"/>
              </w:rPr>
              <w:t>1.07</w:t>
            </w:r>
          </w:p>
        </w:tc>
        <w:tc>
          <w:tcPr>
            <w:tcW w:w="1065" w:type="dxa"/>
          </w:tcPr>
          <w:p>
            <w:pPr>
              <w:pStyle w:val="TableParagraph"/>
              <w:spacing w:before="34"/>
              <w:ind w:right="329"/>
              <w:rPr>
                <w:sz w:val="16"/>
              </w:rPr>
            </w:pPr>
            <w:r>
              <w:rPr>
                <w:sz w:val="16"/>
              </w:rPr>
              <w:t>2.42</w:t>
            </w:r>
          </w:p>
        </w:tc>
        <w:tc>
          <w:tcPr>
            <w:tcW w:w="1065" w:type="dxa"/>
          </w:tcPr>
          <w:p>
            <w:pPr>
              <w:pStyle w:val="TableParagraph"/>
              <w:spacing w:before="34"/>
              <w:ind w:left="311" w:right="168"/>
              <w:jc w:val="center"/>
              <w:rPr>
                <w:sz w:val="16"/>
              </w:rPr>
            </w:pPr>
            <w:r>
              <w:rPr>
                <w:sz w:val="16"/>
              </w:rPr>
              <w:t>6.49</w:t>
            </w:r>
          </w:p>
        </w:tc>
        <w:tc>
          <w:tcPr>
            <w:tcW w:w="1028" w:type="dxa"/>
          </w:tcPr>
          <w:p>
            <w:pPr>
              <w:pStyle w:val="TableParagraph"/>
              <w:spacing w:before="34"/>
              <w:ind w:right="293"/>
              <w:rPr>
                <w:sz w:val="16"/>
              </w:rPr>
            </w:pPr>
            <w:r>
              <w:rPr>
                <w:sz w:val="16"/>
              </w:rPr>
              <w:t>7.25</w:t>
            </w:r>
          </w:p>
        </w:tc>
        <w:tc>
          <w:tcPr>
            <w:tcW w:w="824" w:type="dxa"/>
          </w:tcPr>
          <w:p>
            <w:pPr>
              <w:pStyle w:val="TableParagraph"/>
              <w:spacing w:before="34"/>
              <w:ind w:right="53"/>
              <w:rPr>
                <w:sz w:val="16"/>
              </w:rPr>
            </w:pPr>
            <w:r>
              <w:rPr>
                <w:sz w:val="16"/>
              </w:rPr>
              <w:t>8.34</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2323" w:type="dxa"/>
          </w:tcPr>
          <w:p>
            <w:pPr>
              <w:pStyle w:val="TableParagraph"/>
              <w:spacing w:before="23"/>
              <w:ind w:left="88"/>
              <w:jc w:val="left"/>
              <w:rPr>
                <w:sz w:val="16"/>
              </w:rPr>
            </w:pPr>
            <w:r>
              <w:rPr>
                <w:rFonts w:ascii="宋体" w:eastAsia="宋体" w:hint="eastAsia"/>
                <w:sz w:val="16"/>
              </w:rPr>
              <w:t>同比增长</w:t>
            </w:r>
            <w:r>
              <w:rPr>
                <w:sz w:val="16"/>
              </w:rPr>
              <w:t>(%)</w:t>
            </w:r>
          </w:p>
        </w:tc>
        <w:tc>
          <w:tcPr>
            <w:tcW w:w="817" w:type="dxa"/>
          </w:tcPr>
          <w:p>
            <w:pPr>
              <w:pStyle w:val="TableParagraph"/>
              <w:spacing w:before="34"/>
              <w:ind w:right="329"/>
              <w:rPr>
                <w:sz w:val="16"/>
              </w:rPr>
            </w:pPr>
            <w:r>
              <w:rPr>
                <w:sz w:val="16"/>
              </w:rPr>
              <w:t>-20.5</w:t>
            </w:r>
          </w:p>
        </w:tc>
        <w:tc>
          <w:tcPr>
            <w:tcW w:w="1065" w:type="dxa"/>
          </w:tcPr>
          <w:p>
            <w:pPr>
              <w:pStyle w:val="TableParagraph"/>
              <w:spacing w:before="34"/>
              <w:ind w:right="329"/>
              <w:rPr>
                <w:sz w:val="16"/>
              </w:rPr>
            </w:pPr>
            <w:r>
              <w:rPr>
                <w:sz w:val="16"/>
              </w:rPr>
              <w:t>127.0</w:t>
            </w:r>
          </w:p>
        </w:tc>
        <w:tc>
          <w:tcPr>
            <w:tcW w:w="1065" w:type="dxa"/>
          </w:tcPr>
          <w:p>
            <w:pPr>
              <w:pStyle w:val="TableParagraph"/>
              <w:spacing w:before="34"/>
              <w:ind w:left="311" w:right="241"/>
              <w:jc w:val="center"/>
              <w:rPr>
                <w:sz w:val="16"/>
              </w:rPr>
            </w:pPr>
            <w:r>
              <w:rPr>
                <w:sz w:val="16"/>
              </w:rPr>
              <w:t>168.3</w:t>
            </w:r>
          </w:p>
        </w:tc>
        <w:tc>
          <w:tcPr>
            <w:tcW w:w="1028" w:type="dxa"/>
          </w:tcPr>
          <w:p>
            <w:pPr>
              <w:pStyle w:val="TableParagraph"/>
              <w:spacing w:before="34"/>
              <w:ind w:right="293"/>
              <w:rPr>
                <w:sz w:val="16"/>
              </w:rPr>
            </w:pPr>
            <w:r>
              <w:rPr>
                <w:sz w:val="16"/>
              </w:rPr>
              <w:t>11.7</w:t>
            </w:r>
          </w:p>
        </w:tc>
        <w:tc>
          <w:tcPr>
            <w:tcW w:w="824" w:type="dxa"/>
          </w:tcPr>
          <w:p>
            <w:pPr>
              <w:pStyle w:val="TableParagraph"/>
              <w:spacing w:before="34"/>
              <w:ind w:right="53"/>
              <w:rPr>
                <w:sz w:val="16"/>
              </w:rPr>
            </w:pPr>
            <w:r>
              <w:rPr>
                <w:sz w:val="16"/>
              </w:rPr>
              <w:t>14.9</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2323" w:type="dxa"/>
          </w:tcPr>
          <w:p>
            <w:pPr>
              <w:pStyle w:val="TableParagraph"/>
              <w:spacing w:before="23"/>
              <w:ind w:left="51"/>
              <w:jc w:val="left"/>
              <w:rPr>
                <w:sz w:val="16"/>
              </w:rPr>
            </w:pPr>
            <w:r>
              <w:rPr>
                <w:rFonts w:ascii="宋体" w:eastAsia="宋体" w:hint="eastAsia"/>
                <w:sz w:val="16"/>
              </w:rPr>
              <w:t>市盈率</w:t>
            </w:r>
            <w:r>
              <w:rPr>
                <w:sz w:val="16"/>
              </w:rPr>
              <w:t>(</w:t>
            </w:r>
            <w:r>
              <w:rPr>
                <w:rFonts w:ascii="宋体" w:eastAsia="宋体" w:hint="eastAsia"/>
                <w:sz w:val="16"/>
              </w:rPr>
              <w:t>倍</w:t>
            </w:r>
            <w:r>
              <w:rPr>
                <w:sz w:val="16"/>
              </w:rPr>
              <w:t>)</w:t>
            </w:r>
          </w:p>
        </w:tc>
        <w:tc>
          <w:tcPr>
            <w:tcW w:w="817" w:type="dxa"/>
          </w:tcPr>
          <w:p>
            <w:pPr>
              <w:pStyle w:val="TableParagraph"/>
              <w:spacing w:before="34"/>
              <w:ind w:right="329"/>
              <w:rPr>
                <w:sz w:val="16"/>
              </w:rPr>
            </w:pPr>
            <w:r>
              <w:rPr>
                <w:sz w:val="16"/>
              </w:rPr>
              <w:t>102.4</w:t>
            </w:r>
          </w:p>
        </w:tc>
        <w:tc>
          <w:tcPr>
            <w:tcW w:w="1065" w:type="dxa"/>
          </w:tcPr>
          <w:p>
            <w:pPr>
              <w:pStyle w:val="TableParagraph"/>
              <w:spacing w:before="34"/>
              <w:ind w:right="329"/>
              <w:rPr>
                <w:sz w:val="16"/>
              </w:rPr>
            </w:pPr>
            <w:r>
              <w:rPr>
                <w:sz w:val="16"/>
              </w:rPr>
              <w:t>45.1</w:t>
            </w:r>
          </w:p>
        </w:tc>
        <w:tc>
          <w:tcPr>
            <w:tcW w:w="1065" w:type="dxa"/>
          </w:tcPr>
          <w:p>
            <w:pPr>
              <w:pStyle w:val="TableParagraph"/>
              <w:spacing w:before="34"/>
              <w:ind w:left="311" w:right="168"/>
              <w:jc w:val="center"/>
              <w:rPr>
                <w:sz w:val="16"/>
              </w:rPr>
            </w:pPr>
            <w:r>
              <w:rPr>
                <w:sz w:val="16"/>
              </w:rPr>
              <w:t>16.8</w:t>
            </w:r>
          </w:p>
        </w:tc>
        <w:tc>
          <w:tcPr>
            <w:tcW w:w="1028" w:type="dxa"/>
          </w:tcPr>
          <w:p>
            <w:pPr>
              <w:pStyle w:val="TableParagraph"/>
              <w:spacing w:before="34"/>
              <w:ind w:right="293"/>
              <w:rPr>
                <w:sz w:val="16"/>
              </w:rPr>
            </w:pPr>
            <w:r>
              <w:rPr>
                <w:sz w:val="16"/>
              </w:rPr>
              <w:t>15.1</w:t>
            </w:r>
          </w:p>
        </w:tc>
        <w:tc>
          <w:tcPr>
            <w:tcW w:w="824" w:type="dxa"/>
          </w:tcPr>
          <w:p>
            <w:pPr>
              <w:pStyle w:val="TableParagraph"/>
              <w:spacing w:before="34"/>
              <w:ind w:right="53"/>
              <w:rPr>
                <w:sz w:val="16"/>
              </w:rPr>
            </w:pPr>
            <w:r>
              <w:rPr>
                <w:sz w:val="16"/>
              </w:rPr>
              <w:t>13.1</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2323" w:type="dxa"/>
          </w:tcPr>
          <w:p>
            <w:pPr>
              <w:pStyle w:val="TableParagraph"/>
              <w:spacing w:before="23"/>
              <w:ind w:left="51"/>
              <w:jc w:val="left"/>
              <w:rPr>
                <w:sz w:val="16"/>
              </w:rPr>
            </w:pPr>
            <w:r>
              <w:rPr>
                <w:rFonts w:ascii="宋体" w:eastAsia="宋体" w:hint="eastAsia"/>
                <w:sz w:val="16"/>
              </w:rPr>
              <w:t>每股账面净值</w:t>
            </w:r>
            <w:r>
              <w:rPr>
                <w:sz w:val="16"/>
              </w:rPr>
              <w:t>(</w:t>
            </w:r>
            <w:r>
              <w:rPr>
                <w:rFonts w:ascii="宋体" w:eastAsia="宋体" w:hint="eastAsia"/>
                <w:sz w:val="16"/>
              </w:rPr>
              <w:t>人民币</w:t>
            </w:r>
            <w:r>
              <w:rPr>
                <w:sz w:val="16"/>
              </w:rPr>
              <w:t>)</w:t>
            </w:r>
          </w:p>
        </w:tc>
        <w:tc>
          <w:tcPr>
            <w:tcW w:w="817" w:type="dxa"/>
          </w:tcPr>
          <w:p>
            <w:pPr>
              <w:pStyle w:val="TableParagraph"/>
              <w:spacing w:before="34"/>
              <w:ind w:right="329"/>
              <w:rPr>
                <w:sz w:val="16"/>
              </w:rPr>
            </w:pPr>
            <w:r>
              <w:rPr>
                <w:sz w:val="16"/>
              </w:rPr>
              <w:t>10.54</w:t>
            </w:r>
          </w:p>
        </w:tc>
        <w:tc>
          <w:tcPr>
            <w:tcW w:w="1065" w:type="dxa"/>
          </w:tcPr>
          <w:p>
            <w:pPr>
              <w:pStyle w:val="TableParagraph"/>
              <w:spacing w:before="34"/>
              <w:ind w:right="329"/>
              <w:rPr>
                <w:sz w:val="16"/>
              </w:rPr>
            </w:pPr>
            <w:r>
              <w:rPr>
                <w:sz w:val="16"/>
              </w:rPr>
              <w:t>12.57</w:t>
            </w:r>
          </w:p>
        </w:tc>
        <w:tc>
          <w:tcPr>
            <w:tcW w:w="1065" w:type="dxa"/>
          </w:tcPr>
          <w:p>
            <w:pPr>
              <w:pStyle w:val="TableParagraph"/>
              <w:spacing w:before="34"/>
              <w:ind w:left="311" w:right="241"/>
              <w:jc w:val="center"/>
              <w:rPr>
                <w:sz w:val="16"/>
              </w:rPr>
            </w:pPr>
            <w:r>
              <w:rPr>
                <w:sz w:val="16"/>
              </w:rPr>
              <w:t>18.41</w:t>
            </w:r>
          </w:p>
        </w:tc>
        <w:tc>
          <w:tcPr>
            <w:tcW w:w="1028" w:type="dxa"/>
          </w:tcPr>
          <w:p>
            <w:pPr>
              <w:pStyle w:val="TableParagraph"/>
              <w:spacing w:before="34"/>
              <w:ind w:right="293"/>
              <w:rPr>
                <w:sz w:val="16"/>
              </w:rPr>
            </w:pPr>
            <w:r>
              <w:rPr>
                <w:sz w:val="16"/>
              </w:rPr>
              <w:t>24.94</w:t>
            </w:r>
          </w:p>
        </w:tc>
        <w:tc>
          <w:tcPr>
            <w:tcW w:w="824" w:type="dxa"/>
          </w:tcPr>
          <w:p>
            <w:pPr>
              <w:pStyle w:val="TableParagraph"/>
              <w:spacing w:before="34"/>
              <w:ind w:right="53"/>
              <w:rPr>
                <w:sz w:val="16"/>
              </w:rPr>
            </w:pPr>
            <w:r>
              <w:rPr>
                <w:sz w:val="16"/>
              </w:rPr>
              <w:t>32.44</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51"/>
          <w:jc w:val="left"/>
        </w:trPr>
        <w:tc>
          <w:tcPr>
            <w:tcW w:w="2323" w:type="dxa"/>
          </w:tcPr>
          <w:p>
            <w:pPr>
              <w:pStyle w:val="TableParagraph"/>
              <w:spacing w:before="23"/>
              <w:ind w:left="51"/>
              <w:jc w:val="left"/>
              <w:rPr>
                <w:sz w:val="16"/>
              </w:rPr>
            </w:pPr>
            <w:r>
              <w:rPr>
                <w:rFonts w:ascii="宋体" w:eastAsia="宋体" w:hint="eastAsia"/>
                <w:sz w:val="16"/>
              </w:rPr>
              <w:t>市账率</w:t>
            </w:r>
            <w:r>
              <w:rPr>
                <w:sz w:val="16"/>
              </w:rPr>
              <w:t>(</w:t>
            </w:r>
            <w:r>
              <w:rPr>
                <w:rFonts w:ascii="宋体" w:eastAsia="宋体" w:hint="eastAsia"/>
                <w:sz w:val="16"/>
              </w:rPr>
              <w:t>倍</w:t>
            </w:r>
            <w:r>
              <w:rPr>
                <w:sz w:val="16"/>
              </w:rPr>
              <w:t>)</w:t>
            </w:r>
          </w:p>
        </w:tc>
        <w:tc>
          <w:tcPr>
            <w:tcW w:w="817" w:type="dxa"/>
          </w:tcPr>
          <w:p>
            <w:pPr>
              <w:pStyle w:val="TableParagraph"/>
              <w:spacing w:before="34"/>
              <w:ind w:right="329"/>
              <w:rPr>
                <w:sz w:val="16"/>
              </w:rPr>
            </w:pPr>
            <w:r>
              <w:rPr>
                <w:sz w:val="16"/>
              </w:rPr>
              <w:t>10.36</w:t>
            </w:r>
          </w:p>
        </w:tc>
        <w:tc>
          <w:tcPr>
            <w:tcW w:w="1065" w:type="dxa"/>
          </w:tcPr>
          <w:p>
            <w:pPr>
              <w:pStyle w:val="TableParagraph"/>
              <w:spacing w:before="34"/>
              <w:ind w:right="329"/>
              <w:rPr>
                <w:sz w:val="16"/>
              </w:rPr>
            </w:pPr>
            <w:r>
              <w:rPr>
                <w:sz w:val="16"/>
              </w:rPr>
              <w:t>8.69</w:t>
            </w:r>
          </w:p>
        </w:tc>
        <w:tc>
          <w:tcPr>
            <w:tcW w:w="1065" w:type="dxa"/>
          </w:tcPr>
          <w:p>
            <w:pPr>
              <w:pStyle w:val="TableParagraph"/>
              <w:spacing w:before="34"/>
              <w:ind w:left="311" w:right="168"/>
              <w:jc w:val="center"/>
              <w:rPr>
                <w:sz w:val="16"/>
              </w:rPr>
            </w:pPr>
            <w:r>
              <w:rPr>
                <w:sz w:val="16"/>
              </w:rPr>
              <w:t>5.93</w:t>
            </w:r>
          </w:p>
        </w:tc>
        <w:tc>
          <w:tcPr>
            <w:tcW w:w="1028" w:type="dxa"/>
          </w:tcPr>
          <w:p>
            <w:pPr>
              <w:pStyle w:val="TableParagraph"/>
              <w:spacing w:before="34"/>
              <w:ind w:right="293"/>
              <w:rPr>
                <w:sz w:val="16"/>
              </w:rPr>
            </w:pPr>
            <w:r>
              <w:rPr>
                <w:sz w:val="16"/>
              </w:rPr>
              <w:t>4.38</w:t>
            </w:r>
          </w:p>
        </w:tc>
        <w:tc>
          <w:tcPr>
            <w:tcW w:w="824" w:type="dxa"/>
          </w:tcPr>
          <w:p>
            <w:pPr>
              <w:pStyle w:val="TableParagraph"/>
              <w:spacing w:before="34"/>
              <w:ind w:right="53"/>
              <w:rPr>
                <w:sz w:val="16"/>
              </w:rPr>
            </w:pPr>
            <w:r>
              <w:rPr>
                <w:sz w:val="16"/>
              </w:rPr>
              <w:t>3.37</w:t>
            </w:r>
          </w:p>
        </w:tc>
        <w:tc>
          <w:tcPr>
            <w:tcW w:w="2818" w:type="dxa"/>
          </w:tcPr>
          <w:p>
            <w:pPr>
              <w:pStyle w:val="TableParagraph"/>
              <w:jc w:val="left"/>
              <w:rPr>
                <w:rFonts w:ascii="Times New Roman"/>
                <w:sz w:val="18"/>
              </w:rPr>
            </w:pPr>
          </w:p>
        </w:tc>
      </w:tr>
      <w:tr>
        <w:tblPrEx>
          <w:tblW w:w="0" w:type="auto"/>
          <w:jc w:val="left"/>
          <w:tblInd w:w="1158" w:type="dxa"/>
          <w:tblLayout w:type="fixed"/>
          <w:tblCellMar>
            <w:top w:w="0" w:type="dxa"/>
            <w:left w:w="0" w:type="dxa"/>
            <w:bottom w:w="0" w:type="dxa"/>
            <w:right w:w="0" w:type="dxa"/>
          </w:tblCellMar>
          <w:tblLook w:val="01E0"/>
        </w:tblPrEx>
        <w:trPr>
          <w:trHeight w:val="277"/>
          <w:jc w:val="left"/>
        </w:trPr>
        <w:tc>
          <w:tcPr>
            <w:tcW w:w="2323" w:type="dxa"/>
            <w:tcBorders>
              <w:bottom w:val="single" w:sz="4" w:space="0" w:color="000000"/>
            </w:tcBorders>
          </w:tcPr>
          <w:p>
            <w:pPr>
              <w:pStyle w:val="TableParagraph"/>
              <w:spacing w:before="23"/>
              <w:ind w:left="51"/>
              <w:jc w:val="left"/>
              <w:rPr>
                <w:sz w:val="16"/>
              </w:rPr>
            </w:pPr>
            <w:r>
              <w:rPr>
                <w:rFonts w:ascii="宋体" w:eastAsia="宋体" w:hint="eastAsia"/>
                <w:sz w:val="16"/>
              </w:rPr>
              <w:t>股息率</w:t>
            </w:r>
            <w:r>
              <w:rPr>
                <w:sz w:val="16"/>
              </w:rPr>
              <w:t>(%)</w:t>
            </w:r>
          </w:p>
        </w:tc>
        <w:tc>
          <w:tcPr>
            <w:tcW w:w="817" w:type="dxa"/>
            <w:tcBorders>
              <w:bottom w:val="single" w:sz="4" w:space="0" w:color="000000"/>
            </w:tcBorders>
          </w:tcPr>
          <w:p>
            <w:pPr>
              <w:pStyle w:val="TableParagraph"/>
              <w:spacing w:before="34"/>
              <w:ind w:right="329"/>
              <w:rPr>
                <w:sz w:val="16"/>
              </w:rPr>
            </w:pPr>
            <w:r>
              <w:rPr>
                <w:sz w:val="16"/>
              </w:rPr>
              <w:t>0.1</w:t>
            </w:r>
          </w:p>
        </w:tc>
        <w:tc>
          <w:tcPr>
            <w:tcW w:w="1065" w:type="dxa"/>
            <w:tcBorders>
              <w:bottom w:val="single" w:sz="4" w:space="0" w:color="000000"/>
            </w:tcBorders>
          </w:tcPr>
          <w:p>
            <w:pPr>
              <w:pStyle w:val="TableParagraph"/>
              <w:spacing w:before="34"/>
              <w:ind w:right="329"/>
              <w:rPr>
                <w:sz w:val="16"/>
              </w:rPr>
            </w:pPr>
            <w:r>
              <w:rPr>
                <w:sz w:val="16"/>
              </w:rPr>
              <w:t>0.2</w:t>
            </w:r>
          </w:p>
        </w:tc>
        <w:tc>
          <w:tcPr>
            <w:tcW w:w="1065" w:type="dxa"/>
            <w:tcBorders>
              <w:bottom w:val="single" w:sz="4" w:space="0" w:color="000000"/>
            </w:tcBorders>
          </w:tcPr>
          <w:p>
            <w:pPr>
              <w:pStyle w:val="TableParagraph"/>
              <w:spacing w:before="34"/>
              <w:ind w:left="311" w:right="95"/>
              <w:jc w:val="center"/>
              <w:rPr>
                <w:sz w:val="16"/>
              </w:rPr>
            </w:pPr>
            <w:r>
              <w:rPr>
                <w:sz w:val="16"/>
              </w:rPr>
              <w:t>0.6</w:t>
            </w:r>
          </w:p>
        </w:tc>
        <w:tc>
          <w:tcPr>
            <w:tcW w:w="1028" w:type="dxa"/>
            <w:tcBorders>
              <w:bottom w:val="single" w:sz="4" w:space="0" w:color="000000"/>
            </w:tcBorders>
          </w:tcPr>
          <w:p>
            <w:pPr>
              <w:pStyle w:val="TableParagraph"/>
              <w:spacing w:before="34"/>
              <w:ind w:right="293"/>
              <w:rPr>
                <w:sz w:val="16"/>
              </w:rPr>
            </w:pPr>
            <w:r>
              <w:rPr>
                <w:sz w:val="16"/>
              </w:rPr>
              <w:t>0.7</w:t>
            </w:r>
          </w:p>
        </w:tc>
        <w:tc>
          <w:tcPr>
            <w:tcW w:w="824" w:type="dxa"/>
            <w:tcBorders>
              <w:bottom w:val="single" w:sz="4" w:space="0" w:color="000000"/>
            </w:tcBorders>
          </w:tcPr>
          <w:p>
            <w:pPr>
              <w:pStyle w:val="TableParagraph"/>
              <w:spacing w:before="34"/>
              <w:ind w:right="53"/>
              <w:rPr>
                <w:sz w:val="16"/>
              </w:rPr>
            </w:pPr>
            <w:r>
              <w:rPr>
                <w:sz w:val="16"/>
              </w:rPr>
              <w:t>0.8</w:t>
            </w:r>
          </w:p>
        </w:tc>
        <w:tc>
          <w:tcPr>
            <w:tcW w:w="2818" w:type="dxa"/>
          </w:tcPr>
          <w:p>
            <w:pPr>
              <w:pStyle w:val="TableParagraph"/>
              <w:jc w:val="left"/>
              <w:rPr>
                <w:rFonts w:ascii="Times New Roman"/>
                <w:sz w:val="18"/>
              </w:rPr>
            </w:pPr>
          </w:p>
        </w:tc>
      </w:tr>
    </w:tbl>
    <w:p>
      <w:pPr>
        <w:sectPr>
          <w:headerReference w:type="default" r:id="rId188"/>
          <w:footerReference w:type="default" r:id="rId189"/>
          <w:type w:val="continuous"/>
          <w:pgSz w:w="12240" w:h="15840"/>
          <w:pgMar w:top="1500" w:right="0" w:bottom="280" w:left="0" w:header="708" w:footer="708"/>
          <w:pgNumType w:start="71"/>
          <w:cols w:space="708"/>
        </w:sectPr>
      </w:pPr>
    </w:p>
    <w:tbl>
      <w:tblPr>
        <w:tblStyle w:val="TableNormal9"/>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23"/>
        <w:gridCol w:w="817"/>
        <w:gridCol w:w="1065"/>
        <w:gridCol w:w="1065"/>
        <w:gridCol w:w="1028"/>
        <w:gridCol w:w="824"/>
        <w:gridCol w:w="2818"/>
      </w:tblGrid>
      <w:tr>
        <w:tblPrEx>
          <w:tblW w:w="0" w:type="auto"/>
          <w:jc w:val="left"/>
          <w:tblInd w:w="1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0"/>
          <w:jc w:val="left"/>
        </w:trPr>
        <w:tc>
          <w:tcPr>
            <w:tcW w:w="2323" w:type="dxa"/>
            <w:tcBorders>
              <w:top w:val="single" w:sz="4" w:space="0" w:color="000000"/>
              <w:bottom w:val="single" w:sz="24" w:space="0" w:color="DDEBED"/>
            </w:tcBorders>
          </w:tcPr>
          <w:p>
            <w:pPr>
              <w:pStyle w:val="TableParagraph"/>
              <w:spacing w:line="168" w:lineRule="exact"/>
              <w:jc w:val="left"/>
              <w:rPr>
                <w:rFonts w:ascii="宋体" w:eastAsia="宋体" w:hint="eastAsia"/>
                <w:sz w:val="15"/>
              </w:rPr>
            </w:pPr>
            <w:r>
              <w:rPr>
                <w:rFonts w:ascii="宋体" w:eastAsia="宋体" w:hint="eastAsia"/>
                <w:w w:val="95"/>
                <w:sz w:val="15"/>
              </w:rPr>
              <w:t>资料来源：公司资料，交银国际预测</w:t>
            </w:r>
          </w:p>
        </w:tc>
        <w:tc>
          <w:tcPr>
            <w:tcW w:w="817" w:type="dxa"/>
            <w:tcBorders>
              <w:top w:val="single" w:sz="4" w:space="0" w:color="000000"/>
              <w:bottom w:val="single" w:sz="24" w:space="0" w:color="DDEBED"/>
            </w:tcBorders>
          </w:tcPr>
          <w:p>
            <w:pPr>
              <w:pStyle w:val="TableParagraph"/>
              <w:jc w:val="left"/>
              <w:rPr>
                <w:rFonts w:ascii="Times New Roman"/>
                <w:sz w:val="18"/>
              </w:rPr>
            </w:pPr>
          </w:p>
        </w:tc>
        <w:tc>
          <w:tcPr>
            <w:tcW w:w="1065" w:type="dxa"/>
            <w:tcBorders>
              <w:top w:val="single" w:sz="4" w:space="0" w:color="000000"/>
              <w:bottom w:val="single" w:sz="24" w:space="0" w:color="DDEBED"/>
            </w:tcBorders>
          </w:tcPr>
          <w:p>
            <w:pPr>
              <w:pStyle w:val="TableParagraph"/>
              <w:jc w:val="left"/>
              <w:rPr>
                <w:rFonts w:ascii="Times New Roman"/>
                <w:sz w:val="18"/>
              </w:rPr>
            </w:pPr>
          </w:p>
        </w:tc>
        <w:tc>
          <w:tcPr>
            <w:tcW w:w="1065" w:type="dxa"/>
            <w:tcBorders>
              <w:top w:val="single" w:sz="4" w:space="0" w:color="000000"/>
              <w:bottom w:val="single" w:sz="24" w:space="0" w:color="DDEBED"/>
            </w:tcBorders>
          </w:tcPr>
          <w:p>
            <w:pPr>
              <w:pStyle w:val="TableParagraph"/>
              <w:jc w:val="left"/>
              <w:rPr>
                <w:rFonts w:ascii="Times New Roman"/>
                <w:sz w:val="18"/>
              </w:rPr>
            </w:pPr>
          </w:p>
        </w:tc>
        <w:tc>
          <w:tcPr>
            <w:tcW w:w="1028" w:type="dxa"/>
            <w:tcBorders>
              <w:top w:val="single" w:sz="4" w:space="0" w:color="000000"/>
              <w:bottom w:val="single" w:sz="24" w:space="0" w:color="DDEBED"/>
            </w:tcBorders>
          </w:tcPr>
          <w:p>
            <w:pPr>
              <w:pStyle w:val="TableParagraph"/>
              <w:jc w:val="left"/>
              <w:rPr>
                <w:rFonts w:ascii="Times New Roman"/>
                <w:sz w:val="18"/>
              </w:rPr>
            </w:pPr>
          </w:p>
        </w:tc>
        <w:tc>
          <w:tcPr>
            <w:tcW w:w="824" w:type="dxa"/>
            <w:tcBorders>
              <w:top w:val="single" w:sz="4" w:space="0" w:color="000000"/>
              <w:bottom w:val="single" w:sz="24" w:space="0" w:color="DDEBED"/>
            </w:tcBorders>
          </w:tcPr>
          <w:p>
            <w:pPr>
              <w:pStyle w:val="TableParagraph"/>
              <w:jc w:val="left"/>
              <w:rPr>
                <w:rFonts w:ascii="Times New Roman"/>
                <w:sz w:val="18"/>
              </w:rPr>
            </w:pPr>
          </w:p>
        </w:tc>
        <w:tc>
          <w:tcPr>
            <w:tcW w:w="2818" w:type="dxa"/>
            <w:tcBorders>
              <w:bottom w:val="single" w:sz="24" w:space="0" w:color="DDEBED"/>
            </w:tcBorders>
          </w:tcPr>
          <w:p>
            <w:pPr>
              <w:pStyle w:val="TableParagraph"/>
              <w:jc w:val="left"/>
              <w:rPr>
                <w:rFonts w:ascii="Times New Roman"/>
                <w:sz w:val="18"/>
              </w:rPr>
            </w:pPr>
          </w:p>
        </w:tc>
      </w:tr>
    </w:tbl>
    <w:p>
      <w:pPr>
        <w:spacing w:before="71" w:line="333" w:lineRule="auto"/>
        <w:ind w:left="1178" w:right="4220" w:firstLine="0"/>
        <w:jc w:val="left"/>
        <w:rPr>
          <w:rFonts w:ascii="Calibri" w:eastAsia="Calibri"/>
          <w:sz w:val="18"/>
        </w:rPr>
      </w:pPr>
      <w:r>
        <w:rPr>
          <w:sz w:val="18"/>
        </w:rPr>
        <w:t>此报告最后部分的分析师披露、商业关系披露和免责声明为报告的一部分，必须阅读。下载本公司之研究报告，可从彭博信息：</w:t>
      </w:r>
      <w:r>
        <w:rPr>
          <w:rFonts w:ascii="Calibri" w:eastAsia="Calibri"/>
          <w:sz w:val="18"/>
        </w:rPr>
        <w:t xml:space="preserve">BOCM </w:t>
      </w:r>
      <w:r>
        <w:rPr>
          <w:sz w:val="18"/>
        </w:rPr>
        <w:t xml:space="preserve">或 </w:t>
      </w:r>
      <w:r>
        <w:rPr>
          <w:rFonts w:ascii="Calibri" w:eastAsia="Calibri"/>
          <w:sz w:val="18"/>
        </w:rPr>
        <w:t>https://research.bocomgroup.com</w:t>
      </w:r>
    </w:p>
    <w:p>
      <w:pPr>
        <w:spacing w:after="0" w:line="333" w:lineRule="auto"/>
        <w:jc w:val="left"/>
        <w:rPr>
          <w:rFonts w:ascii="Calibri" w:eastAsia="Calibri"/>
          <w:sz w:val="18"/>
        </w:rPr>
        <w:sectPr>
          <w:headerReference w:type="default" r:id="rId190"/>
          <w:footerReference w:type="default" r:id="rId191"/>
          <w:type w:val="nextPage"/>
          <w:pgSz w:w="12240" w:h="15840"/>
          <w:pgMar w:top="1500" w:right="0" w:bottom="280" w:left="0" w:header="708" w:footer="708"/>
          <w:pgNumType w:start="72"/>
          <w:cols w:space="708"/>
          <w:titlePg w:val="0"/>
        </w:sectPr>
      </w:pPr>
    </w:p>
    <w:p>
      <w:pPr>
        <w:pStyle w:val="BodyText"/>
        <w:rPr>
          <w:rFonts w:ascii="Calibri"/>
          <w:sz w:val="20"/>
        </w:rPr>
      </w:pPr>
    </w:p>
    <w:p>
      <w:pPr>
        <w:pStyle w:val="BodyText"/>
        <w:spacing w:before="11"/>
        <w:rPr>
          <w:rFonts w:ascii="Calibri"/>
          <w:sz w:val="23"/>
        </w:rPr>
      </w:pPr>
    </w:p>
    <w:p>
      <w:pPr>
        <w:spacing w:before="0" w:line="519" w:lineRule="exact"/>
        <w:ind w:left="1151" w:right="0" w:firstLine="0"/>
        <w:jc w:val="left"/>
        <w:rPr>
          <w:rFonts w:ascii="Microsoft JhengHei" w:eastAsia="Microsoft JhengHei" w:hint="eastAsia"/>
          <w:b/>
          <w:sz w:val="32"/>
        </w:rPr>
      </w:pPr>
      <w:r>
        <w:rPr>
          <w:rFonts w:ascii="Microsoft JhengHei" w:eastAsia="Microsoft JhengHei" w:hint="eastAsia"/>
          <w:b/>
          <w:color w:val="59A1AE"/>
          <w:sz w:val="32"/>
        </w:rPr>
        <w:t>逆变器全能龙头，充分受益于地面装机爆发</w:t>
      </w:r>
    </w:p>
    <w:p>
      <w:pPr>
        <w:spacing w:before="42"/>
        <w:ind w:left="1151" w:right="0" w:firstLine="0"/>
        <w:jc w:val="left"/>
        <w:rPr>
          <w:rFonts w:ascii="Microsoft JhengHei" w:eastAsia="Microsoft JhengHei" w:hint="eastAsia"/>
          <w:b/>
          <w:sz w:val="24"/>
        </w:rPr>
      </w:pPr>
      <w:r>
        <w:rPr>
          <w:rFonts w:ascii="Microsoft JhengHei" w:eastAsia="Microsoft JhengHei" w:hint="eastAsia"/>
          <w:b/>
          <w:color w:val="59A1AE"/>
          <w:sz w:val="24"/>
        </w:rPr>
        <w:t>产品种类齐全程度行业居首，技术领先推出多项行业首创</w:t>
      </w:r>
    </w:p>
    <w:p>
      <w:pPr>
        <w:pStyle w:val="BodyText"/>
        <w:spacing w:before="157" w:line="232" w:lineRule="auto"/>
        <w:ind w:left="1151" w:right="3913"/>
        <w:jc w:val="both"/>
      </w:pPr>
      <w:r>
        <w:rPr>
          <w:color w:val="262626"/>
        </w:rPr>
        <w:t>光伏逆变器为公司第一大业务。公司为光伏逆变器老牌龙头，功率范围涵盖</w:t>
      </w:r>
      <w:r>
        <w:rPr>
          <w:rFonts w:ascii="Calibri" w:eastAsia="Calibri"/>
          <w:color w:val="262626"/>
        </w:rPr>
        <w:t>3kW-8800kW</w:t>
      </w:r>
      <w:r>
        <w:rPr>
          <w:color w:val="262626"/>
        </w:rPr>
        <w:t>，包含户用逆变器、组串式逆变器、集中式逆变器和模块化逆变器，全面覆盖户用、工商业和地面电站等各类应用场景，功率覆盖范围和产品种类齐全程度在行业内居首，为全能型选手。</w:t>
      </w:r>
    </w:p>
    <w:p>
      <w:pPr>
        <w:pStyle w:val="Heading3"/>
        <w:spacing w:before="78"/>
      </w:pPr>
      <w:r>
        <w:t>图表</w:t>
      </w:r>
      <w:r>
        <w:rPr>
          <w:rFonts w:ascii="Calibri" w:eastAsia="Calibri"/>
        </w:rPr>
        <w:t xml:space="preserve">51: </w:t>
      </w:r>
      <w:r>
        <w:t>公司光伏逆变器主要产品</w:t>
      </w:r>
    </w:p>
    <w:tbl>
      <w:tblPr>
        <w:tblStyle w:val="TableNormal10"/>
        <w:tblW w:w="0" w:type="auto"/>
        <w:jc w:val="left"/>
        <w:tblInd w:w="1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982"/>
        <w:gridCol w:w="3136"/>
        <w:gridCol w:w="4815"/>
      </w:tblGrid>
      <w:tr>
        <w:tblPrEx>
          <w:tblW w:w="0" w:type="auto"/>
          <w:jc w:val="left"/>
          <w:tblInd w:w="1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Ex>
        <w:trPr>
          <w:trHeight w:val="263"/>
          <w:jc w:val="left"/>
        </w:trPr>
        <w:tc>
          <w:tcPr>
            <w:tcW w:w="1982" w:type="dxa"/>
            <w:tcBorders>
              <w:left w:val="nil"/>
            </w:tcBorders>
          </w:tcPr>
          <w:p>
            <w:pPr>
              <w:pStyle w:val="TableParagraph"/>
              <w:spacing w:line="244" w:lineRule="exact"/>
              <w:ind w:left="2"/>
              <w:jc w:val="left"/>
              <w:rPr>
                <w:rFonts w:ascii="Microsoft JhengHei" w:eastAsia="Microsoft JhengHei" w:hint="eastAsia"/>
                <w:b/>
                <w:sz w:val="16"/>
              </w:rPr>
            </w:pPr>
            <w:r>
              <w:rPr>
                <w:rFonts w:ascii="Microsoft JhengHei" w:eastAsia="Microsoft JhengHei" w:hint="eastAsia"/>
                <w:b/>
                <w:sz w:val="16"/>
              </w:rPr>
              <w:t>名称</w:t>
            </w:r>
          </w:p>
        </w:tc>
        <w:tc>
          <w:tcPr>
            <w:tcW w:w="3136" w:type="dxa"/>
          </w:tcPr>
          <w:p>
            <w:pPr>
              <w:pStyle w:val="TableParagraph"/>
              <w:spacing w:line="244" w:lineRule="exact"/>
              <w:ind w:left="2"/>
              <w:jc w:val="left"/>
              <w:rPr>
                <w:rFonts w:ascii="Microsoft JhengHei" w:eastAsia="Microsoft JhengHei" w:hint="eastAsia"/>
                <w:b/>
                <w:sz w:val="16"/>
              </w:rPr>
            </w:pPr>
            <w:r>
              <w:rPr>
                <w:rFonts w:ascii="Microsoft JhengHei" w:eastAsia="Microsoft JhengHei" w:hint="eastAsia"/>
                <w:b/>
                <w:sz w:val="16"/>
              </w:rPr>
              <w:t>图片</w:t>
            </w:r>
          </w:p>
        </w:tc>
        <w:tc>
          <w:tcPr>
            <w:tcW w:w="4815" w:type="dxa"/>
            <w:tcBorders>
              <w:right w:val="nil"/>
            </w:tcBorders>
          </w:tcPr>
          <w:p>
            <w:pPr>
              <w:pStyle w:val="TableParagraph"/>
              <w:spacing w:line="244" w:lineRule="exact"/>
              <w:ind w:left="115"/>
              <w:jc w:val="left"/>
              <w:rPr>
                <w:rFonts w:ascii="Microsoft JhengHei" w:eastAsia="Microsoft JhengHei" w:hint="eastAsia"/>
                <w:b/>
                <w:sz w:val="16"/>
              </w:rPr>
            </w:pPr>
            <w:r>
              <w:rPr>
                <w:rFonts w:ascii="Microsoft JhengHei" w:eastAsia="Microsoft JhengHei" w:hint="eastAsia"/>
                <w:b/>
                <w:sz w:val="16"/>
              </w:rPr>
              <w:t>简介</w:t>
            </w:r>
          </w:p>
        </w:tc>
      </w:tr>
      <w:tr>
        <w:tblPrEx>
          <w:tblW w:w="0" w:type="auto"/>
          <w:jc w:val="left"/>
          <w:tblInd w:w="1155" w:type="dxa"/>
          <w:tblLayout w:type="fixed"/>
          <w:tblCellMar>
            <w:top w:w="0" w:type="dxa"/>
            <w:left w:w="0" w:type="dxa"/>
            <w:bottom w:w="0" w:type="dxa"/>
            <w:right w:w="0" w:type="dxa"/>
          </w:tblCellMar>
          <w:tblLook w:val="01E0"/>
        </w:tblPrEx>
        <w:trPr>
          <w:trHeight w:val="1803"/>
          <w:jc w:val="left"/>
        </w:trPr>
        <w:tc>
          <w:tcPr>
            <w:tcW w:w="1982" w:type="dxa"/>
            <w:tcBorders>
              <w:left w:val="nil"/>
            </w:tcBorders>
          </w:tcPr>
          <w:p>
            <w:pPr>
              <w:pStyle w:val="TableParagraph"/>
              <w:spacing w:line="185" w:lineRule="exact"/>
              <w:ind w:left="2"/>
              <w:jc w:val="left"/>
              <w:rPr>
                <w:rFonts w:ascii="宋体" w:eastAsia="宋体" w:hAnsi="宋体" w:hint="eastAsia"/>
                <w:sz w:val="16"/>
              </w:rPr>
            </w:pPr>
            <w:r>
              <w:rPr>
                <w:sz w:val="16"/>
              </w:rPr>
              <w:t>“1+X”</w:t>
            </w:r>
            <w:r>
              <w:rPr>
                <w:rFonts w:ascii="宋体" w:eastAsia="宋体" w:hAnsi="宋体" w:hint="eastAsia"/>
                <w:sz w:val="16"/>
              </w:rPr>
              <w:t>模块化产品</w:t>
            </w:r>
          </w:p>
        </w:tc>
        <w:tc>
          <w:tcPr>
            <w:tcW w:w="3136" w:type="dxa"/>
          </w:tcPr>
          <w:p>
            <w:pPr>
              <w:pStyle w:val="TableParagraph"/>
              <w:ind w:left="2" w:right="-58"/>
              <w:jc w:val="left"/>
              <w:rPr>
                <w:rFonts w:ascii="Microsoft JhengHei"/>
                <w:sz w:val="20"/>
              </w:rPr>
            </w:pPr>
            <w:r>
              <w:rPr>
                <w:rFonts w:ascii="Microsoft JhengHei"/>
                <w:sz w:val="20"/>
              </w:rPr>
              <w:drawing>
                <wp:inline distT="0" distB="0" distL="0" distR="0">
                  <wp:extent cx="1994890" cy="1133475"/>
                  <wp:effectExtent l="0" t="0" r="0" b="0"/>
                  <wp:docPr id="25"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4.jpeg"/>
                          <pic:cNvPicPr/>
                        </pic:nvPicPr>
                        <pic:blipFill>
                          <a:blip xmlns:r="http://schemas.openxmlformats.org/officeDocument/2006/relationships" r:embed="rId192" cstate="print"/>
                          <a:stretch>
                            <a:fillRect/>
                          </a:stretch>
                        </pic:blipFill>
                        <pic:spPr>
                          <a:xfrm>
                            <a:off x="0" y="0"/>
                            <a:ext cx="1994890" cy="1133475"/>
                          </a:xfrm>
                          <a:prstGeom prst="rect">
                            <a:avLst/>
                          </a:prstGeom>
                        </pic:spPr>
                      </pic:pic>
                    </a:graphicData>
                  </a:graphic>
                </wp:inline>
              </w:drawing>
            </w:r>
          </w:p>
        </w:tc>
        <w:tc>
          <w:tcPr>
            <w:tcW w:w="4815" w:type="dxa"/>
            <w:tcBorders>
              <w:right w:val="nil"/>
            </w:tcBorders>
          </w:tcPr>
          <w:p>
            <w:pPr>
              <w:pStyle w:val="TableParagraph"/>
              <w:spacing w:line="185" w:lineRule="exact"/>
              <w:ind w:left="115"/>
              <w:jc w:val="left"/>
              <w:rPr>
                <w:rFonts w:ascii="宋体" w:eastAsia="宋体" w:hint="eastAsia"/>
                <w:sz w:val="16"/>
              </w:rPr>
            </w:pPr>
            <w:r>
              <w:rPr>
                <w:rFonts w:ascii="宋体" w:eastAsia="宋体" w:hint="eastAsia"/>
                <w:sz w:val="16"/>
              </w:rPr>
              <w:t>公司深刻洞察市场需求，对传统形式逆变器进行重大革新，在行业</w:t>
            </w:r>
          </w:p>
          <w:p>
            <w:pPr>
              <w:pStyle w:val="TableParagraph"/>
              <w:spacing w:before="3" w:line="242" w:lineRule="auto"/>
              <w:ind w:left="115" w:right="12"/>
              <w:jc w:val="left"/>
              <w:rPr>
                <w:rFonts w:ascii="宋体" w:eastAsia="宋体" w:hAnsi="宋体" w:hint="eastAsia"/>
                <w:sz w:val="16"/>
              </w:rPr>
            </w:pPr>
            <w:r>
              <w:rPr>
                <w:rFonts w:ascii="宋体" w:eastAsia="宋体" w:hAnsi="宋体" w:hint="eastAsia"/>
                <w:spacing w:val="-4"/>
                <w:sz w:val="16"/>
              </w:rPr>
              <w:t xml:space="preserve">中率先推出了新型逆变器产品 </w:t>
            </w:r>
            <w:r>
              <w:rPr>
                <w:sz w:val="16"/>
              </w:rPr>
              <w:t>——“1+X”</w:t>
            </w:r>
            <w:r>
              <w:rPr>
                <w:rFonts w:ascii="宋体" w:eastAsia="宋体" w:hAnsi="宋体" w:hint="eastAsia"/>
                <w:spacing w:val="-1"/>
                <w:sz w:val="16"/>
              </w:rPr>
              <w:t>模块化逆变器。单台设备功率为</w:t>
            </w:r>
            <w:r>
              <w:rPr>
                <w:spacing w:val="-1"/>
                <w:sz w:val="16"/>
              </w:rPr>
              <w:t>1.1MW</w:t>
            </w:r>
            <w:r>
              <w:rPr>
                <w:rFonts w:ascii="宋体" w:eastAsia="宋体" w:hAnsi="宋体" w:hint="eastAsia"/>
                <w:spacing w:val="-7"/>
                <w:sz w:val="16"/>
              </w:rPr>
              <w:t xml:space="preserve">，通过多机并联可实现 </w:t>
            </w:r>
            <w:r>
              <w:rPr>
                <w:sz w:val="16"/>
              </w:rPr>
              <w:t>1.1MW-8.8MW</w:t>
            </w:r>
            <w:r>
              <w:rPr>
                <w:rFonts w:ascii="宋体" w:eastAsia="宋体" w:hAnsi="宋体" w:hint="eastAsia"/>
                <w:spacing w:val="-1"/>
                <w:sz w:val="16"/>
              </w:rPr>
              <w:t>子阵灵活配置，建站</w:t>
            </w:r>
            <w:r>
              <w:rPr>
                <w:rFonts w:ascii="宋体" w:eastAsia="宋体" w:hAnsi="宋体" w:hint="eastAsia"/>
                <w:spacing w:val="-8"/>
                <w:sz w:val="16"/>
              </w:rPr>
              <w:t xml:space="preserve">更灵活， 运维更简便。通过优化设备、系统、器件的模块化设计， </w:t>
            </w:r>
            <w:r>
              <w:rPr>
                <w:rFonts w:ascii="宋体" w:eastAsia="宋体" w:hAnsi="宋体" w:hint="eastAsia"/>
                <w:sz w:val="16"/>
              </w:rPr>
              <w:t>针对性简化运维、提高发电效率。</w:t>
            </w:r>
          </w:p>
        </w:tc>
      </w:tr>
      <w:tr>
        <w:tblPrEx>
          <w:tblW w:w="0" w:type="auto"/>
          <w:jc w:val="left"/>
          <w:tblInd w:w="1155" w:type="dxa"/>
          <w:tblLayout w:type="fixed"/>
          <w:tblCellMar>
            <w:top w:w="0" w:type="dxa"/>
            <w:left w:w="0" w:type="dxa"/>
            <w:bottom w:w="0" w:type="dxa"/>
            <w:right w:w="0" w:type="dxa"/>
          </w:tblCellMar>
          <w:tblLook w:val="01E0"/>
        </w:tblPrEx>
        <w:trPr>
          <w:trHeight w:val="1890"/>
          <w:jc w:val="left"/>
        </w:trPr>
        <w:tc>
          <w:tcPr>
            <w:tcW w:w="1982" w:type="dxa"/>
            <w:tcBorders>
              <w:left w:val="nil"/>
            </w:tcBorders>
          </w:tcPr>
          <w:p>
            <w:pPr>
              <w:pStyle w:val="TableParagraph"/>
              <w:spacing w:line="185" w:lineRule="exact"/>
              <w:ind w:left="2"/>
              <w:jc w:val="left"/>
              <w:rPr>
                <w:rFonts w:ascii="宋体" w:eastAsia="宋体" w:hint="eastAsia"/>
                <w:sz w:val="16"/>
              </w:rPr>
            </w:pPr>
            <w:r>
              <w:rPr>
                <w:sz w:val="16"/>
              </w:rPr>
              <w:t>SG320HX</w:t>
            </w:r>
            <w:r>
              <w:rPr>
                <w:rFonts w:ascii="宋体" w:eastAsia="宋体" w:hint="eastAsia"/>
                <w:sz w:val="16"/>
              </w:rPr>
              <w:t>系列组串逆变器（</w:t>
            </w:r>
          </w:p>
          <w:p>
            <w:pPr>
              <w:pStyle w:val="TableParagraph"/>
              <w:spacing w:before="3"/>
              <w:ind w:left="2"/>
              <w:jc w:val="left"/>
              <w:rPr>
                <w:rFonts w:ascii="宋体" w:eastAsia="宋体" w:hint="eastAsia"/>
                <w:sz w:val="16"/>
              </w:rPr>
            </w:pPr>
            <w:r>
              <w:rPr>
                <w:rFonts w:ascii="宋体" w:eastAsia="宋体" w:hint="eastAsia"/>
                <w:sz w:val="16"/>
              </w:rPr>
              <w:t>海外型号</w:t>
            </w:r>
            <w:r>
              <w:rPr>
                <w:sz w:val="16"/>
              </w:rPr>
              <w:t>350</w:t>
            </w:r>
            <w:r>
              <w:rPr>
                <w:rFonts w:ascii="宋体" w:eastAsia="宋体" w:hint="eastAsia"/>
                <w:sz w:val="16"/>
              </w:rPr>
              <w:t>）</w:t>
            </w:r>
          </w:p>
        </w:tc>
        <w:tc>
          <w:tcPr>
            <w:tcW w:w="3136" w:type="dxa"/>
          </w:tcPr>
          <w:p>
            <w:pPr>
              <w:pStyle w:val="TableParagraph"/>
              <w:spacing w:before="5"/>
              <w:jc w:val="left"/>
              <w:rPr>
                <w:rFonts w:ascii="Microsoft JhengHei"/>
                <w:b/>
                <w:sz w:val="6"/>
              </w:rPr>
            </w:pPr>
          </w:p>
          <w:p>
            <w:pPr>
              <w:pStyle w:val="TableParagraph"/>
              <w:ind w:left="608"/>
              <w:jc w:val="left"/>
              <w:rPr>
                <w:rFonts w:ascii="Microsoft JhengHei"/>
                <w:sz w:val="20"/>
              </w:rPr>
            </w:pPr>
            <w:r>
              <w:rPr>
                <w:rFonts w:ascii="Microsoft JhengHei"/>
                <w:sz w:val="20"/>
              </w:rPr>
              <w:drawing>
                <wp:inline distT="0" distB="0" distL="0" distR="0">
                  <wp:extent cx="1293799" cy="1057275"/>
                  <wp:effectExtent l="0" t="0" r="0" b="0"/>
                  <wp:docPr id="27"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5.jpeg"/>
                          <pic:cNvPicPr/>
                        </pic:nvPicPr>
                        <pic:blipFill>
                          <a:blip xmlns:r="http://schemas.openxmlformats.org/officeDocument/2006/relationships" r:embed="rId193" cstate="print"/>
                          <a:stretch>
                            <a:fillRect/>
                          </a:stretch>
                        </pic:blipFill>
                        <pic:spPr>
                          <a:xfrm>
                            <a:off x="0" y="0"/>
                            <a:ext cx="1293799" cy="1057275"/>
                          </a:xfrm>
                          <a:prstGeom prst="rect">
                            <a:avLst/>
                          </a:prstGeom>
                        </pic:spPr>
                      </pic:pic>
                    </a:graphicData>
                  </a:graphic>
                </wp:inline>
              </w:drawing>
            </w:r>
          </w:p>
        </w:tc>
        <w:tc>
          <w:tcPr>
            <w:tcW w:w="4815" w:type="dxa"/>
            <w:tcBorders>
              <w:right w:val="nil"/>
            </w:tcBorders>
          </w:tcPr>
          <w:p>
            <w:pPr>
              <w:pStyle w:val="TableParagraph"/>
              <w:spacing w:line="185" w:lineRule="exact"/>
              <w:ind w:left="115"/>
              <w:jc w:val="left"/>
              <w:rPr>
                <w:rFonts w:ascii="宋体" w:eastAsia="宋体" w:hint="eastAsia"/>
                <w:sz w:val="16"/>
              </w:rPr>
            </w:pPr>
            <w:r>
              <w:rPr>
                <w:rFonts w:ascii="宋体" w:eastAsia="宋体" w:hint="eastAsia"/>
                <w:sz w:val="16"/>
              </w:rPr>
              <w:t>随着大功率组件广泛应用，公司针对大型地面电站推出</w:t>
            </w:r>
            <w:r>
              <w:rPr>
                <w:sz w:val="16"/>
              </w:rPr>
              <w:t>320HX</w:t>
            </w:r>
            <w:r>
              <w:rPr>
                <w:rFonts w:ascii="宋体" w:eastAsia="宋体" w:hint="eastAsia"/>
                <w:sz w:val="16"/>
              </w:rPr>
              <w:t>大功</w:t>
            </w:r>
          </w:p>
          <w:p>
            <w:pPr>
              <w:pStyle w:val="TableParagraph"/>
              <w:spacing w:before="3" w:line="242" w:lineRule="auto"/>
              <w:ind w:left="115" w:right="58"/>
              <w:jc w:val="both"/>
              <w:rPr>
                <w:rFonts w:ascii="宋体" w:eastAsia="宋体" w:hint="eastAsia"/>
                <w:sz w:val="16"/>
              </w:rPr>
            </w:pPr>
            <w:r>
              <w:rPr>
                <w:rFonts w:ascii="宋体" w:eastAsia="宋体" w:hint="eastAsia"/>
                <w:spacing w:val="-2"/>
                <w:sz w:val="16"/>
              </w:rPr>
              <w:t>率组串式逆变器，通过子阵、功率寻优组合，实现系统</w:t>
            </w:r>
            <w:r>
              <w:rPr>
                <w:sz w:val="16"/>
              </w:rPr>
              <w:t>BOS</w:t>
            </w:r>
            <w:r>
              <w:rPr>
                <w:rFonts w:ascii="宋体" w:eastAsia="宋体" w:hint="eastAsia"/>
                <w:sz w:val="16"/>
              </w:rPr>
              <w:t>成本更</w:t>
            </w:r>
            <w:r>
              <w:rPr>
                <w:rFonts w:ascii="宋体" w:eastAsia="宋体" w:hint="eastAsia"/>
                <w:spacing w:val="-2"/>
                <w:sz w:val="16"/>
              </w:rPr>
              <w:t>优，同时在安全可靠、多维融合、更强支撑电网实现全面升级，引</w:t>
            </w:r>
            <w:r>
              <w:rPr>
                <w:rFonts w:ascii="宋体" w:eastAsia="宋体" w:hint="eastAsia"/>
                <w:sz w:val="16"/>
              </w:rPr>
              <w:t>领</w:t>
            </w:r>
            <w:r>
              <w:rPr>
                <w:sz w:val="16"/>
              </w:rPr>
              <w:t>300KW+</w:t>
            </w:r>
            <w:r>
              <w:rPr>
                <w:rFonts w:ascii="宋体" w:eastAsia="宋体" w:hint="eastAsia"/>
                <w:sz w:val="16"/>
              </w:rPr>
              <w:t>大功率组串新技术。</w:t>
            </w:r>
          </w:p>
        </w:tc>
      </w:tr>
      <w:tr>
        <w:tblPrEx>
          <w:tblW w:w="0" w:type="auto"/>
          <w:jc w:val="left"/>
          <w:tblInd w:w="1155" w:type="dxa"/>
          <w:tblLayout w:type="fixed"/>
          <w:tblCellMar>
            <w:top w:w="0" w:type="dxa"/>
            <w:left w:w="0" w:type="dxa"/>
            <w:bottom w:w="0" w:type="dxa"/>
            <w:right w:w="0" w:type="dxa"/>
          </w:tblCellMar>
          <w:tblLook w:val="01E0"/>
        </w:tblPrEx>
        <w:trPr>
          <w:trHeight w:val="1326"/>
          <w:jc w:val="left"/>
        </w:trPr>
        <w:tc>
          <w:tcPr>
            <w:tcW w:w="1982" w:type="dxa"/>
            <w:tcBorders>
              <w:left w:val="nil"/>
            </w:tcBorders>
          </w:tcPr>
          <w:p>
            <w:pPr>
              <w:pStyle w:val="TableParagraph"/>
              <w:spacing w:line="185" w:lineRule="exact"/>
              <w:ind w:left="2"/>
              <w:jc w:val="left"/>
              <w:rPr>
                <w:rFonts w:ascii="宋体" w:eastAsia="宋体" w:hint="eastAsia"/>
                <w:sz w:val="16"/>
              </w:rPr>
            </w:pPr>
            <w:r>
              <w:rPr>
                <w:sz w:val="16"/>
              </w:rPr>
              <w:t>SG30-125CX-P2</w:t>
            </w:r>
            <w:r>
              <w:rPr>
                <w:rFonts w:ascii="宋体" w:eastAsia="宋体" w:hint="eastAsia"/>
                <w:sz w:val="16"/>
              </w:rPr>
              <w:t>组串逆变器（</w:t>
            </w:r>
          </w:p>
          <w:p>
            <w:pPr>
              <w:pStyle w:val="TableParagraph"/>
              <w:spacing w:before="3"/>
              <w:ind w:left="2"/>
              <w:jc w:val="left"/>
              <w:rPr>
                <w:rFonts w:ascii="宋体" w:eastAsia="宋体" w:hint="eastAsia"/>
                <w:sz w:val="16"/>
              </w:rPr>
            </w:pPr>
            <w:r>
              <w:rPr>
                <w:rFonts w:ascii="宋体" w:eastAsia="宋体" w:hint="eastAsia"/>
                <w:sz w:val="16"/>
              </w:rPr>
              <w:t>工商业场景）</w:t>
            </w:r>
          </w:p>
        </w:tc>
        <w:tc>
          <w:tcPr>
            <w:tcW w:w="3136" w:type="dxa"/>
          </w:tcPr>
          <w:p>
            <w:pPr>
              <w:pStyle w:val="TableParagraph"/>
              <w:spacing w:before="17"/>
              <w:jc w:val="left"/>
              <w:rPr>
                <w:rFonts w:ascii="Microsoft JhengHei"/>
                <w:b/>
                <w:sz w:val="2"/>
              </w:rPr>
            </w:pPr>
          </w:p>
          <w:p>
            <w:pPr>
              <w:pStyle w:val="TableParagraph"/>
              <w:ind w:left="164" w:right="-44"/>
              <w:jc w:val="left"/>
              <w:rPr>
                <w:rFonts w:ascii="Microsoft JhengHei"/>
                <w:sz w:val="20"/>
              </w:rPr>
            </w:pPr>
            <w:r>
              <w:rPr>
                <w:rFonts w:ascii="Microsoft JhengHei"/>
                <w:sz w:val="20"/>
              </w:rPr>
              <w:drawing>
                <wp:inline distT="0" distB="0" distL="0" distR="0">
                  <wp:extent cx="1879825" cy="756094"/>
                  <wp:effectExtent l="0" t="0" r="0" b="0"/>
                  <wp:docPr id="29"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6.jpeg"/>
                          <pic:cNvPicPr/>
                        </pic:nvPicPr>
                        <pic:blipFill>
                          <a:blip xmlns:r="http://schemas.openxmlformats.org/officeDocument/2006/relationships" r:embed="rId194" cstate="print"/>
                          <a:stretch>
                            <a:fillRect/>
                          </a:stretch>
                        </pic:blipFill>
                        <pic:spPr>
                          <a:xfrm>
                            <a:off x="0" y="0"/>
                            <a:ext cx="1879825" cy="756094"/>
                          </a:xfrm>
                          <a:prstGeom prst="rect">
                            <a:avLst/>
                          </a:prstGeom>
                        </pic:spPr>
                      </pic:pic>
                    </a:graphicData>
                  </a:graphic>
                </wp:inline>
              </w:drawing>
            </w:r>
          </w:p>
        </w:tc>
        <w:tc>
          <w:tcPr>
            <w:tcW w:w="4815" w:type="dxa"/>
            <w:tcBorders>
              <w:right w:val="nil"/>
            </w:tcBorders>
          </w:tcPr>
          <w:p>
            <w:pPr>
              <w:pStyle w:val="TableParagraph"/>
              <w:spacing w:line="185" w:lineRule="exact"/>
              <w:ind w:left="115"/>
              <w:jc w:val="left"/>
              <w:rPr>
                <w:rFonts w:ascii="宋体" w:eastAsia="宋体" w:hint="eastAsia"/>
                <w:sz w:val="16"/>
              </w:rPr>
            </w:pPr>
            <w:r>
              <w:rPr>
                <w:rFonts w:ascii="宋体" w:eastAsia="宋体" w:hint="eastAsia"/>
                <w:sz w:val="16"/>
              </w:rPr>
              <w:t>公司基于精准的市场洞察，率先推出</w:t>
            </w:r>
            <w:r>
              <w:rPr>
                <w:sz w:val="16"/>
              </w:rPr>
              <w:t xml:space="preserve">125KW </w:t>
            </w:r>
            <w:r>
              <w:rPr>
                <w:rFonts w:ascii="宋体" w:eastAsia="宋体" w:hint="eastAsia"/>
                <w:sz w:val="16"/>
              </w:rPr>
              <w:t>大功率工商业逆变器，</w:t>
            </w:r>
          </w:p>
          <w:p>
            <w:pPr>
              <w:pStyle w:val="TableParagraph"/>
              <w:spacing w:before="3" w:line="242" w:lineRule="auto"/>
              <w:ind w:left="115" w:right="151"/>
              <w:jc w:val="left"/>
              <w:rPr>
                <w:rFonts w:ascii="宋体" w:eastAsia="宋体" w:hint="eastAsia"/>
                <w:sz w:val="16"/>
              </w:rPr>
            </w:pPr>
            <w:r>
              <w:rPr>
                <w:rFonts w:ascii="宋体" w:eastAsia="宋体" w:hint="eastAsia"/>
                <w:sz w:val="16"/>
              </w:rPr>
              <w:t>更大功率，</w:t>
            </w:r>
            <w:r>
              <w:rPr>
                <w:sz w:val="16"/>
              </w:rPr>
              <w:t>1+II</w:t>
            </w:r>
            <w:r>
              <w:rPr>
                <w:rFonts w:ascii="宋体" w:eastAsia="宋体" w:hint="eastAsia"/>
                <w:sz w:val="16"/>
              </w:rPr>
              <w:t>防雷，</w:t>
            </w:r>
            <w:r>
              <w:rPr>
                <w:sz w:val="16"/>
              </w:rPr>
              <w:t>AFCI2.0</w:t>
            </w:r>
            <w:r>
              <w:rPr>
                <w:rFonts w:ascii="宋体" w:eastAsia="宋体" w:hint="eastAsia"/>
                <w:sz w:val="16"/>
              </w:rPr>
              <w:t>，持续为电站安全保驾护航，已大批量应用在国内外工商业电站，持续引领行业发展。</w:t>
            </w:r>
          </w:p>
        </w:tc>
      </w:tr>
      <w:tr>
        <w:tblPrEx>
          <w:tblW w:w="0" w:type="auto"/>
          <w:jc w:val="left"/>
          <w:tblInd w:w="1155" w:type="dxa"/>
          <w:tblLayout w:type="fixed"/>
          <w:tblCellMar>
            <w:top w:w="0" w:type="dxa"/>
            <w:left w:w="0" w:type="dxa"/>
            <w:bottom w:w="0" w:type="dxa"/>
            <w:right w:w="0" w:type="dxa"/>
          </w:tblCellMar>
          <w:tblLook w:val="01E0"/>
        </w:tblPrEx>
        <w:trPr>
          <w:trHeight w:val="1940"/>
          <w:jc w:val="left"/>
        </w:trPr>
        <w:tc>
          <w:tcPr>
            <w:tcW w:w="1982" w:type="dxa"/>
            <w:tcBorders>
              <w:left w:val="nil"/>
            </w:tcBorders>
          </w:tcPr>
          <w:p>
            <w:pPr>
              <w:pStyle w:val="TableParagraph"/>
              <w:spacing w:line="185" w:lineRule="exact"/>
              <w:ind w:left="2"/>
              <w:jc w:val="left"/>
              <w:rPr>
                <w:rFonts w:ascii="宋体" w:eastAsia="宋体" w:hint="eastAsia"/>
                <w:sz w:val="16"/>
              </w:rPr>
            </w:pPr>
            <w:r>
              <w:rPr>
                <w:sz w:val="16"/>
              </w:rPr>
              <w:t>SG10-30T-CN</w:t>
            </w:r>
            <w:r>
              <w:rPr>
                <w:rFonts w:ascii="宋体" w:eastAsia="宋体" w:hint="eastAsia"/>
                <w:sz w:val="16"/>
              </w:rPr>
              <w:t>户用逆变器</w:t>
            </w:r>
          </w:p>
        </w:tc>
        <w:tc>
          <w:tcPr>
            <w:tcW w:w="3136" w:type="dxa"/>
          </w:tcPr>
          <w:p>
            <w:pPr>
              <w:pStyle w:val="TableParagraph"/>
              <w:spacing w:before="7"/>
              <w:jc w:val="left"/>
              <w:rPr>
                <w:rFonts w:ascii="Microsoft JhengHei"/>
                <w:b/>
                <w:sz w:val="14"/>
              </w:rPr>
            </w:pPr>
          </w:p>
          <w:p>
            <w:pPr>
              <w:pStyle w:val="TableParagraph"/>
              <w:ind w:left="1096"/>
              <w:jc w:val="left"/>
              <w:rPr>
                <w:rFonts w:ascii="Microsoft JhengHei"/>
                <w:sz w:val="20"/>
              </w:rPr>
            </w:pPr>
            <w:r>
              <w:rPr>
                <w:rFonts w:ascii="Microsoft JhengHei"/>
                <w:sz w:val="20"/>
              </w:rPr>
              <w:drawing>
                <wp:inline distT="0" distB="0" distL="0" distR="0">
                  <wp:extent cx="629235" cy="933450"/>
                  <wp:effectExtent l="0" t="0" r="0" b="0"/>
                  <wp:docPr id="31"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7.jpeg"/>
                          <pic:cNvPicPr/>
                        </pic:nvPicPr>
                        <pic:blipFill>
                          <a:blip xmlns:r="http://schemas.openxmlformats.org/officeDocument/2006/relationships" r:embed="rId195" cstate="print"/>
                          <a:stretch>
                            <a:fillRect/>
                          </a:stretch>
                        </pic:blipFill>
                        <pic:spPr>
                          <a:xfrm>
                            <a:off x="0" y="0"/>
                            <a:ext cx="629235" cy="933450"/>
                          </a:xfrm>
                          <a:prstGeom prst="rect">
                            <a:avLst/>
                          </a:prstGeom>
                        </pic:spPr>
                      </pic:pic>
                    </a:graphicData>
                  </a:graphic>
                </wp:inline>
              </w:drawing>
            </w:r>
          </w:p>
        </w:tc>
        <w:tc>
          <w:tcPr>
            <w:tcW w:w="4815" w:type="dxa"/>
            <w:tcBorders>
              <w:right w:val="nil"/>
            </w:tcBorders>
          </w:tcPr>
          <w:p>
            <w:pPr>
              <w:pStyle w:val="TableParagraph"/>
              <w:spacing w:line="185" w:lineRule="exact"/>
              <w:ind w:left="115"/>
              <w:jc w:val="left"/>
              <w:rPr>
                <w:rFonts w:ascii="宋体" w:eastAsia="宋体" w:hint="eastAsia"/>
                <w:sz w:val="16"/>
              </w:rPr>
            </w:pPr>
            <w:r>
              <w:rPr>
                <w:rFonts w:ascii="宋体" w:eastAsia="宋体" w:hint="eastAsia"/>
                <w:sz w:val="16"/>
              </w:rPr>
              <w:t>随着大功率光伏组件的广泛应用及更大户用光伏系统的安装需求，</w:t>
            </w:r>
          </w:p>
          <w:p>
            <w:pPr>
              <w:pStyle w:val="TableParagraph"/>
              <w:spacing w:before="3" w:line="242" w:lineRule="auto"/>
              <w:ind w:left="115" w:right="37"/>
              <w:jc w:val="left"/>
              <w:rPr>
                <w:rFonts w:ascii="宋体" w:eastAsia="宋体" w:hint="eastAsia"/>
                <w:sz w:val="16"/>
              </w:rPr>
            </w:pPr>
            <w:r>
              <w:rPr>
                <w:rFonts w:ascii="宋体" w:eastAsia="宋体" w:hint="eastAsia"/>
                <w:sz w:val="16"/>
              </w:rPr>
              <w:t>公司对</w:t>
            </w:r>
            <w:r>
              <w:rPr>
                <w:sz w:val="16"/>
              </w:rPr>
              <w:t>RT</w:t>
            </w:r>
            <w:r>
              <w:rPr>
                <w:rFonts w:ascii="宋体" w:eastAsia="宋体" w:hint="eastAsia"/>
                <w:sz w:val="16"/>
              </w:rPr>
              <w:t>系列产品进行全方位升级。不仅将单组串输入电流提升至</w:t>
            </w:r>
            <w:r>
              <w:rPr>
                <w:sz w:val="16"/>
              </w:rPr>
              <w:t>18A</w:t>
            </w:r>
            <w:r>
              <w:rPr>
                <w:rFonts w:ascii="宋体" w:eastAsia="宋体" w:hint="eastAsia"/>
                <w:sz w:val="16"/>
              </w:rPr>
              <w:t>，使其可以灵活适配大功率光伏组件和双面光伏组件；同时扩展了产品功率段，使其能够满足更广泛的户用装机需求。</w:t>
            </w:r>
          </w:p>
        </w:tc>
      </w:tr>
    </w:tbl>
    <w:p>
      <w:pPr>
        <w:spacing w:before="0"/>
        <w:ind w:left="1150" w:right="0" w:firstLine="0"/>
        <w:jc w:val="left"/>
        <w:rPr>
          <w:sz w:val="15"/>
        </w:rPr>
      </w:pPr>
      <w:r>
        <w:t xml:space="preserve">资料来源：公司资料， </w:t>
      </w:r>
    </w:p>
    <w:p>
      <w:pPr>
        <w:spacing w:after="0"/>
        <w:jc w:val="left"/>
        <w:rPr>
          <w:sz w:val="15"/>
        </w:rPr>
        <w:sectPr>
          <w:headerReference w:type="default" r:id="rId196"/>
          <w:footerReference w:type="default" r:id="rId197"/>
          <w:pgSz w:w="12240" w:h="15840"/>
          <w:pgMar w:top="1720" w:right="0" w:bottom="1380" w:left="0" w:header="708" w:footer="708"/>
          <w:pgNumType w:start="73"/>
          <w:cols w:space="708"/>
        </w:sectPr>
      </w:pPr>
    </w:p>
    <w:p>
      <w:pPr>
        <w:pStyle w:val="BodyText"/>
        <w:rPr>
          <w:sz w:val="20"/>
        </w:rPr>
      </w:pPr>
    </w:p>
    <w:p>
      <w:pPr>
        <w:pStyle w:val="BodyText"/>
        <w:spacing w:before="5"/>
        <w:rPr>
          <w:sz w:val="22"/>
        </w:rPr>
      </w:pPr>
    </w:p>
    <w:p>
      <w:pPr>
        <w:pStyle w:val="BodyText"/>
        <w:spacing w:before="65" w:line="232" w:lineRule="auto"/>
        <w:ind w:left="1151" w:right="3910"/>
        <w:jc w:val="both"/>
      </w:pPr>
      <w:r>
        <w:rPr>
          <w:color w:val="262626"/>
          <w:spacing w:val="3"/>
        </w:rPr>
        <w:t>公司</w:t>
      </w:r>
      <w:r>
        <w:rPr>
          <w:rFonts w:ascii="Calibri" w:eastAsia="Calibri" w:hAnsi="Calibri"/>
          <w:color w:val="262626"/>
        </w:rPr>
        <w:t>2021</w:t>
      </w:r>
      <w:r>
        <w:rPr>
          <w:color w:val="262626"/>
          <w:spacing w:val="-4"/>
        </w:rPr>
        <w:t xml:space="preserve">年在行业内首推 </w:t>
      </w:r>
      <w:r>
        <w:rPr>
          <w:rFonts w:ascii="Calibri" w:eastAsia="Calibri" w:hAnsi="Calibri"/>
          <w:color w:val="262626"/>
        </w:rPr>
        <w:t>“1+X”</w:t>
      </w:r>
      <w:r>
        <w:rPr>
          <w:color w:val="262626"/>
          <w:spacing w:val="2"/>
        </w:rPr>
        <w:t>模块化集中式逆变器，开创行业新品类，每个</w:t>
      </w:r>
      <w:r>
        <w:rPr>
          <w:color w:val="262626"/>
          <w:spacing w:val="-1"/>
        </w:rPr>
        <w:t>模块单元功率为</w:t>
      </w:r>
      <w:r>
        <w:rPr>
          <w:rFonts w:ascii="Calibri" w:eastAsia="Calibri" w:hAnsi="Calibri"/>
          <w:color w:val="262626"/>
        </w:rPr>
        <w:t>1.1MW</w:t>
      </w:r>
      <w:r>
        <w:rPr>
          <w:color w:val="262626"/>
          <w:spacing w:val="-2"/>
        </w:rPr>
        <w:t>，通过并联扩展实现</w:t>
      </w:r>
      <w:r>
        <w:rPr>
          <w:rFonts w:ascii="Calibri" w:eastAsia="Calibri" w:hAnsi="Calibri"/>
          <w:color w:val="262626"/>
        </w:rPr>
        <w:t>1.1MW-8.8MW</w:t>
      </w:r>
      <w:r>
        <w:rPr>
          <w:color w:val="262626"/>
          <w:spacing w:val="-2"/>
        </w:rPr>
        <w:t>子阵灵活配置，兼具</w:t>
      </w:r>
      <w:r>
        <w:rPr>
          <w:color w:val="262626"/>
          <w:spacing w:val="5"/>
        </w:rPr>
        <w:t>集中式和组串式逆变器优势，各模块独立运行、独立</w:t>
      </w:r>
      <w:r>
        <w:rPr>
          <w:rFonts w:ascii="Calibri" w:eastAsia="Calibri" w:hAnsi="Calibri"/>
          <w:color w:val="262626"/>
        </w:rPr>
        <w:t>MPPT</w:t>
      </w:r>
      <w:r>
        <w:rPr>
          <w:color w:val="262626"/>
          <w:spacing w:val="4"/>
        </w:rPr>
        <w:t>设计，具备了更高</w:t>
      </w:r>
      <w:r>
        <w:rPr>
          <w:color w:val="262626"/>
          <w:spacing w:val="3"/>
        </w:rPr>
        <w:t>的跟踪精度和即插即用式的简便运维，同时满足全球不同市场、各类应用场景</w:t>
      </w:r>
      <w:r>
        <w:rPr>
          <w:color w:val="262626"/>
        </w:rPr>
        <w:t>的多样化需求。</w:t>
      </w:r>
      <w:r>
        <w:rPr>
          <w:rFonts w:ascii="Calibri" w:eastAsia="Calibri" w:hAnsi="Calibri"/>
          <w:color w:val="262626"/>
        </w:rPr>
        <w:t>8.8MW</w:t>
      </w:r>
      <w:r>
        <w:rPr>
          <w:color w:val="262626"/>
        </w:rPr>
        <w:t>也是目前国内逆变器的最大单台功率。</w:t>
      </w:r>
    </w:p>
    <w:p>
      <w:pPr>
        <w:pStyle w:val="BodyText"/>
        <w:spacing w:before="175" w:line="232" w:lineRule="auto"/>
        <w:ind w:left="1151" w:right="3909"/>
        <w:jc w:val="both"/>
      </w:pPr>
      <w:r>
        <w:rPr>
          <w:color w:val="262626"/>
        </w:rPr>
        <w:t>公司最新研发的直流</w:t>
      </w:r>
      <w:r>
        <w:rPr>
          <w:rFonts w:ascii="Calibri" w:eastAsia="Calibri" w:hAnsi="Calibri"/>
          <w:color w:val="262626"/>
        </w:rPr>
        <w:t>2000V</w:t>
      </w:r>
      <w:r>
        <w:rPr>
          <w:color w:val="262626"/>
        </w:rPr>
        <w:t>高压逆变器</w:t>
      </w:r>
      <w:r>
        <w:rPr>
          <w:rFonts w:ascii="Calibri" w:eastAsia="Calibri" w:hAnsi="Calibri"/>
          <w:color w:val="262626"/>
        </w:rPr>
        <w:t>2023</w:t>
      </w:r>
      <w:r>
        <w:rPr>
          <w:color w:val="262626"/>
        </w:rPr>
        <w:t>年</w:t>
      </w:r>
      <w:r>
        <w:rPr>
          <w:rFonts w:ascii="Calibri" w:eastAsia="Calibri" w:hAnsi="Calibri"/>
          <w:color w:val="262626"/>
        </w:rPr>
        <w:t>7</w:t>
      </w:r>
      <w:r>
        <w:rPr>
          <w:color w:val="262626"/>
        </w:rPr>
        <w:t>月在陕西榆林</w:t>
      </w:r>
      <w:r>
        <w:rPr>
          <w:rFonts w:ascii="Calibri" w:eastAsia="Calibri" w:hAnsi="Calibri"/>
          <w:color w:val="262626"/>
        </w:rPr>
        <w:t>“</w:t>
      </w:r>
      <w:r>
        <w:rPr>
          <w:color w:val="262626"/>
        </w:rPr>
        <w:t>孟家湾光伏项目</w:t>
      </w:r>
      <w:r>
        <w:rPr>
          <w:rFonts w:ascii="Calibri" w:eastAsia="Calibri" w:hAnsi="Calibri"/>
          <w:color w:val="262626"/>
        </w:rPr>
        <w:t xml:space="preserve">” </w:t>
      </w:r>
      <w:r>
        <w:rPr>
          <w:color w:val="262626"/>
        </w:rPr>
        <w:t>成功并网发电，这是</w:t>
      </w:r>
      <w:r>
        <w:rPr>
          <w:rFonts w:ascii="Calibri" w:eastAsia="Calibri" w:hAnsi="Calibri"/>
          <w:color w:val="262626"/>
        </w:rPr>
        <w:t>2000V</w:t>
      </w:r>
      <w:r>
        <w:rPr>
          <w:color w:val="262626"/>
        </w:rPr>
        <w:t>系统在世界范围内第一次并网实证，标志着光伏系统成功从</w:t>
      </w:r>
      <w:r>
        <w:rPr>
          <w:rFonts w:ascii="Calibri" w:eastAsia="Calibri" w:hAnsi="Calibri"/>
          <w:color w:val="262626"/>
        </w:rPr>
        <w:t>1500V</w:t>
      </w:r>
      <w:r>
        <w:rPr>
          <w:color w:val="262626"/>
        </w:rPr>
        <w:t>进阶至</w:t>
      </w:r>
      <w:r>
        <w:rPr>
          <w:rFonts w:ascii="Calibri" w:eastAsia="Calibri" w:hAnsi="Calibri"/>
          <w:color w:val="262626"/>
        </w:rPr>
        <w:t>2000V</w:t>
      </w:r>
      <w:r>
        <w:rPr>
          <w:color w:val="262626"/>
        </w:rPr>
        <w:t>，在光伏降本增效之路上迈出关键一步。</w:t>
      </w:r>
    </w:p>
    <w:p>
      <w:pPr>
        <w:pStyle w:val="BodyText"/>
        <w:spacing w:before="177" w:line="232" w:lineRule="auto"/>
        <w:ind w:left="1151" w:right="3910"/>
        <w:jc w:val="both"/>
      </w:pPr>
      <w:r>
        <w:rPr>
          <w:color w:val="262626"/>
        </w:rPr>
        <w:t>以上多项行业首创均反映出公司领先行业的强大技术实力。此外，公司通过采用新型半导体材料、高效磁性器件、优化电路设计、改善</w:t>
      </w:r>
      <w:r>
        <w:rPr>
          <w:rFonts w:ascii="Calibri" w:eastAsia="Calibri"/>
          <w:color w:val="262626"/>
        </w:rPr>
        <w:t>MPPT</w:t>
      </w:r>
      <w:r>
        <w:rPr>
          <w:color w:val="262626"/>
        </w:rPr>
        <w:t>算法、优化散热系统等，带动逆变器效率不断提升，目前逆变器最大效率已全线达到</w:t>
      </w:r>
      <w:r>
        <w:rPr>
          <w:rFonts w:ascii="Calibri" w:eastAsia="Calibri"/>
          <w:color w:val="262626"/>
        </w:rPr>
        <w:t>99%</w:t>
      </w:r>
      <w:r>
        <w:rPr>
          <w:color w:val="262626"/>
        </w:rPr>
        <w:t>。</w:t>
      </w:r>
    </w:p>
    <w:p>
      <w:pPr>
        <w:spacing w:before="70"/>
        <w:ind w:left="1151" w:right="0" w:firstLine="0"/>
        <w:jc w:val="left"/>
        <w:rPr>
          <w:rFonts w:ascii="Microsoft JhengHei" w:eastAsia="Microsoft JhengHei" w:hint="eastAsia"/>
          <w:b/>
          <w:sz w:val="24"/>
        </w:rPr>
      </w:pPr>
      <w:r>
        <w:rPr>
          <w:rFonts w:ascii="Microsoft JhengHei" w:eastAsia="Microsoft JhengHei" w:hint="eastAsia"/>
          <w:b/>
          <w:color w:val="59A1AE"/>
          <w:sz w:val="24"/>
        </w:rPr>
        <w:t>公司在大功率产品领域优势明显</w:t>
      </w:r>
    </w:p>
    <w:p>
      <w:pPr>
        <w:pStyle w:val="BodyText"/>
        <w:spacing w:before="158" w:line="232" w:lineRule="auto"/>
        <w:ind w:left="1151" w:right="3910"/>
        <w:jc w:val="both"/>
      </w:pPr>
      <w:r>
        <w:rPr>
          <w:color w:val="262626"/>
        </w:rPr>
        <w:t>公司在用于地面电站的大功率逆变器（集中式和</w:t>
      </w:r>
      <w:r>
        <w:rPr>
          <w:rFonts w:ascii="Calibri" w:eastAsia="Calibri"/>
          <w:color w:val="262626"/>
        </w:rPr>
        <w:t>150kW</w:t>
      </w:r>
      <w:r>
        <w:rPr>
          <w:color w:val="262626"/>
        </w:rPr>
        <w:t>以上组串式）市场上具</w:t>
      </w:r>
      <w:r>
        <w:rPr>
          <w:color w:val="262626"/>
          <w:spacing w:val="-2"/>
        </w:rPr>
        <w:t>有显著优势，大功率组串逆变器</w:t>
      </w:r>
      <w:r>
        <w:rPr>
          <w:rFonts w:ascii="Calibri" w:eastAsia="Calibri"/>
          <w:color w:val="262626"/>
        </w:rPr>
        <w:t>SG320HX</w:t>
      </w:r>
      <w:r>
        <w:rPr>
          <w:color w:val="262626"/>
        </w:rPr>
        <w:t>、</w:t>
      </w:r>
      <w:r>
        <w:rPr>
          <w:rFonts w:ascii="Calibri" w:eastAsia="Calibri"/>
          <w:color w:val="262626"/>
        </w:rPr>
        <w:t>1+X</w:t>
      </w:r>
      <w:r>
        <w:rPr>
          <w:color w:val="262626"/>
          <w:spacing w:val="-2"/>
        </w:rPr>
        <w:t>模块化逆变器在全球各类场景中</w:t>
      </w:r>
      <w:r>
        <w:rPr>
          <w:color w:val="262626"/>
        </w:rPr>
        <w:t>得到广泛深入应用</w:t>
      </w:r>
      <w:r>
        <w:rPr>
          <w:rFonts w:ascii="Calibri" w:eastAsia="Calibri"/>
          <w:color w:val="262626"/>
        </w:rPr>
        <w:t>,</w:t>
      </w:r>
      <w:r>
        <w:rPr>
          <w:color w:val="262626"/>
          <w:spacing w:val="-5"/>
        </w:rPr>
        <w:t>其中</w:t>
      </w:r>
      <w:r>
        <w:rPr>
          <w:rFonts w:ascii="Calibri" w:eastAsia="Calibri"/>
          <w:color w:val="262626"/>
        </w:rPr>
        <w:t>1+X</w:t>
      </w:r>
      <w:r>
        <w:rPr>
          <w:color w:val="262626"/>
          <w:spacing w:val="-2"/>
        </w:rPr>
        <w:t>模块化逆变器</w:t>
      </w:r>
      <w:r>
        <w:rPr>
          <w:rFonts w:ascii="Calibri" w:eastAsia="Calibri"/>
          <w:color w:val="262626"/>
        </w:rPr>
        <w:t>2023</w:t>
      </w:r>
      <w:r>
        <w:rPr>
          <w:color w:val="262626"/>
          <w:spacing w:val="-10"/>
        </w:rPr>
        <w:t>年</w:t>
      </w:r>
      <w:r>
        <w:rPr>
          <w:rFonts w:ascii="Calibri" w:eastAsia="Calibri"/>
          <w:color w:val="262626"/>
        </w:rPr>
        <w:t>6</w:t>
      </w:r>
      <w:r>
        <w:rPr>
          <w:color w:val="262626"/>
          <w:spacing w:val="-2"/>
        </w:rPr>
        <w:t>月底全球累计签单量已经超过</w:t>
      </w:r>
      <w:r>
        <w:rPr>
          <w:rFonts w:ascii="Calibri" w:eastAsia="Calibri"/>
          <w:color w:val="262626"/>
        </w:rPr>
        <w:t>16GW</w:t>
      </w:r>
      <w:r>
        <w:rPr>
          <w:color w:val="262626"/>
        </w:rPr>
        <w:t>。</w:t>
      </w:r>
    </w:p>
    <w:p>
      <w:pPr>
        <w:pStyle w:val="BodyText"/>
        <w:spacing w:before="176" w:line="232" w:lineRule="auto"/>
        <w:ind w:left="1151" w:right="3910"/>
        <w:jc w:val="both"/>
      </w:pPr>
      <w:r>
        <w:rPr>
          <w:rFonts w:ascii="Calibri" w:eastAsia="Calibri"/>
          <w:color w:val="262626"/>
        </w:rPr>
        <w:t>2023</w:t>
      </w:r>
      <w:r>
        <w:rPr>
          <w:color w:val="262626"/>
        </w:rPr>
        <w:t>上半年国内招投标项目中，公司在</w:t>
      </w:r>
      <w:r>
        <w:rPr>
          <w:rFonts w:ascii="Calibri" w:eastAsia="Calibri"/>
          <w:color w:val="262626"/>
        </w:rPr>
        <w:t>150kW</w:t>
      </w:r>
      <w:r>
        <w:rPr>
          <w:color w:val="262626"/>
        </w:rPr>
        <w:t>以上组串式标段中标</w:t>
      </w:r>
      <w:r>
        <w:rPr>
          <w:rFonts w:ascii="Calibri" w:eastAsia="Calibri"/>
          <w:color w:val="262626"/>
        </w:rPr>
        <w:t>10.2GW</w:t>
      </w:r>
      <w:r>
        <w:rPr>
          <w:color w:val="262626"/>
          <w:spacing w:val="-7"/>
        </w:rPr>
        <w:t>，排</w:t>
      </w:r>
      <w:r>
        <w:rPr>
          <w:color w:val="262626"/>
          <w:spacing w:val="-2"/>
        </w:rPr>
        <w:t>名第一，在集中式标段中标容量</w:t>
      </w:r>
      <w:r>
        <w:rPr>
          <w:rFonts w:ascii="Calibri" w:eastAsia="Calibri"/>
          <w:color w:val="262626"/>
        </w:rPr>
        <w:t>1.4GW</w:t>
      </w:r>
      <w:r>
        <w:rPr>
          <w:color w:val="262626"/>
          <w:spacing w:val="-4"/>
        </w:rPr>
        <w:t>，排名第</w:t>
      </w:r>
      <w:r>
        <w:rPr>
          <w:rFonts w:ascii="Calibri" w:eastAsia="Calibri"/>
          <w:color w:val="262626"/>
        </w:rPr>
        <w:t>4</w:t>
      </w:r>
      <w:r>
        <w:rPr>
          <w:color w:val="262626"/>
          <w:spacing w:val="-5"/>
        </w:rPr>
        <w:t>，合计</w:t>
      </w:r>
      <w:r>
        <w:rPr>
          <w:rFonts w:ascii="Calibri" w:eastAsia="Calibri"/>
          <w:color w:val="262626"/>
        </w:rPr>
        <w:t>11.6GW</w:t>
      </w:r>
      <w:r>
        <w:rPr>
          <w:color w:val="262626"/>
          <w:spacing w:val="-8"/>
        </w:rPr>
        <w:t>，在</w:t>
      </w:r>
      <w:r>
        <w:rPr>
          <w:rFonts w:ascii="Calibri" w:eastAsia="Calibri"/>
          <w:color w:val="262626"/>
        </w:rPr>
        <w:t>150kW</w:t>
      </w:r>
      <w:r>
        <w:rPr>
          <w:color w:val="262626"/>
          <w:spacing w:val="-6"/>
        </w:rPr>
        <w:t>以上</w:t>
      </w:r>
      <w:r>
        <w:rPr>
          <w:color w:val="262626"/>
        </w:rPr>
        <w:t>功率段排名第一，反映出公司在大功率逆变器上的龙头地位；公司在</w:t>
      </w:r>
      <w:r>
        <w:rPr>
          <w:rFonts w:ascii="Calibri" w:eastAsia="Calibri"/>
          <w:color w:val="262626"/>
        </w:rPr>
        <w:t>150kW</w:t>
      </w:r>
      <w:r>
        <w:rPr>
          <w:color w:val="262626"/>
        </w:rPr>
        <w:t>以下组串式标段也中标</w:t>
      </w:r>
      <w:r>
        <w:rPr>
          <w:rFonts w:ascii="Calibri" w:eastAsia="Calibri"/>
          <w:color w:val="262626"/>
        </w:rPr>
        <w:t xml:space="preserve">0.8GW, </w:t>
      </w:r>
      <w:r>
        <w:rPr>
          <w:color w:val="262626"/>
        </w:rPr>
        <w:t>排名第</w:t>
      </w:r>
      <w:r>
        <w:rPr>
          <w:rFonts w:ascii="Calibri" w:eastAsia="Calibri"/>
          <w:color w:val="262626"/>
        </w:rPr>
        <w:t>3</w:t>
      </w:r>
      <w:r>
        <w:rPr>
          <w:color w:val="262626"/>
        </w:rPr>
        <w:t>，反映出公司这一全能型选手在小功率产品上也具有强劲实力。</w:t>
      </w:r>
    </w:p>
    <w:p>
      <w:pPr>
        <w:pStyle w:val="BodyText"/>
        <w:spacing w:before="7"/>
        <w:rPr>
          <w:sz w:val="16"/>
        </w:rPr>
      </w:pPr>
    </w:p>
    <w:p>
      <w:pPr>
        <w:spacing w:after="0"/>
        <w:rPr>
          <w:sz w:val="16"/>
        </w:rPr>
        <w:sectPr>
          <w:headerReference w:type="default" r:id="rId198"/>
          <w:footerReference w:type="default" r:id="rId199"/>
          <w:pgSz w:w="12240" w:h="15840"/>
          <w:pgMar w:top="1720" w:right="0" w:bottom="1380" w:left="0" w:header="708" w:footer="708"/>
          <w:pgNumType w:start="74"/>
          <w:cols w:space="708"/>
        </w:sectPr>
      </w:pPr>
    </w:p>
    <w:p>
      <w:pPr>
        <w:pStyle w:val="Heading3"/>
        <w:spacing w:before="79" w:line="170" w:lineRule="auto"/>
      </w:pPr>
      <w:r>
        <w:pict>
          <v:line id="_x0000_s1842" style="mso-position-horizontal-relative:page;position:absolute;z-index:251811840" from="57.55pt,33.9pt" to="294.3pt,33.9pt" stroked="t" strokecolor="black" strokeweight="0.75pt">
            <v:stroke dashstyle="solid"/>
          </v:line>
        </w:pict>
      </w:r>
      <w:r>
        <w:t>图表</w:t>
      </w:r>
      <w:r>
        <w:rPr>
          <w:rFonts w:ascii="Calibri" w:eastAsia="Calibri"/>
        </w:rPr>
        <w:t>52: 2023</w:t>
      </w:r>
      <w:r>
        <w:t>上半年內地招投标项目集中式逆变器中标排名（</w:t>
      </w:r>
      <w:r>
        <w:rPr>
          <w:rFonts w:ascii="Calibri" w:eastAsia="Calibri"/>
        </w:rPr>
        <w:t>MW</w:t>
      </w:r>
      <w:r>
        <w:t>）</w:t>
      </w:r>
    </w:p>
    <w:p>
      <w:pPr>
        <w:spacing w:before="102"/>
        <w:ind w:left="0" w:right="4083" w:firstLine="0"/>
        <w:jc w:val="right"/>
        <w:rPr>
          <w:rFonts w:ascii="Calibri"/>
          <w:sz w:val="15"/>
        </w:rPr>
      </w:pPr>
      <w:r>
        <w:pict>
          <v:group id="_x0000_s1843" style="width:203pt;height:117.4pt;margin-top:9.71pt;margin-left:83.97pt;mso-position-horizontal-relative:page;position:absolute;z-index:251812864" coordorigin="1679,194" coordsize="4060,2348">
            <v:shape id="_x0000_s1844" style="width:2644;height:574;left:3088;position:absolute;top:1633" coordorigin="3088,1634" coordsize="2644,574" path="m4690,2207l5732,2207m3891,2207l4372,2207m4690,1919l5732,1919m3891,1919l4372,1919m3088,1634l5732,1634e" filled="f" stroked="t" strokecolor="#d8d8d8" strokeweight="0.7pt">
              <v:stroke dashstyle="solid"/>
              <v:path arrowok="t"/>
            </v:shape>
            <v:rect id="_x0000_s1845" style="width:319;height:785;left:4371;position:absolute;top:1707" filled="t" fillcolor="#59a1ae" stroked="f">
              <v:fill type="solid"/>
            </v:rect>
            <v:shape id="_x0000_s1846" style="width:1842;height:1433;left:1728;position:absolute;top:774" coordorigin="1728,775" coordsize="1842,1433" path="m3088,2207l3570,2207m2289,2207l2770,2207m1728,2207l1968,2207m2289,1919l2770,1919m1728,1919l1968,1919m2289,1634l2770,1634m1728,1634l1968,1634m2289,1348l2770,1348m1728,1348l1968,1348m2289,1060l2770,1060m1728,1060l1968,1060m2289,775l2770,775m1728,775l1968,775e" filled="f" stroked="t" strokecolor="#d8d8d8" strokeweight="0.7pt">
              <v:stroke dashstyle="solid"/>
              <v:path arrowok="t"/>
            </v:shape>
            <v:line id="_x0000_s1847" style="position:absolute" from="1728,489" to="5732,489" stroked="t" strokecolor="#d8d8d8" strokeweight="0.7pt">
              <v:stroke dashstyle="solid"/>
            </v:line>
            <v:rect id="_x0000_s1848" style="width:321;height:1995;left:1967;position:absolute;top:498" filled="t" fillcolor="#bcdadf" stroked="f">
              <v:fill type="solid"/>
            </v:rect>
            <v:shape id="_x0000_s1849" style="width:2644;height:1145;left:3088;position:absolute;top:774" coordorigin="3088,775" coordsize="2644,1145" path="m3088,1919l3570,1919m3088,1348l5732,1348m3088,1060l5732,1060m3088,775l5732,775e" filled="f" stroked="t" strokecolor="#d8d8d8" strokeweight="0.7pt">
              <v:stroke dashstyle="solid"/>
              <v:path arrowok="t"/>
            </v:shape>
            <v:shape id="_x0000_s1850" style="width:2723;height:1872;left:2769;position:absolute;top:621" coordorigin="2770,621" coordsize="2723,1872" path="m3088,621l2770,621,2770,2493,3088,2493,3088,621m3891,1685l3570,1685,3570,2493,3891,2493,3891,1685m5493,2214l5172,2214,5172,2493,5493,2493,5493,2214e" filled="t" fillcolor="#bcdadf" stroked="f">
              <v:fill type="solid"/>
              <v:path arrowok="t"/>
            </v:shape>
            <v:line id="_x0000_s1851" style="position:absolute" from="1728,201" to="5732,201" stroked="t" strokecolor="#d8d8d8" strokeweight="0.7pt">
              <v:stroke dashstyle="solid"/>
            </v:line>
            <v:line id="_x0000_s1852" style="position:absolute" from="1728,2493" to="1728,201" stroked="t" strokecolor="#a5a5a5" strokeweight="0.7pt">
              <v:stroke dashstyle="solid"/>
            </v:line>
            <v:shape id="_x0000_s1853" style="width:210210;height:9879880;position:absolute;top:-9873669" coordorigin="0,-9873668" coordsize="210210,9879880" path="m1679,2492l1728,2492m1679,2207l1728,2207m1679,1919l1728,1919m1679,1633l1728,1633m1679,1348l1728,1348m1679,1060l1728,1060m1679,774l1728,774m1679,489l1728,489m1679,201l1728,201e" filled="f" stroked="t" strokecolor="#a5a5a5" strokeweight="0.7pt">
              <v:stroke dashstyle="solid"/>
              <v:path arrowok="t"/>
            </v:shape>
            <v:shape id="_x0000_s1854" style="width:17237220;height:210210;position:absolute;top:-203999" coordorigin="0,-203998" coordsize="17237220,210210" path="m1728,2493l5732,2493m1728,2493l1728,2541m2528,2493l2528,2541m3330,2493l3330,2541m4130,2493l4130,2541m4932,2493l4932,2541m5732,2493l5732,2541e" filled="f" stroked="t" strokecolor="#a5a5a5" strokeweight="0.7pt">
              <v:stroke dashstyle="solid"/>
              <v:path arrowok="t"/>
            </v:shape>
          </v:group>
        </w:pict>
      </w:r>
      <w:r>
        <w:rPr>
          <w:rFonts w:ascii="Calibri"/>
          <w:spacing w:val="-1"/>
          <w:sz w:val="15"/>
        </w:rPr>
        <w:t>4,000</w:t>
      </w:r>
    </w:p>
    <w:p>
      <w:pPr>
        <w:spacing w:before="103"/>
        <w:ind w:left="0" w:right="4083" w:firstLine="0"/>
        <w:jc w:val="right"/>
        <w:rPr>
          <w:rFonts w:ascii="Calibri"/>
          <w:sz w:val="15"/>
        </w:rPr>
      </w:pPr>
      <w:r>
        <w:rPr>
          <w:rFonts w:ascii="Calibri"/>
          <w:spacing w:val="-1"/>
          <w:sz w:val="15"/>
        </w:rPr>
        <w:t>3,500</w:t>
      </w:r>
    </w:p>
    <w:p>
      <w:pPr>
        <w:spacing w:before="104"/>
        <w:ind w:left="0" w:right="4083" w:firstLine="0"/>
        <w:jc w:val="right"/>
        <w:rPr>
          <w:rFonts w:ascii="Calibri"/>
          <w:sz w:val="15"/>
        </w:rPr>
      </w:pPr>
      <w:r>
        <w:rPr>
          <w:rFonts w:ascii="Calibri"/>
          <w:spacing w:val="-1"/>
          <w:sz w:val="15"/>
        </w:rPr>
        <w:t>3,000</w:t>
      </w:r>
    </w:p>
    <w:p>
      <w:pPr>
        <w:spacing w:before="103"/>
        <w:ind w:left="0" w:right="4083" w:firstLine="0"/>
        <w:jc w:val="right"/>
        <w:rPr>
          <w:rFonts w:ascii="Calibri"/>
          <w:sz w:val="15"/>
        </w:rPr>
      </w:pPr>
      <w:r>
        <w:rPr>
          <w:rFonts w:ascii="Calibri"/>
          <w:spacing w:val="-1"/>
          <w:sz w:val="15"/>
        </w:rPr>
        <w:t>2,500</w:t>
      </w:r>
    </w:p>
    <w:p>
      <w:pPr>
        <w:spacing w:before="103"/>
        <w:ind w:left="0" w:right="4083" w:firstLine="0"/>
        <w:jc w:val="right"/>
        <w:rPr>
          <w:rFonts w:ascii="Calibri"/>
          <w:sz w:val="15"/>
        </w:rPr>
      </w:pPr>
      <w:r>
        <w:rPr>
          <w:rFonts w:ascii="Calibri"/>
          <w:spacing w:val="-1"/>
          <w:sz w:val="15"/>
        </w:rPr>
        <w:t>2,000</w:t>
      </w:r>
    </w:p>
    <w:p>
      <w:pPr>
        <w:spacing w:before="103"/>
        <w:ind w:left="0" w:right="4083" w:firstLine="0"/>
        <w:jc w:val="right"/>
        <w:rPr>
          <w:rFonts w:ascii="Calibri"/>
          <w:sz w:val="15"/>
        </w:rPr>
      </w:pPr>
      <w:r>
        <w:rPr>
          <w:rFonts w:ascii="Calibri"/>
          <w:spacing w:val="-1"/>
          <w:sz w:val="15"/>
        </w:rPr>
        <w:t>1,500</w:t>
      </w:r>
    </w:p>
    <w:p>
      <w:pPr>
        <w:spacing w:before="104"/>
        <w:ind w:left="0" w:right="4083" w:firstLine="0"/>
        <w:jc w:val="right"/>
        <w:rPr>
          <w:rFonts w:ascii="Calibri"/>
          <w:sz w:val="15"/>
        </w:rPr>
      </w:pPr>
      <w:r>
        <w:rPr>
          <w:rFonts w:ascii="Calibri"/>
          <w:spacing w:val="-1"/>
          <w:sz w:val="15"/>
        </w:rPr>
        <w:t>1,000</w:t>
      </w:r>
    </w:p>
    <w:p>
      <w:pPr>
        <w:spacing w:before="103"/>
        <w:ind w:left="0" w:right="4083" w:firstLine="0"/>
        <w:jc w:val="right"/>
        <w:rPr>
          <w:rFonts w:ascii="Calibri"/>
          <w:sz w:val="15"/>
        </w:rPr>
      </w:pPr>
      <w:r>
        <w:rPr>
          <w:rFonts w:ascii="Calibri"/>
          <w:spacing w:val="-1"/>
          <w:w w:val="105"/>
          <w:sz w:val="15"/>
        </w:rPr>
        <w:t>500</w:t>
      </w:r>
    </w:p>
    <w:p>
      <w:pPr>
        <w:spacing w:before="103"/>
        <w:ind w:left="0" w:right="4083" w:firstLine="0"/>
        <w:jc w:val="right"/>
        <w:rPr>
          <w:rFonts w:ascii="Calibri"/>
          <w:sz w:val="15"/>
        </w:rPr>
      </w:pPr>
      <w:r>
        <w:rPr>
          <w:rFonts w:ascii="Calibri"/>
          <w:w w:val="103"/>
          <w:sz w:val="15"/>
        </w:rPr>
        <w:t>0</w:t>
      </w:r>
    </w:p>
    <w:p>
      <w:pPr>
        <w:spacing w:before="11"/>
        <w:ind w:left="1816" w:right="0" w:firstLine="0"/>
        <w:jc w:val="left"/>
        <w:rPr>
          <w:sz w:val="15"/>
        </w:rPr>
      </w:pPr>
      <w:r>
        <w:rPr>
          <w:w w:val="105"/>
          <w:sz w:val="15"/>
        </w:rPr>
        <w:t>株洲变流 特变电工 上能电气 阳光电源 科华数据</w:t>
      </w:r>
    </w:p>
    <w:p>
      <w:pPr>
        <w:pStyle w:val="Heading3"/>
        <w:spacing w:before="69" w:line="170" w:lineRule="auto"/>
        <w:ind w:left="611" w:right="1198"/>
      </w:pPr>
      <w:r>
        <w:rPr>
          <w:b w:val="0"/>
        </w:rPr>
        <w:br w:type="column"/>
      </w:r>
      <w:r>
        <w:t>图表</w:t>
      </w:r>
      <w:r>
        <w:rPr>
          <w:rFonts w:ascii="Calibri" w:eastAsia="Calibri"/>
        </w:rPr>
        <w:t>53: 2023</w:t>
      </w:r>
      <w:r>
        <w:t>上半年內地招投标项目</w:t>
      </w:r>
      <w:r>
        <w:rPr>
          <w:rFonts w:ascii="Calibri" w:eastAsia="Calibri"/>
        </w:rPr>
        <w:t>150kW</w:t>
      </w:r>
      <w:r>
        <w:t>以上组串式逆变器中标排名（</w:t>
      </w:r>
      <w:r>
        <w:rPr>
          <w:rFonts w:ascii="Calibri" w:eastAsia="Calibri"/>
        </w:rPr>
        <w:t>MW</w:t>
      </w:r>
      <w:r>
        <w:t>）</w:t>
      </w:r>
    </w:p>
    <w:p>
      <w:pPr>
        <w:pStyle w:val="BodyText"/>
        <w:rPr>
          <w:rFonts w:ascii="Microsoft JhengHei"/>
          <w:b/>
          <w:sz w:val="2"/>
        </w:rPr>
      </w:pPr>
    </w:p>
    <w:p>
      <w:pPr>
        <w:pStyle w:val="BodyText"/>
        <w:spacing w:line="20" w:lineRule="exact"/>
        <w:ind w:left="603"/>
        <w:rPr>
          <w:rFonts w:ascii="Microsoft JhengHei"/>
          <w:sz w:val="2"/>
        </w:rPr>
      </w:pPr>
      <w:r>
        <w:rPr>
          <w:rFonts w:ascii="Microsoft JhengHei"/>
          <w:sz w:val="2"/>
        </w:rPr>
        <w:pict>
          <v:group id="_x0000_i1855" style="width:238.25pt;height:0.75pt;mso-position-horizontal-relative:char;mso-position-vertical-relative:line" coordorigin="0,0" coordsize="4765,15">
            <v:line id="_x0000_s1856" style="position:absolute" from="0,7" to="4765,7" stroked="t" strokecolor="black" strokeweight="0.75pt">
              <v:stroke dashstyle="solid"/>
            </v:line>
            <w10:wrap type="none"/>
          </v:group>
        </w:pict>
      </w:r>
    </w:p>
    <w:p>
      <w:pPr>
        <w:spacing w:before="23"/>
        <w:ind w:left="0" w:right="5380" w:firstLine="0"/>
        <w:jc w:val="right"/>
        <w:rPr>
          <w:rFonts w:ascii="Calibri"/>
          <w:sz w:val="15"/>
        </w:rPr>
      </w:pPr>
      <w:r>
        <w:pict>
          <v:group id="_x0000_s1857" style="width:197.45pt;height:119pt;margin-top:5.82pt;margin-left:347.53pt;mso-position-horizontal-relative:page;position:absolute;z-index:251813888" coordorigin="6951,116" coordsize="3949,2380">
            <v:shape id="_x0000_s1858" style="width:3893;height:775;left:6999;position:absolute;top:1284" coordorigin="6999,1284" coordsize="3893,775" path="m9879,2059l10892,2059m9101,2059l9569,2059m8322,2059l8790,2059m7544,2059l8012,2059m6999,2059l7233,2059m7544,1672l8012,1672m6999,1672l7233,1672m7544,1284l8012,1284m6999,1284l7233,1284e" filled="f" stroked="t" strokecolor="#d8d8d8" strokeweight="0.69pt">
              <v:stroke dashstyle="solid"/>
              <v:path arrowok="t"/>
            </v:shape>
            <v:shape id="_x0000_s1859" style="width:1013;height:389;left:6999;position:absolute;top:509" coordorigin="6999,509" coordsize="1013,389" path="m7544,898l8012,898m6999,898l7233,898m7544,509l8012,509m6999,509l7233,509e" filled="f" stroked="t" strokecolor="#d8d8d8" strokeweight="0.69pt">
              <v:stroke dashstyle="solid"/>
              <v:path arrowok="t"/>
            </v:shape>
            <v:rect id="_x0000_s1860" style="width:311;height:1980;left:7233;position:absolute;top:467" filled="t" fillcolor="#59a1ae" stroked="f">
              <v:fill type="solid"/>
            </v:rect>
            <v:shape id="_x0000_s1861" style="width:2570;height:389;left:8322;position:absolute;top:1284" coordorigin="8322,1284" coordsize="2570,389" path="m8322,1672l8790,1672m8322,1284l10892,1284e" filled="f" stroked="t" strokecolor="#d8d8d8" strokeweight="0.69pt">
              <v:stroke dashstyle="solid"/>
              <v:path arrowok="t"/>
            </v:shape>
            <v:shape id="_x0000_s1862" style="width:2570;height:389;left:8322;position:absolute;top:509" coordorigin="8322,509" coordsize="2570,389" path="m8322,898l10892,898m8322,509l10892,509e" filled="f" stroked="t" strokecolor="#d8d8d8" strokeweight="0.69pt">
              <v:stroke dashstyle="solid"/>
              <v:path arrowok="t"/>
            </v:shape>
            <v:rect id="_x0000_s1863" style="width:311;height:1975;left:8011;position:absolute;top:472" filled="t" fillcolor="#bcdadf" stroked="f">
              <v:fill type="solid"/>
            </v:rect>
            <v:line id="_x0000_s1864" style="position:absolute" from="9101,1672" to="10892,1672" stroked="t" strokecolor="#d8d8d8" strokeweight="0.69pt">
              <v:stroke dashstyle="solid"/>
            </v:line>
            <v:shape id="_x0000_s1865" style="width:1868;height:849;left:8790;position:absolute;top:1598" coordorigin="8790,1599" coordsize="1868,849" path="m9101,1599l8790,1599,8790,2447,9101,2447,9101,1599m9879,2019l9569,2019,9569,2447,9879,2447,9879,2019m10658,2140l10347,2140,10347,2447,10658,2447,10658,2140e" filled="t" fillcolor="#bcdadf" stroked="f">
              <v:fill type="solid"/>
              <v:path arrowok="t"/>
            </v:shape>
            <v:line id="_x0000_s1866" style="position:absolute" from="6999,123" to="10892,123" stroked="t" strokecolor="#d8d8d8" strokeweight="0.69pt">
              <v:stroke dashstyle="solid"/>
            </v:line>
            <v:line id="_x0000_s1867" style="position:absolute" from="6999,2447" to="6999,123" stroked="t" strokecolor="#a5a5a5" strokeweight="0.7pt">
              <v:stroke dashstyle="solid"/>
            </v:line>
            <v:shape id="_x0000_s1868" style="width:210738;height:10085280;position:absolute;top:-10079116" coordorigin="0,-10079115" coordsize="210738,10085280" path="m6951,2447l6999,2447m6951,2058l6999,2058m6951,1672l6999,1672m6951,1284l6999,1284m6951,898l6999,898m6951,509l6999,509m6951,123l6999,123e" filled="f" stroked="t" strokecolor="#a5a5a5" strokeweight="0.69pt">
              <v:stroke dashstyle="solid"/>
              <v:path arrowok="t"/>
            </v:shape>
            <v:shape id="_x0000_s1869" style="width:16858980;height:210738;position:absolute;top:-204574" coordorigin="0,-204573" coordsize="16858980,210738" path="m6999,2447l10892,2447m6999,2447l6999,2496m7778,2447l7778,2496m8556,2447l8556,2496m9335,2447l9335,2496m10113,2447l10113,2496m10892,2447l10892,2496e" filled="f" stroked="t" strokecolor="#a5a5a5" strokeweight="0.69pt">
              <v:stroke dashstyle="solid"/>
              <v:path arrowok="t"/>
            </v:shape>
          </v:group>
        </w:pict>
      </w:r>
      <w:r>
        <w:rPr>
          <w:rFonts w:ascii="Calibri"/>
          <w:spacing w:val="-1"/>
          <w:sz w:val="15"/>
        </w:rPr>
        <w:t>12,000</w:t>
      </w:r>
    </w:p>
    <w:p>
      <w:pPr>
        <w:pStyle w:val="BodyText"/>
        <w:spacing w:before="9"/>
        <w:rPr>
          <w:rFonts w:ascii="Calibri"/>
          <w:sz w:val="16"/>
        </w:rPr>
      </w:pPr>
    </w:p>
    <w:p>
      <w:pPr>
        <w:spacing w:before="0"/>
        <w:ind w:left="0" w:right="5380" w:firstLine="0"/>
        <w:jc w:val="right"/>
        <w:rPr>
          <w:rFonts w:ascii="Calibri"/>
          <w:sz w:val="15"/>
        </w:rPr>
      </w:pPr>
      <w:r>
        <w:rPr>
          <w:rFonts w:ascii="Calibri"/>
          <w:spacing w:val="-1"/>
          <w:sz w:val="15"/>
        </w:rPr>
        <w:t>10,000</w:t>
      </w:r>
    </w:p>
    <w:p>
      <w:pPr>
        <w:pStyle w:val="BodyText"/>
        <w:spacing w:before="9"/>
        <w:rPr>
          <w:rFonts w:ascii="Calibri"/>
          <w:sz w:val="16"/>
        </w:rPr>
      </w:pPr>
    </w:p>
    <w:p>
      <w:pPr>
        <w:spacing w:before="0"/>
        <w:ind w:left="0" w:right="5380" w:firstLine="0"/>
        <w:jc w:val="right"/>
        <w:rPr>
          <w:rFonts w:ascii="Calibri"/>
          <w:sz w:val="15"/>
        </w:rPr>
      </w:pPr>
      <w:r>
        <w:rPr>
          <w:rFonts w:ascii="Calibri"/>
          <w:spacing w:val="-1"/>
          <w:sz w:val="15"/>
        </w:rPr>
        <w:t>8,000</w:t>
      </w:r>
    </w:p>
    <w:p>
      <w:pPr>
        <w:pStyle w:val="BodyText"/>
        <w:spacing w:before="9"/>
        <w:rPr>
          <w:rFonts w:ascii="Calibri"/>
          <w:sz w:val="16"/>
        </w:rPr>
      </w:pPr>
    </w:p>
    <w:p>
      <w:pPr>
        <w:spacing w:before="0"/>
        <w:ind w:left="0" w:right="5380" w:firstLine="0"/>
        <w:jc w:val="right"/>
        <w:rPr>
          <w:rFonts w:ascii="Calibri"/>
          <w:sz w:val="15"/>
        </w:rPr>
      </w:pPr>
      <w:r>
        <w:rPr>
          <w:rFonts w:ascii="Calibri"/>
          <w:spacing w:val="-1"/>
          <w:sz w:val="15"/>
        </w:rPr>
        <w:t>6,000</w:t>
      </w:r>
    </w:p>
    <w:p>
      <w:pPr>
        <w:pStyle w:val="BodyText"/>
        <w:spacing w:before="9"/>
        <w:rPr>
          <w:rFonts w:ascii="Calibri"/>
          <w:sz w:val="16"/>
        </w:rPr>
      </w:pPr>
    </w:p>
    <w:p>
      <w:pPr>
        <w:spacing w:before="0"/>
        <w:ind w:left="0" w:right="5380" w:firstLine="0"/>
        <w:jc w:val="right"/>
        <w:rPr>
          <w:rFonts w:ascii="Calibri"/>
          <w:sz w:val="15"/>
        </w:rPr>
      </w:pPr>
      <w:r>
        <w:rPr>
          <w:rFonts w:ascii="Calibri"/>
          <w:spacing w:val="-1"/>
          <w:sz w:val="15"/>
        </w:rPr>
        <w:t>4,000</w:t>
      </w:r>
    </w:p>
    <w:p>
      <w:pPr>
        <w:pStyle w:val="BodyText"/>
        <w:spacing w:before="8"/>
        <w:rPr>
          <w:rFonts w:ascii="Calibri"/>
          <w:sz w:val="16"/>
        </w:rPr>
      </w:pPr>
    </w:p>
    <w:p>
      <w:pPr>
        <w:spacing w:before="1"/>
        <w:ind w:left="0" w:right="5380" w:firstLine="0"/>
        <w:jc w:val="right"/>
        <w:rPr>
          <w:rFonts w:ascii="Calibri"/>
          <w:sz w:val="15"/>
        </w:rPr>
      </w:pPr>
      <w:r>
        <w:rPr>
          <w:rFonts w:ascii="Calibri"/>
          <w:spacing w:val="-1"/>
          <w:sz w:val="15"/>
        </w:rPr>
        <w:t>2,000</w:t>
      </w:r>
    </w:p>
    <w:p>
      <w:pPr>
        <w:pStyle w:val="BodyText"/>
        <w:spacing w:before="8"/>
        <w:rPr>
          <w:rFonts w:ascii="Calibri"/>
          <w:sz w:val="16"/>
        </w:rPr>
      </w:pPr>
    </w:p>
    <w:p>
      <w:pPr>
        <w:spacing w:before="1"/>
        <w:ind w:left="0" w:right="5380" w:firstLine="0"/>
        <w:jc w:val="right"/>
        <w:rPr>
          <w:rFonts w:ascii="Calibri"/>
          <w:sz w:val="15"/>
        </w:rPr>
      </w:pPr>
      <w:r>
        <w:rPr>
          <w:rFonts w:ascii="Calibri"/>
          <w:w w:val="103"/>
          <w:sz w:val="15"/>
        </w:rPr>
        <w:t>0</w:t>
      </w:r>
    </w:p>
    <w:p>
      <w:pPr>
        <w:tabs>
          <w:tab w:val="left" w:pos="2301"/>
          <w:tab w:val="left" w:pos="2925"/>
        </w:tabs>
        <w:spacing w:before="10"/>
        <w:ind w:left="1368" w:right="0" w:firstLine="0"/>
        <w:jc w:val="left"/>
        <w:rPr>
          <w:sz w:val="15"/>
        </w:rPr>
      </w:pPr>
      <w:r>
        <w:rPr>
          <w:w w:val="105"/>
          <w:sz w:val="15"/>
        </w:rPr>
        <w:t>阳光电源</w:t>
        <w:tab/>
        <w:t>华为</w:t>
        <w:tab/>
        <w:t>株洲变流</w:t>
      </w:r>
      <w:r>
        <w:rPr>
          <w:spacing w:val="75"/>
          <w:w w:val="105"/>
          <w:sz w:val="15"/>
        </w:rPr>
        <w:t xml:space="preserve"> </w:t>
      </w:r>
      <w:r>
        <w:rPr>
          <w:w w:val="105"/>
          <w:sz w:val="15"/>
        </w:rPr>
        <w:t>禾望电气</w:t>
      </w:r>
      <w:r>
        <w:rPr>
          <w:spacing w:val="76"/>
          <w:w w:val="105"/>
          <w:sz w:val="15"/>
        </w:rPr>
        <w:t xml:space="preserve"> </w:t>
      </w:r>
      <w:r>
        <w:rPr>
          <w:w w:val="105"/>
          <w:sz w:val="15"/>
        </w:rPr>
        <w:t>上能电气</w:t>
      </w:r>
    </w:p>
    <w:p>
      <w:pPr>
        <w:spacing w:after="0"/>
        <w:jc w:val="left"/>
        <w:rPr>
          <w:sz w:val="15"/>
        </w:rPr>
        <w:sectPr>
          <w:headerReference w:type="default" r:id="rId200"/>
          <w:footerReference w:type="default" r:id="rId201"/>
          <w:type w:val="continuous"/>
          <w:pgSz w:w="12240" w:h="15840"/>
          <w:pgMar w:top="1500" w:right="0" w:bottom="280" w:left="0" w:header="708" w:footer="708"/>
          <w:pgNumType w:start="75"/>
          <w:cols w:num="2" w:space="708" w:equalWidth="0">
            <w:col w:w="5671" w:space="40"/>
            <w:col w:w="6529" w:space="0"/>
          </w:cols>
        </w:sectPr>
      </w:pPr>
    </w:p>
    <w:p>
      <w:pPr>
        <w:pStyle w:val="BodyText"/>
        <w:spacing w:before="9"/>
        <w:rPr>
          <w:sz w:val="6"/>
        </w:rPr>
      </w:pPr>
    </w:p>
    <w:p>
      <w:pPr>
        <w:tabs>
          <w:tab w:val="left" w:pos="6314"/>
        </w:tabs>
        <w:spacing w:line="20" w:lineRule="exact"/>
        <w:ind w:left="1143" w:right="0" w:firstLine="0"/>
        <w:rPr>
          <w:sz w:val="2"/>
        </w:rPr>
      </w:pPr>
      <w:r>
        <w:rPr>
          <w:sz w:val="2"/>
        </w:rPr>
        <w:pict>
          <v:group id="_x0000_i1870" style="width:236.75pt;height:0.75pt;mso-position-horizontal-relative:char;mso-position-vertical-relative:line" coordorigin="0,0" coordsize="4735,15">
            <v:line id="_x0000_s1871" style="position:absolute" from="0,8" to="4735,8" stroked="t" strokecolor="black" strokeweight="0.75pt">
              <v:stroke dashstyle="solid"/>
            </v:line>
            <w10:wrap type="none"/>
          </v:group>
        </w:pict>
      </w:r>
      <w:r>
        <w:rPr>
          <w:sz w:val="2"/>
        </w:rPr>
        <w:tab/>
      </w:r>
      <w:r>
        <w:rPr>
          <w:sz w:val="2"/>
        </w:rPr>
        <w:pict>
          <v:group id="_x0000_i1872" style="width:238.25pt;height:0.75pt;mso-position-horizontal-relative:char;mso-position-vertical-relative:line" coordorigin="0,0" coordsize="4765,15">
            <v:line id="_x0000_s1873" style="position:absolute" from="0,8" to="4765,8" stroked="t" strokecolor="black" strokeweight="0.75pt">
              <v:stroke dashstyle="solid"/>
            </v:line>
            <w10:wrap type="none"/>
          </v:group>
        </w:pict>
      </w:r>
    </w:p>
    <w:p>
      <w:pPr>
        <w:tabs>
          <w:tab w:val="left" w:pos="6321"/>
        </w:tabs>
        <w:spacing w:before="21"/>
        <w:ind w:left="1150" w:right="0" w:firstLine="0"/>
        <w:jc w:val="left"/>
        <w:rPr>
          <w:sz w:val="15"/>
        </w:rPr>
      </w:pPr>
      <w:r>
        <w:t xml:space="preserve">资料来源：国际能源网， </w:t>
        <w:tab/>
        <w:t xml:space="preserve">资料来源：国际能源网， </w:t>
      </w:r>
    </w:p>
    <w:p>
      <w:pPr>
        <w:spacing w:after="0"/>
        <w:jc w:val="left"/>
        <w:rPr>
          <w:sz w:val="15"/>
        </w:rPr>
        <w:sectPr>
          <w:headerReference w:type="default" r:id="rId202"/>
          <w:footerReference w:type="default" r:id="rId203"/>
          <w:type w:val="continuous"/>
          <w:pgSz w:w="12240" w:h="15840"/>
          <w:pgMar w:top="1500" w:right="0" w:bottom="280" w:left="0" w:header="708" w:footer="708"/>
          <w:pgNumType w:start="76"/>
          <w:cols w:space="708"/>
        </w:sectPr>
      </w:pPr>
    </w:p>
    <w:p>
      <w:pPr>
        <w:pStyle w:val="BodyText"/>
        <w:rPr>
          <w:sz w:val="20"/>
        </w:rPr>
      </w:pPr>
    </w:p>
    <w:p>
      <w:pPr>
        <w:pStyle w:val="BodyText"/>
        <w:rPr>
          <w:sz w:val="20"/>
        </w:rPr>
      </w:pPr>
    </w:p>
    <w:p>
      <w:pPr>
        <w:pStyle w:val="BodyText"/>
        <w:spacing w:before="9"/>
        <w:rPr>
          <w:sz w:val="15"/>
        </w:rPr>
      </w:pPr>
    </w:p>
    <w:p>
      <w:pPr>
        <w:pStyle w:val="Heading3"/>
        <w:spacing w:before="1" w:line="170" w:lineRule="auto"/>
        <w:ind w:right="4150"/>
      </w:pPr>
      <w:r>
        <w:pict>
          <v:shape id="_x0000_s1874" style="width:357.2pt;height:0.1pt;margin-top:30.49pt;margin-left:57.55pt;mso-position-horizontal-relative:page;mso-wrap-distance-left:0;mso-wrap-distance-right:0;position:absolute;z-index:-251501568" coordorigin="1151,610" coordsize="7144,0" path="m1151,610l8295,610e" filled="f" stroked="t" strokecolor="black" strokeweight="0.75pt">
            <v:stroke dashstyle="solid"/>
            <v:path arrowok="t"/>
            <w10:wrap type="topAndBottom"/>
          </v:shape>
        </w:pict>
      </w:r>
      <w:r>
        <w:rPr>
          <w:color w:val="262626"/>
        </w:rPr>
        <w:t>图表</w:t>
      </w:r>
      <w:r>
        <w:rPr>
          <w:rFonts w:ascii="Calibri" w:eastAsia="Calibri"/>
        </w:rPr>
        <w:t xml:space="preserve">54: </w:t>
      </w:r>
      <w:r>
        <w:rPr>
          <w:rFonts w:ascii="Calibri" w:eastAsia="Calibri"/>
          <w:color w:val="262626"/>
        </w:rPr>
        <w:t>2023</w:t>
      </w:r>
      <w:r>
        <w:rPr>
          <w:color w:val="262626"/>
        </w:rPr>
        <w:t>上半年內地招投标项目</w:t>
      </w:r>
      <w:r>
        <w:rPr>
          <w:rFonts w:ascii="Calibri" w:eastAsia="Calibri"/>
          <w:color w:val="262626"/>
        </w:rPr>
        <w:t>150kW</w:t>
      </w:r>
      <w:r>
        <w:rPr>
          <w:color w:val="262626"/>
        </w:rPr>
        <w:t>以下组串式逆变器中标排名</w:t>
      </w:r>
      <w:r>
        <w:t xml:space="preserve">（ </w:t>
      </w:r>
      <w:r>
        <w:rPr>
          <w:rFonts w:ascii="Calibri" w:eastAsia="Calibri"/>
        </w:rPr>
        <w:t>MW</w:t>
      </w:r>
      <w:r>
        <w:t>）</w:t>
      </w:r>
    </w:p>
    <w:p>
      <w:pPr>
        <w:spacing w:before="4"/>
        <w:ind w:left="0" w:right="9512" w:firstLine="0"/>
        <w:jc w:val="right"/>
        <w:rPr>
          <w:rFonts w:ascii="Calibri"/>
          <w:sz w:val="16"/>
        </w:rPr>
      </w:pPr>
      <w:r>
        <w:rPr>
          <w:rFonts w:ascii="Calibri"/>
          <w:color w:val="595959"/>
          <w:spacing w:val="-1"/>
          <w:sz w:val="16"/>
        </w:rPr>
        <w:t>1,600</w:t>
      </w:r>
    </w:p>
    <w:p>
      <w:pPr>
        <w:spacing w:before="105"/>
        <w:ind w:left="0" w:right="9512" w:firstLine="0"/>
        <w:jc w:val="right"/>
        <w:rPr>
          <w:rFonts w:ascii="Calibri"/>
          <w:sz w:val="16"/>
        </w:rPr>
      </w:pPr>
      <w:r>
        <w:pict>
          <v:group id="_x0000_s1875" style="width:209.85pt;height:123.25pt;margin-top:-4.75pt;margin-left:141.15pt;mso-position-horizontal-relative:page;position:absolute;z-index:251816960" coordorigin="2823,-95" coordsize="4197,2465">
            <v:shape id="_x0000_s1876" style="width:2732;height:903;left:4281;position:absolute;top:1114" coordorigin="4281,1114" coordsize="2732,903" path="m6762,2017l7012,2017m5936,2017l6431,2017m5107,2017l5605,2017m4281,2017l4776,2017m5107,1716l7012,1716m4281,1716l4776,1716m5107,1416l7012,1416m4281,1416l4776,1416m4281,1114l7012,1114e" filled="f" stroked="t" strokecolor="#d8d8d8" strokeweight="0.72pt">
              <v:stroke dashstyle="solid"/>
              <v:path arrowok="t"/>
            </v:shape>
            <v:rect id="_x0000_s1877" style="width:332;height:1141;left:4775;position:absolute;top:1179" filled="t" fillcolor="#59a1ae" stroked="f">
              <v:fill type="solid"/>
            </v:rect>
            <v:shape id="_x0000_s1878" style="width:4139;height:1804;left:2873;position:absolute;top:213" coordorigin="2873,214" coordsize="4139,1804" path="m3452,2017l3950,2017m2873,2017l3123,2017m3452,1716l3950,1716m2873,1716l3123,1716m3452,1416l3950,1416m2873,1416l3123,1416m3452,1114l3950,1114m2873,1114l3123,1114m3452,815l7012,815m2873,815l3123,815m3452,513l7012,513m2873,513l3123,513m3452,214l7012,214m2873,214l3123,214e" filled="f" stroked="t" strokecolor="#d8d8d8" strokeweight="0.72pt">
              <v:stroke dashstyle="solid"/>
              <v:path arrowok="t"/>
            </v:shape>
            <v:shape id="_x0000_s1879" style="width:3640;height:2257;left:3123;position:absolute;top:63" coordorigin="3123,63" coordsize="3640,2257" path="m3452,63l3123,63,3123,2319,3452,2319,3452,63m4281,1062l3950,1062,3950,2319,4281,2319,4281,1062m5936,1747l5605,1747,5605,2319,5936,2319,5936,1747m6762,1792l6431,1792,6431,2319,6762,2319,6762,1792e" filled="t" fillcolor="#bcdadf" stroked="f">
              <v:fill type="solid"/>
              <v:path arrowok="t"/>
            </v:shape>
            <v:line id="_x0000_s1880" style="position:absolute" from="2873,-88" to="7012,-88" stroked="t" strokecolor="#d8d8d8" strokeweight="0.72pt">
              <v:stroke dashstyle="solid"/>
            </v:line>
            <v:line id="_x0000_s1881" style="position:absolute" from="2873,2319" to="2873,-88" stroked="t" strokecolor="#a5a5a5" strokeweight="0.72pt">
              <v:stroke dashstyle="solid"/>
            </v:line>
            <v:shape id="_x0000_s1882" style="width:210210;height:10060060;position:absolute;top:-10047517" coordorigin="0,-10047517" coordsize="210210,10060060" path="m2823,2319l2873,2319m2823,2018l2873,2018m2823,1716l2873,1716m2823,1416l2873,1416m2823,1115l2873,1115m2823,815l2873,815m2823,513l2873,513m2823,214l2873,214m2823,-88l2873,-88e" filled="f" stroked="t" strokecolor="#a5a5a5" strokeweight="0.72pt">
              <v:stroke dashstyle="solid"/>
              <v:path arrowok="t"/>
            </v:shape>
            <v:shape id="_x0000_s1883" style="width:17247240;height:210210;position:absolute;top:-197668" coordorigin="0,-197667" coordsize="17247240,210210" path="m2873,2319l7012,2319m2873,2319l2873,2369m3702,2319l3702,2369m4528,2319l4528,2369m5357,2319l5357,2369m6183,2319l6183,2369m7012,2319l7012,2369e" filled="f" stroked="t" strokecolor="#a5a5a5" strokeweight="0.72pt">
              <v:stroke dashstyle="solid"/>
              <v:path arrowok="t"/>
            </v:shape>
          </v:group>
        </w:pict>
      </w:r>
      <w:r>
        <w:rPr>
          <w:rFonts w:ascii="Calibri"/>
          <w:color w:val="595959"/>
          <w:spacing w:val="-1"/>
          <w:sz w:val="16"/>
        </w:rPr>
        <w:t>1,400</w:t>
      </w:r>
    </w:p>
    <w:p>
      <w:pPr>
        <w:spacing w:before="106"/>
        <w:ind w:left="0" w:right="9512" w:firstLine="0"/>
        <w:jc w:val="right"/>
        <w:rPr>
          <w:rFonts w:ascii="Calibri"/>
          <w:sz w:val="16"/>
        </w:rPr>
      </w:pPr>
      <w:r>
        <w:rPr>
          <w:rFonts w:ascii="Calibri"/>
          <w:color w:val="595959"/>
          <w:spacing w:val="-1"/>
          <w:sz w:val="16"/>
        </w:rPr>
        <w:t>1,200</w:t>
      </w:r>
    </w:p>
    <w:p>
      <w:pPr>
        <w:spacing w:before="105"/>
        <w:ind w:left="0" w:right="9512" w:firstLine="0"/>
        <w:jc w:val="right"/>
        <w:rPr>
          <w:rFonts w:ascii="Calibri"/>
          <w:sz w:val="16"/>
        </w:rPr>
      </w:pPr>
      <w:r>
        <w:rPr>
          <w:rFonts w:ascii="Calibri"/>
          <w:color w:val="595959"/>
          <w:spacing w:val="-1"/>
          <w:sz w:val="16"/>
        </w:rPr>
        <w:t>1,000</w:t>
      </w:r>
    </w:p>
    <w:p>
      <w:pPr>
        <w:spacing w:before="106"/>
        <w:ind w:left="0" w:right="9511" w:firstLine="0"/>
        <w:jc w:val="right"/>
        <w:rPr>
          <w:rFonts w:ascii="Calibri"/>
          <w:sz w:val="16"/>
        </w:rPr>
      </w:pPr>
      <w:r>
        <w:rPr>
          <w:rFonts w:ascii="Calibri"/>
          <w:color w:val="595959"/>
          <w:spacing w:val="-1"/>
          <w:sz w:val="16"/>
        </w:rPr>
        <w:t>800</w:t>
      </w:r>
    </w:p>
    <w:p>
      <w:pPr>
        <w:spacing w:before="105"/>
        <w:ind w:left="0" w:right="9511" w:firstLine="0"/>
        <w:jc w:val="right"/>
        <w:rPr>
          <w:rFonts w:ascii="Calibri"/>
          <w:sz w:val="16"/>
        </w:rPr>
      </w:pPr>
      <w:r>
        <w:rPr>
          <w:rFonts w:ascii="Calibri"/>
          <w:color w:val="595959"/>
          <w:spacing w:val="-1"/>
          <w:sz w:val="16"/>
        </w:rPr>
        <w:t>600</w:t>
      </w:r>
    </w:p>
    <w:p>
      <w:pPr>
        <w:spacing w:before="106"/>
        <w:ind w:left="0" w:right="9511" w:firstLine="0"/>
        <w:jc w:val="right"/>
        <w:rPr>
          <w:rFonts w:ascii="Calibri"/>
          <w:sz w:val="16"/>
        </w:rPr>
      </w:pPr>
      <w:r>
        <w:rPr>
          <w:rFonts w:ascii="Calibri"/>
          <w:color w:val="595959"/>
          <w:spacing w:val="-1"/>
          <w:sz w:val="16"/>
        </w:rPr>
        <w:t>400</w:t>
      </w:r>
    </w:p>
    <w:p>
      <w:pPr>
        <w:spacing w:before="105"/>
        <w:ind w:left="0" w:right="9511" w:firstLine="0"/>
        <w:jc w:val="right"/>
        <w:rPr>
          <w:rFonts w:ascii="Calibri"/>
          <w:sz w:val="16"/>
        </w:rPr>
      </w:pPr>
      <w:r>
        <w:rPr>
          <w:rFonts w:ascii="Calibri"/>
          <w:color w:val="595959"/>
          <w:spacing w:val="-1"/>
          <w:sz w:val="16"/>
        </w:rPr>
        <w:t>200</w:t>
      </w:r>
    </w:p>
    <w:p>
      <w:pPr>
        <w:spacing w:before="106"/>
        <w:ind w:left="0" w:right="9512" w:firstLine="0"/>
        <w:jc w:val="right"/>
        <w:rPr>
          <w:rFonts w:ascii="Calibri"/>
          <w:sz w:val="16"/>
        </w:rPr>
      </w:pPr>
      <w:r>
        <w:rPr>
          <w:rFonts w:ascii="Calibri"/>
          <w:color w:val="595959"/>
          <w:w w:val="100"/>
          <w:sz w:val="16"/>
        </w:rPr>
        <w:t>0</w:t>
      </w:r>
    </w:p>
    <w:p>
      <w:pPr>
        <w:tabs>
          <w:tab w:val="left" w:pos="3792"/>
          <w:tab w:val="left" w:pos="5529"/>
          <w:tab w:val="left" w:pos="6274"/>
        </w:tabs>
        <w:spacing w:before="4"/>
        <w:ind w:left="3046" w:right="0" w:firstLine="0"/>
        <w:jc w:val="left"/>
        <w:rPr>
          <w:sz w:val="16"/>
        </w:rPr>
      </w:pPr>
      <w:r>
        <w:pict>
          <v:shape id="_x0000_s1884" style="width:357.2pt;height:0.1pt;margin-top:15.59pt;margin-left:57.55pt;mso-position-horizontal-relative:page;mso-wrap-distance-left:0;mso-wrap-distance-right:0;position:absolute;z-index:-251500544" coordorigin="1151,312" coordsize="7144,0" path="m1151,312l8295,312e" filled="f" stroked="t" strokecolor="black" strokeweight="0.75pt">
            <v:stroke dashstyle="solid"/>
            <v:path arrowok="t"/>
            <w10:wrap type="topAndBottom"/>
          </v:shape>
        </w:pict>
      </w:r>
      <w:r>
        <w:rPr>
          <w:color w:val="595959"/>
          <w:sz w:val="16"/>
        </w:rPr>
        <w:t>科士达</w:t>
        <w:tab/>
        <w:t xml:space="preserve">株洲变流 </w:t>
      </w:r>
      <w:r>
        <w:rPr>
          <w:color w:val="595959"/>
          <w:spacing w:val="27"/>
          <w:sz w:val="16"/>
        </w:rPr>
        <w:t xml:space="preserve"> </w:t>
      </w:r>
      <w:r>
        <w:rPr>
          <w:color w:val="595959"/>
          <w:sz w:val="16"/>
        </w:rPr>
        <w:t>阳光电源</w:t>
        <w:tab/>
        <w:t>固德威</w:t>
        <w:tab/>
        <w:t>锦浪科技</w:t>
      </w:r>
    </w:p>
    <w:p>
      <w:pPr>
        <w:spacing w:before="0"/>
        <w:ind w:left="1150" w:right="0" w:firstLine="0"/>
        <w:jc w:val="left"/>
        <w:rPr>
          <w:sz w:val="15"/>
        </w:rPr>
      </w:pPr>
      <w:r>
        <w:t xml:space="preserve">资料来源：国际能源网， </w:t>
      </w:r>
    </w:p>
    <w:p>
      <w:pPr>
        <w:pStyle w:val="BodyText"/>
        <w:spacing w:before="12"/>
        <w:rPr>
          <w:sz w:val="22"/>
        </w:rPr>
      </w:pPr>
    </w:p>
    <w:p>
      <w:pPr>
        <w:spacing w:before="0" w:line="415" w:lineRule="exact"/>
        <w:ind w:left="1151" w:right="0" w:firstLine="0"/>
        <w:jc w:val="left"/>
        <w:rPr>
          <w:rFonts w:ascii="Microsoft JhengHei" w:eastAsia="Microsoft JhengHei" w:hint="eastAsia"/>
          <w:b/>
          <w:sz w:val="24"/>
        </w:rPr>
      </w:pPr>
      <w:r>
        <w:rPr>
          <w:rFonts w:ascii="Microsoft JhengHei" w:eastAsia="Microsoft JhengHei" w:hint="eastAsia"/>
          <w:b/>
          <w:color w:val="59A1AE"/>
          <w:sz w:val="24"/>
        </w:rPr>
        <w:t>出货量稳居前二，地面产品占比高，充分受益于行业近期发展趋势</w:t>
      </w:r>
    </w:p>
    <w:p>
      <w:pPr>
        <w:pStyle w:val="BodyText"/>
        <w:spacing w:before="158" w:line="232" w:lineRule="auto"/>
        <w:ind w:left="1151" w:right="3910"/>
        <w:jc w:val="both"/>
      </w:pPr>
      <w:r>
        <w:rPr>
          <w:rFonts w:ascii="Calibri" w:eastAsia="Calibri"/>
          <w:color w:val="262626"/>
        </w:rPr>
        <w:t>2015</w:t>
      </w:r>
      <w:r>
        <w:rPr>
          <w:color w:val="262626"/>
        </w:rPr>
        <w:t>年公司光伏逆变器出货量首次位居全球第一，此后一直保持在前</w:t>
      </w:r>
      <w:r>
        <w:rPr>
          <w:rFonts w:ascii="Calibri" w:eastAsia="Calibri"/>
          <w:color w:val="262626"/>
        </w:rPr>
        <w:t>2</w:t>
      </w:r>
      <w:r>
        <w:rPr>
          <w:color w:val="262626"/>
        </w:rPr>
        <w:t>位。即使在华为</w:t>
      </w:r>
      <w:r>
        <w:rPr>
          <w:rFonts w:ascii="Calibri" w:eastAsia="Calibri"/>
          <w:color w:val="262626"/>
        </w:rPr>
        <w:t>2014</w:t>
      </w:r>
      <w:r>
        <w:rPr>
          <w:color w:val="262626"/>
        </w:rPr>
        <w:t>年通过首推组串式进入逆变器行业后，公司在激烈竞争下仍不落下风。据权威数据咨询机构标普全球发布的</w:t>
      </w:r>
      <w:r>
        <w:rPr>
          <w:rFonts w:ascii="Calibri" w:eastAsia="Calibri"/>
          <w:color w:val="262626"/>
        </w:rPr>
        <w:t>2022</w:t>
      </w:r>
      <w:r>
        <w:rPr>
          <w:color w:val="262626"/>
        </w:rPr>
        <w:t>年全球光伏逆变器企业出货量榜单，公司以</w:t>
      </w:r>
      <w:r>
        <w:rPr>
          <w:rFonts w:ascii="Calibri" w:eastAsia="Calibri"/>
          <w:color w:val="262626"/>
        </w:rPr>
        <w:t>77GW</w:t>
      </w:r>
      <w:r>
        <w:rPr>
          <w:color w:val="262626"/>
        </w:rPr>
        <w:t>的成绩蝉联全球第一。截至</w:t>
      </w:r>
      <w:r>
        <w:rPr>
          <w:rFonts w:ascii="Calibri" w:eastAsia="Calibri"/>
          <w:color w:val="262626"/>
        </w:rPr>
        <w:t>2023</w:t>
      </w:r>
      <w:r>
        <w:rPr>
          <w:color w:val="262626"/>
        </w:rPr>
        <w:t>年</w:t>
      </w:r>
      <w:r>
        <w:rPr>
          <w:rFonts w:ascii="Calibri" w:eastAsia="Calibri"/>
          <w:color w:val="262626"/>
        </w:rPr>
        <w:t>6</w:t>
      </w:r>
      <w:r>
        <w:rPr>
          <w:color w:val="262626"/>
        </w:rPr>
        <w:t>月，公司在全球市场已累计实现逆变设备装机超</w:t>
      </w:r>
      <w:r>
        <w:rPr>
          <w:rFonts w:ascii="Calibri" w:eastAsia="Calibri"/>
          <w:color w:val="262626"/>
        </w:rPr>
        <w:t>405GW</w:t>
      </w:r>
      <w:r>
        <w:rPr>
          <w:color w:val="262626"/>
        </w:rPr>
        <w:t>。公司</w:t>
      </w:r>
      <w:r>
        <w:rPr>
          <w:rFonts w:ascii="Calibri" w:eastAsia="Calibri"/>
          <w:color w:val="262626"/>
        </w:rPr>
        <w:t>2022</w:t>
      </w:r>
      <w:r>
        <w:rPr>
          <w:color w:val="262626"/>
        </w:rPr>
        <w:t>年获彭博新能源财经发布的</w:t>
      </w:r>
      <w:r>
        <w:rPr>
          <w:rFonts w:ascii="Calibri" w:eastAsia="Calibri"/>
          <w:color w:val="262626"/>
        </w:rPr>
        <w:t>100%</w:t>
      </w:r>
      <w:r>
        <w:rPr>
          <w:color w:val="262626"/>
        </w:rPr>
        <w:t>可融资性全球唯一逆变器品牌，并连续</w:t>
      </w:r>
      <w:r>
        <w:rPr>
          <w:rFonts w:ascii="Calibri" w:eastAsia="Calibri"/>
          <w:color w:val="262626"/>
        </w:rPr>
        <w:t>4</w:t>
      </w:r>
      <w:r>
        <w:rPr>
          <w:color w:val="262626"/>
        </w:rPr>
        <w:t>年位列榜首。</w:t>
      </w:r>
    </w:p>
    <w:p>
      <w:pPr>
        <w:pStyle w:val="BodyText"/>
        <w:spacing w:before="174" w:line="232" w:lineRule="auto"/>
        <w:ind w:left="1151" w:right="3910"/>
        <w:jc w:val="both"/>
      </w:pPr>
      <w:r>
        <w:rPr>
          <w:color w:val="262626"/>
        </w:rPr>
        <w:t>公司逆变器出货以地面电站逆变器为主，</w:t>
      </w:r>
      <w:r>
        <w:rPr>
          <w:rFonts w:ascii="Calibri" w:eastAsia="Calibri"/>
          <w:color w:val="262626"/>
        </w:rPr>
        <w:t>2023</w:t>
      </w:r>
      <w:r>
        <w:rPr>
          <w:color w:val="262626"/>
          <w:spacing w:val="-5"/>
        </w:rPr>
        <w:t>年前</w:t>
      </w:r>
      <w:r>
        <w:rPr>
          <w:rFonts w:ascii="Calibri" w:eastAsia="Calibri"/>
          <w:color w:val="262626"/>
        </w:rPr>
        <w:t>3</w:t>
      </w:r>
      <w:r>
        <w:rPr>
          <w:color w:val="262626"/>
          <w:spacing w:val="-3"/>
        </w:rPr>
        <w:t>季度占比</w:t>
      </w:r>
      <w:r>
        <w:rPr>
          <w:rFonts w:ascii="Calibri" w:eastAsia="Calibri"/>
          <w:color w:val="262626"/>
        </w:rPr>
        <w:t>67%</w:t>
      </w:r>
      <w:r>
        <w:rPr>
          <w:color w:val="262626"/>
          <w:spacing w:val="-3"/>
        </w:rPr>
        <w:t>，明显高于全</w:t>
      </w:r>
      <w:r>
        <w:rPr>
          <w:color w:val="262626"/>
        </w:rPr>
        <w:t>球不到</w:t>
      </w:r>
      <w:r>
        <w:rPr>
          <w:rFonts w:ascii="Calibri" w:eastAsia="Calibri"/>
          <w:color w:val="262626"/>
        </w:rPr>
        <w:t>50%</w:t>
      </w:r>
      <w:r>
        <w:rPr>
          <w:color w:val="262626"/>
        </w:rPr>
        <w:t>的地面电站新增装机占比，充分受益于</w:t>
      </w:r>
      <w:r>
        <w:rPr>
          <w:rFonts w:ascii="Calibri" w:eastAsia="Calibri"/>
          <w:color w:val="262626"/>
        </w:rPr>
        <w:t>2023</w:t>
      </w:r>
      <w:r>
        <w:rPr>
          <w:color w:val="262626"/>
        </w:rPr>
        <w:t>年以来光伏组件价格大跌而导致的地面新增装机爆发。</w:t>
      </w:r>
    </w:p>
    <w:p>
      <w:pPr>
        <w:pStyle w:val="BodyText"/>
        <w:spacing w:before="177" w:line="232" w:lineRule="auto"/>
        <w:ind w:left="1151" w:right="3910"/>
        <w:jc w:val="both"/>
      </w:pPr>
      <w:r>
        <w:rPr>
          <w:color w:val="262626"/>
        </w:rPr>
        <w:t>公司逆变器境内、境外市场并举。公司成立伊始就树立了全球化的发展战略， 目前海外的印度生产基地和泰国工厂产能已达</w:t>
      </w:r>
      <w:r>
        <w:rPr>
          <w:rFonts w:ascii="Calibri" w:eastAsia="Calibri"/>
          <w:color w:val="262626"/>
        </w:rPr>
        <w:t>25GW</w:t>
      </w:r>
      <w:r>
        <w:rPr>
          <w:color w:val="262626"/>
        </w:rPr>
        <w:t>，并在海外建设了超</w:t>
      </w:r>
      <w:r>
        <w:rPr>
          <w:rFonts w:ascii="Calibri" w:eastAsia="Calibri"/>
          <w:color w:val="262626"/>
        </w:rPr>
        <w:t>20</w:t>
      </w:r>
      <w:r>
        <w:rPr>
          <w:color w:val="262626"/>
        </w:rPr>
        <w:t>家分子公司，在全球六大服务区域拥有</w:t>
      </w:r>
      <w:r>
        <w:rPr>
          <w:rFonts w:ascii="Calibri" w:eastAsia="Calibri"/>
          <w:color w:val="262626"/>
        </w:rPr>
        <w:t>85+</w:t>
      </w:r>
      <w:r>
        <w:rPr>
          <w:color w:val="262626"/>
        </w:rPr>
        <w:t>全球服务中心，</w:t>
      </w:r>
      <w:r>
        <w:rPr>
          <w:rFonts w:ascii="Calibri" w:eastAsia="Calibri"/>
          <w:color w:val="262626"/>
        </w:rPr>
        <w:t>280+</w:t>
      </w:r>
      <w:r>
        <w:rPr>
          <w:color w:val="262626"/>
        </w:rPr>
        <w:t>认证授权服务商和数百家重要的渠道合作伙伴，产品已批量销往全球</w:t>
      </w:r>
      <w:r>
        <w:rPr>
          <w:rFonts w:ascii="Calibri" w:eastAsia="Calibri"/>
          <w:color w:val="262626"/>
        </w:rPr>
        <w:t>150</w:t>
      </w:r>
      <w:r>
        <w:rPr>
          <w:color w:val="262626"/>
        </w:rPr>
        <w:t>多个国家和地区。公司近年来凭借性价比优势抢占海外企业市场份额，并在华为与美国事件后填补华为在美国的市场份额，海外市占率快速提升，海外出货占比</w:t>
      </w:r>
      <w:r>
        <w:rPr>
          <w:rFonts w:ascii="Calibri" w:eastAsia="Calibri"/>
          <w:color w:val="262626"/>
        </w:rPr>
        <w:t>2023</w:t>
      </w:r>
      <w:r>
        <w:rPr>
          <w:color w:val="262626"/>
        </w:rPr>
        <w:t>年上半年已超</w:t>
      </w:r>
      <w:r>
        <w:rPr>
          <w:rFonts w:ascii="Calibri" w:eastAsia="Calibri"/>
          <w:color w:val="262626"/>
        </w:rPr>
        <w:t>60%</w:t>
      </w:r>
      <w:r>
        <w:rPr>
          <w:color w:val="262626"/>
        </w:rPr>
        <w:t>，主力市场为欧洲、美洲、澳洲。</w:t>
      </w:r>
    </w:p>
    <w:p>
      <w:pPr>
        <w:pStyle w:val="BodyText"/>
        <w:spacing w:before="173" w:line="232" w:lineRule="auto"/>
        <w:ind w:left="1151" w:right="3910"/>
        <w:jc w:val="both"/>
      </w:pPr>
      <w:r>
        <w:rPr>
          <w:color w:val="262626"/>
        </w:rPr>
        <w:t>同时，公司继续维持在国内市场的领先地位，</w:t>
      </w:r>
      <w:r>
        <w:rPr>
          <w:rFonts w:ascii="Calibri" w:eastAsia="Calibri"/>
          <w:color w:val="262626"/>
        </w:rPr>
        <w:t>2023</w:t>
      </w:r>
      <w:r>
        <w:rPr>
          <w:color w:val="262626"/>
        </w:rPr>
        <w:t>上半年国内招投标项目中， 公司中标</w:t>
      </w:r>
      <w:r>
        <w:rPr>
          <w:rFonts w:ascii="Calibri" w:eastAsia="Calibri"/>
          <w:color w:val="262626"/>
        </w:rPr>
        <w:t>12.4GW</w:t>
      </w:r>
      <w:r>
        <w:rPr>
          <w:color w:val="262626"/>
        </w:rPr>
        <w:t>，位居第一，其中</w:t>
      </w:r>
      <w:r>
        <w:rPr>
          <w:rFonts w:ascii="Calibri" w:eastAsia="Calibri"/>
          <w:color w:val="262626"/>
        </w:rPr>
        <w:t>150kW</w:t>
      </w:r>
      <w:r>
        <w:rPr>
          <w:color w:val="262626"/>
        </w:rPr>
        <w:t>以上功率段占比高达</w:t>
      </w:r>
      <w:r>
        <w:rPr>
          <w:rFonts w:ascii="Calibri" w:eastAsia="Calibri"/>
          <w:color w:val="262626"/>
        </w:rPr>
        <w:t>94%</w:t>
      </w:r>
      <w:r>
        <w:rPr>
          <w:color w:val="262626"/>
        </w:rPr>
        <w:t>。公司</w:t>
      </w:r>
      <w:r>
        <w:rPr>
          <w:rFonts w:ascii="Calibri" w:eastAsia="Calibri"/>
          <w:color w:val="262626"/>
        </w:rPr>
        <w:t xml:space="preserve">2023 </w:t>
      </w:r>
      <w:r>
        <w:rPr>
          <w:color w:val="262626"/>
        </w:rPr>
        <w:t>年上半年不到</w:t>
      </w:r>
      <w:r>
        <w:rPr>
          <w:rFonts w:ascii="Calibri" w:eastAsia="Calibri"/>
          <w:color w:val="262626"/>
        </w:rPr>
        <w:t>40%</w:t>
      </w:r>
      <w:r>
        <w:rPr>
          <w:color w:val="262626"/>
        </w:rPr>
        <w:t>的国内出货占比明显高于众多以海外市场为主的其他逆变器企业，因此更加受益于近年来的国内光伏新增装机爆发，同时公司无</w:t>
      </w:r>
      <w:r>
        <w:rPr>
          <w:rFonts w:ascii="Calibri" w:eastAsia="Calibri"/>
          <w:color w:val="262626"/>
        </w:rPr>
        <w:t>3kW</w:t>
      </w:r>
      <w:r>
        <w:rPr>
          <w:color w:val="262626"/>
        </w:rPr>
        <w:t>以下产品，户用组串式逆变器占比较低，因此受目前海外户用逆变器库存高企的影响较小。</w:t>
      </w:r>
    </w:p>
    <w:p>
      <w:pPr>
        <w:spacing w:after="0" w:line="232" w:lineRule="auto"/>
        <w:jc w:val="both"/>
        <w:sectPr>
          <w:headerReference w:type="default" r:id="rId204"/>
          <w:footerReference w:type="default" r:id="rId205"/>
          <w:pgSz w:w="12240" w:h="15840"/>
          <w:pgMar w:top="1720" w:right="0" w:bottom="1380" w:left="0" w:header="708" w:footer="708"/>
          <w:pgNumType w:start="77"/>
          <w:cols w:space="708"/>
        </w:sectPr>
      </w:pPr>
    </w:p>
    <w:p>
      <w:pPr>
        <w:pStyle w:val="BodyText"/>
        <w:rPr>
          <w:sz w:val="20"/>
        </w:rPr>
      </w:pPr>
    </w:p>
    <w:p>
      <w:pPr>
        <w:pStyle w:val="BodyText"/>
        <w:rPr>
          <w:sz w:val="20"/>
        </w:rPr>
      </w:pPr>
    </w:p>
    <w:p>
      <w:pPr>
        <w:spacing w:after="0"/>
        <w:rPr>
          <w:sz w:val="20"/>
        </w:rPr>
        <w:sectPr>
          <w:headerReference w:type="default" r:id="rId206"/>
          <w:footerReference w:type="default" r:id="rId207"/>
          <w:pgSz w:w="12240" w:h="15840"/>
          <w:pgMar w:top="1720" w:right="0" w:bottom="1380" w:left="0" w:header="708" w:footer="708"/>
          <w:pgNumType w:start="78"/>
          <w:cols w:space="708"/>
        </w:sectPr>
      </w:pPr>
    </w:p>
    <w:p>
      <w:pPr>
        <w:pStyle w:val="BodyText"/>
        <w:spacing w:before="9"/>
        <w:rPr>
          <w:sz w:val="15"/>
        </w:rPr>
      </w:pPr>
    </w:p>
    <w:p>
      <w:pPr>
        <w:pStyle w:val="Heading3"/>
        <w:spacing w:before="1" w:line="170" w:lineRule="auto"/>
      </w:pPr>
      <w:r>
        <w:pict>
          <v:line id="_x0000_s1885" style="mso-position-horizontal-relative:page;position:absolute;z-index:251819008" from="57.55pt,30.5pt" to="294.3pt,30.5pt" stroked="t" strokecolor="black" strokeweight="0.75pt">
            <v:stroke dashstyle="solid"/>
          </v:line>
        </w:pict>
      </w:r>
      <w:r>
        <w:t xml:space="preserve">图表 </w:t>
      </w:r>
      <w:r>
        <w:rPr>
          <w:rFonts w:ascii="Calibri" w:eastAsia="Calibri"/>
        </w:rPr>
        <w:t xml:space="preserve">55: 2023 </w:t>
      </w:r>
      <w:r>
        <w:t>上半年內地招投标项目逆变器中标排名（</w:t>
      </w:r>
      <w:r>
        <w:rPr>
          <w:rFonts w:ascii="Calibri" w:eastAsia="Calibri"/>
        </w:rPr>
        <w:t>MW</w:t>
      </w:r>
      <w:r>
        <w:t>）</w:t>
      </w:r>
    </w:p>
    <w:p>
      <w:pPr>
        <w:spacing w:before="108"/>
        <w:ind w:left="1183" w:right="0" w:firstLine="0"/>
        <w:jc w:val="left"/>
        <w:rPr>
          <w:rFonts w:ascii="Calibri"/>
          <w:sz w:val="16"/>
        </w:rPr>
      </w:pPr>
      <w:r>
        <w:pict>
          <v:group id="_x0000_s1886" style="width:202.05pt;height:119.6pt;margin-top:10.5pt;margin-left:86pt;mso-position-horizontal-relative:page;position:absolute;z-index:251820032" coordorigin="1720,210" coordsize="4041,2392">
            <v:shape id="_x0000_s1887" style="width:3984;height:1670;left:1769;position:absolute;top:548" coordorigin="1770,549" coordsize="3984,1670" path="m5514,2218l5753,2218m4717,2218l5196,2218m3920,2218l4399,2218m3124,2218l3603,2218m2327,2218l2806,2218m1770,2218l2009,2218m2327,1884l2806,1884m1770,1884l2009,1884m2327,1550l2806,1550m1770,1550l2009,1550m2327,1216l2806,1216m1770,1216l2009,1216m2327,883l2806,883m1770,883l2009,883m2327,549l5753,549m1770,549l2009,549e" filled="f" stroked="t" strokecolor="#d8d8d8" strokeweight="0.71pt">
              <v:stroke dashstyle="solid"/>
              <v:path arrowok="t"/>
            </v:shape>
            <v:rect id="_x0000_s1888" style="width:318;height:2065;left:2009;position:absolute;top:487" filled="t" fillcolor="#59a1ae" stroked="f">
              <v:fill type="solid"/>
            </v:rect>
            <v:shape id="_x0000_s1889" style="width:2630;height:1002;left:3123;position:absolute;top:882" coordorigin="3124,883" coordsize="2630,1002" path="m3124,1884l3603,1884m3124,1550l3603,1550m3124,1216l3603,1216m3124,883l5753,883e" filled="f" stroked="t" strokecolor="#d8d8d8" strokeweight="0.71pt">
              <v:stroke dashstyle="solid"/>
              <v:path arrowok="t"/>
            </v:shape>
            <v:rect id="_x0000_s1890" style="width:318;height:1847;left:2806;position:absolute;top:704" filled="t" fillcolor="#bcdadf" stroked="f">
              <v:fill type="solid"/>
            </v:rect>
            <v:shape id="_x0000_s1891" style="width:1833;height:668;left:3920;position:absolute;top:1216" coordorigin="3920,1216" coordsize="1833,668" path="m3920,1884l4399,1884m3920,1550l5753,1550m3920,1216l5753,1216e" filled="f" stroked="t" strokecolor="#d8d8d8" strokeweight="0.71pt">
              <v:stroke dashstyle="solid"/>
              <v:path arrowok="t"/>
            </v:shape>
            <v:rect id="_x0000_s1892" style="width:318;height:1468;left:3602;position:absolute;top:1083" filled="t" fillcolor="#bcdadf" stroked="f">
              <v:fill type="solid"/>
            </v:rect>
            <v:line id="_x0000_s1893" style="position:absolute" from="4717,1884" to="5753,1884" stroked="t" strokecolor="#d8d8d8" strokeweight="0.71pt">
              <v:stroke dashstyle="solid"/>
            </v:line>
            <v:shape id="_x0000_s1894" style="width:1115;height:694;left:4399;position:absolute;top:1858" coordorigin="4399,1858" coordsize="1115,694" path="m4717,1858l4399,1858,4399,2552,4717,2552,4717,1858m5514,2000l5196,2000,5196,2552,5514,2552,5514,2000e" filled="t" fillcolor="#bcdadf" stroked="f">
              <v:fill type="solid"/>
              <v:path arrowok="t"/>
            </v:shape>
            <v:line id="_x0000_s1895" style="position:absolute" from="1770,217" to="5753,217" stroked="t" strokecolor="#d8d8d8" strokeweight="0.71pt">
              <v:stroke dashstyle="solid"/>
            </v:line>
            <v:line id="_x0000_s1896" style="position:absolute" from="1770,2552" to="1770,217" stroked="t" strokecolor="#a5a5a5" strokeweight="0.71pt">
              <v:stroke dashstyle="solid"/>
            </v:line>
            <v:shape id="_x0000_s1897" style="width:210738;height:9894620;position:absolute;top:-9881807" coordorigin="0,-9881806" coordsize="210738,9894620" path="m1720,2552l1770,2552m1720,2218l1770,2218m1720,1884l1770,1884m1720,1550l1770,1550m1720,1216l1770,1216m1720,882l1770,882m1720,548l1770,548m1720,217l1770,217e" filled="f" stroked="t" strokecolor="#a5a5a5" strokeweight="0.71pt">
              <v:stroke dashstyle="solid"/>
              <v:path arrowok="t"/>
            </v:shape>
            <v:shape id="_x0000_s1898" style="width:16858980;height:210738;position:absolute;top:-197924" coordorigin="0,-197924" coordsize="16858980,210738" path="m1770,2552l5753,2552m1770,2552l1770,2601m2567,2552l2567,2601m3363,2552l3363,2601m4160,2552l4160,2601m4957,2552l4957,2601m5753,2552l5753,2601e" filled="f" stroked="t" strokecolor="#a5a5a5" strokeweight="0.71pt">
              <v:stroke dashstyle="solid"/>
              <v:path arrowok="t"/>
            </v:shape>
          </v:group>
        </w:pict>
      </w:r>
      <w:r>
        <w:rPr>
          <w:rFonts w:ascii="Calibri"/>
          <w:sz w:val="16"/>
        </w:rPr>
        <w:t>14,000</w:t>
      </w:r>
    </w:p>
    <w:p>
      <w:pPr>
        <w:spacing w:before="138"/>
        <w:ind w:left="1183" w:right="0" w:firstLine="0"/>
        <w:jc w:val="left"/>
        <w:rPr>
          <w:rFonts w:ascii="Calibri"/>
          <w:sz w:val="16"/>
        </w:rPr>
      </w:pPr>
      <w:r>
        <w:rPr>
          <w:rFonts w:ascii="Calibri"/>
          <w:sz w:val="16"/>
        </w:rPr>
        <w:t>12,000</w:t>
      </w:r>
    </w:p>
    <w:p>
      <w:pPr>
        <w:spacing w:before="138"/>
        <w:ind w:left="1183" w:right="0" w:firstLine="0"/>
        <w:jc w:val="left"/>
        <w:rPr>
          <w:rFonts w:ascii="Calibri"/>
          <w:sz w:val="16"/>
        </w:rPr>
      </w:pPr>
      <w:r>
        <w:rPr>
          <w:rFonts w:ascii="Calibri"/>
          <w:sz w:val="16"/>
        </w:rPr>
        <w:t>10,000</w:t>
      </w:r>
    </w:p>
    <w:p>
      <w:pPr>
        <w:spacing w:before="138"/>
        <w:ind w:left="1263" w:right="0" w:firstLine="0"/>
        <w:jc w:val="left"/>
        <w:rPr>
          <w:rFonts w:ascii="Calibri"/>
          <w:sz w:val="16"/>
        </w:rPr>
      </w:pPr>
      <w:r>
        <w:rPr>
          <w:rFonts w:ascii="Calibri"/>
          <w:sz w:val="16"/>
        </w:rPr>
        <w:t>8,000</w:t>
      </w:r>
    </w:p>
    <w:p>
      <w:pPr>
        <w:spacing w:before="138"/>
        <w:ind w:left="1263" w:right="0" w:firstLine="0"/>
        <w:jc w:val="left"/>
        <w:rPr>
          <w:rFonts w:ascii="Calibri"/>
          <w:sz w:val="16"/>
        </w:rPr>
      </w:pPr>
      <w:r>
        <w:rPr>
          <w:rFonts w:ascii="Calibri"/>
          <w:sz w:val="16"/>
        </w:rPr>
        <w:t>6,000</w:t>
      </w:r>
    </w:p>
    <w:p>
      <w:pPr>
        <w:pStyle w:val="BodyText"/>
        <w:spacing w:before="6"/>
        <w:rPr>
          <w:rFonts w:ascii="Calibri"/>
          <w:sz w:val="16"/>
        </w:rPr>
      </w:pPr>
      <w:r>
        <w:br w:type="column"/>
      </w:r>
    </w:p>
    <w:p>
      <w:pPr>
        <w:pStyle w:val="Heading3"/>
        <w:spacing w:line="170" w:lineRule="auto"/>
        <w:ind w:left="497" w:right="1282"/>
      </w:pPr>
      <w:r>
        <w:t xml:space="preserve">图表 </w:t>
      </w:r>
      <w:r>
        <w:rPr>
          <w:rFonts w:ascii="Calibri" w:eastAsia="Calibri"/>
        </w:rPr>
        <w:t xml:space="preserve">56: 2023 </w:t>
      </w:r>
      <w:r>
        <w:t>上半年內地招投标项目阳光电源逆变器中标分类构成</w:t>
      </w:r>
    </w:p>
    <w:p>
      <w:pPr>
        <w:pStyle w:val="BodyText"/>
        <w:rPr>
          <w:rFonts w:ascii="Microsoft JhengHei"/>
          <w:b/>
          <w:sz w:val="2"/>
        </w:rPr>
      </w:pPr>
    </w:p>
    <w:p>
      <w:pPr>
        <w:pStyle w:val="BodyText"/>
        <w:spacing w:line="20" w:lineRule="exact"/>
        <w:ind w:left="489"/>
        <w:rPr>
          <w:rFonts w:ascii="Microsoft JhengHei"/>
          <w:sz w:val="2"/>
        </w:rPr>
      </w:pPr>
      <w:r>
        <w:rPr>
          <w:rFonts w:ascii="Microsoft JhengHei"/>
          <w:sz w:val="2"/>
        </w:rPr>
        <w:pict>
          <v:group id="_x0000_i1899" style="width:238.25pt;height:0.75pt;mso-position-horizontal-relative:char;mso-position-vertical-relative:line" coordorigin="0,0" coordsize="4765,15">
            <v:line id="_x0000_s1900" style="position:absolute" from="0,7" to="4765,7" stroked="t" strokecolor="black" strokeweight="0.75pt">
              <v:stroke dashstyle="solid"/>
            </v:line>
            <w10:wrap type="none"/>
          </v:group>
        </w:pict>
      </w:r>
    </w:p>
    <w:p>
      <w:pPr>
        <w:spacing w:before="71" w:line="244" w:lineRule="auto"/>
        <w:ind w:left="4187" w:right="1434" w:hanging="37"/>
        <w:jc w:val="left"/>
        <w:rPr>
          <w:rFonts w:ascii="Calibri" w:eastAsia="Calibri"/>
          <w:sz w:val="16"/>
        </w:rPr>
      </w:pPr>
      <w:r>
        <w:pict>
          <v:group id="_x0000_s1901" style="width:147.8pt;height:115.15pt;margin-top:15.03pt;margin-left:361.33pt;mso-position-horizontal-relative:page;position:absolute;z-index:-251498496" coordorigin="7227,301" coordsize="2956,2303">
            <v:shape id="_x0000_s1902" style="width:1148;height:770;left:8754;position:absolute;top:878" coordorigin="8755,878" coordsize="1148,770" path="m9886,1648l8755,1452,9749,878,9787,949,9819,1022,9847,1097,9869,1174,9885,1251,9896,1330,9902,1409,9902,1489,9897,1569,9886,1648xe" filled="t" fillcolor="#59a1ae" stroked="f">
              <v:fill type="solid"/>
              <v:path arrowok="t"/>
            </v:shape>
            <v:shape id="_x0000_s1903" style="width:1148;height:770;left:8754;position:absolute;top:878" coordorigin="8755,878" coordsize="1148,770" path="m9749,878l9787,949,9819,1022,9847,1097,9869,1174,9885,1251,9896,1330,9902,1409,9902,1489,9897,1569,9886,1648,8755,1452,9749,878xe" filled="f" stroked="t" strokecolor="#7e7e7e" strokeweight="0.48pt">
              <v:stroke dashstyle="solid"/>
              <v:path arrowok="t"/>
            </v:shape>
            <v:shape id="_x0000_s1904" style="width:1132;height:1139;left:8754;position:absolute;top:1451" coordorigin="8755,1452" coordsize="1132,1139" path="m8890,2590l8755,1452,9886,1648,9870,1722,9850,1794,9826,1864,9797,1932,9764,1998,9728,2061,9687,2121,9643,2178,9595,2233,9544,2284,9490,2332,9433,2376,9374,2417,9311,2455,9246,2488,9179,2517,9110,2542,9038,2563,8965,2579,8890,2590xe" filled="t" fillcolor="#d8d3d8" stroked="f">
              <v:fill type="solid"/>
              <v:path arrowok="t"/>
            </v:shape>
            <v:shape id="_x0000_s1905" style="width:1132;height:1139;left:8754;position:absolute;top:1451" coordorigin="8755,1452" coordsize="1132,1139" path="m9886,1648l9870,1722,9850,1794,9826,1864,9797,1932,9764,1998,9728,2061,9687,2121,9643,2178,9595,2233,9544,2284,9490,2332,9433,2376,9374,2417,9311,2455,9246,2488,9179,2517,9110,2542,9038,2563,8965,2579,8890,2590,8755,1452,9886,1648xe" filled="f" stroked="t" strokecolor="#7e7e7e" strokeweight="0.48pt">
              <v:stroke dashstyle="solid"/>
              <v:path arrowok="t"/>
            </v:shape>
            <v:shape id="_x0000_s1906" style="width:1836;height:2293;left:7606;position:absolute;top:305" coordorigin="7606,305" coordsize="1836,2293" path="m8741,2598l8667,2595,8594,2587,8523,2575,8453,2558,8385,2537,8318,2512,8254,2483,8191,2450,8130,2414,8072,2374,8017,2330,7964,2283,7915,2233,7868,2180,7825,2124,7785,2066,7748,2004,7716,1940,7687,1874,7662,1805,7642,1735,7626,1662,7614,1587,7608,1512,7606,1438,7610,1364,7617,1292,7630,1221,7646,1151,7667,1082,7692,1016,7721,951,7754,889,7791,828,7831,771,7875,715,7922,663,7972,613,8025,566,8081,523,8140,483,8201,447,8265,414,8332,385,8400,361,8471,341,8544,325,8619,313,8699,307,8778,305,8857,310,8936,320,9013,335,9089,355,9164,380,9237,411,9307,447,9376,487,9441,533,8755,1452,8890,2590,8815,2597,8741,2598xe" filled="t" fillcolor="#ddebef" stroked="f">
              <v:fill type="solid"/>
              <v:path arrowok="t"/>
            </v:shape>
            <v:shape id="_x0000_s1907" style="width:1836;height:2293;left:7606;position:absolute;top:305" coordorigin="7606,305" coordsize="1836,2293" path="m8890,2590l8815,2597,8741,2598,8667,2595,8594,2587,8523,2575,8453,2558,8385,2537,8318,2512,8254,2483,8191,2450,8130,2414,8072,2374,8017,2330,7964,2283,7915,2233,7868,2180,7825,2124,7785,2066,7748,2004,7716,1940,7687,1874,7662,1805,7642,1735,7626,1662,7614,1587,7608,1512,7606,1438,7610,1364,7617,1292,7630,1221,7646,1151,7667,1082,7692,1016,7721,951,7754,889,7791,828,7831,771,7875,715,7922,663,7972,613,8025,566,8081,523,8140,483,8201,447,8265,414,8332,385,8400,361,8471,341,8544,325,8619,313,8699,307,8778,305,8857,310,8936,320,9013,335,9089,355,9164,380,9237,411,9307,447,9376,487,9441,533,8755,1452,8890,2590xe" filled="f" stroked="t" strokecolor="#7e7e7e" strokeweight="0.48pt">
              <v:stroke dashstyle="solid"/>
              <v:path arrowok="t"/>
            </v:shape>
            <v:shape id="_x0000_s1908" style="width:995;height:919;left:8754;position:absolute;top:532" coordorigin="8755,533" coordsize="995,919" path="m8755,1452l9441,533,9502,581,9559,634,9613,690,9662,750,9708,812,9749,878,8755,1452xe" filled="t" fillcolor="#9cc6cd" stroked="f">
              <v:fill type="solid"/>
              <v:path arrowok="t"/>
            </v:shape>
            <v:shape id="_x0000_s1909" style="width:995;height:919;left:8754;position:absolute;top:532" coordorigin="8755,533" coordsize="995,919" path="m9441,533l9502,581,9559,634,9613,690,9662,750,9708,812,9749,878,8755,1452,9441,533xe" filled="f" stroked="t" strokecolor="#7e7e7e" strokeweight="0.48pt">
              <v:stroke dashstyle="solid"/>
              <v:path arrowok="t"/>
            </v:shape>
            <v:shape id="_x0000_s1910" style="width:291;height:3;left:9884;position:absolute;top:1249" coordorigin="9885,1250" coordsize="291,3" path="m9885,1252l10084,1250,10175,1250e" filled="f" stroked="t" strokecolor="#a5a5a5" strokeweight="0.72pt">
              <v:stroke dashstyle="solid"/>
              <v:path arrowok="t"/>
            </v:shape>
            <v:shape id="_x0000_s1911" style="width:401;height:238;left:9543;position:absolute;top:2282" coordorigin="9544,2283" coordsize="401,238" path="m9544,2283l9853,2520,9945,2520e" filled="f" stroked="t" strokecolor="#a5a5a5" strokeweight="0.72pt">
              <v:stroke dashstyle="solid"/>
              <v:path arrowok="t"/>
            </v:shape>
            <v:shape id="_x0000_s1912" style="width:411;height:173;left:7233;position:absolute;top:983" coordorigin="7234,983" coordsize="411,173" path="m7644,1156l7323,983,7234,983e" filled="f" stroked="t" strokecolor="#a5a5a5" strokeweight="0.72pt">
              <v:stroke dashstyle="solid"/>
              <v:path arrowok="t"/>
            </v:shape>
            <v:shape id="_x0000_s1913" style="width:339;height:243;left:9613;position:absolute;top:448" coordorigin="9613,449" coordsize="339,243" path="m9613,691l9863,449,9952,449e" filled="f" stroked="t" strokecolor="#a5a5a5" strokeweight="0.72pt">
              <v:stroke dashstyle="solid"/>
              <v:path arrowok="t"/>
            </v:shape>
          </v:group>
        </w:pict>
      </w:r>
      <w:r>
        <w:rPr>
          <w:rFonts w:ascii="Calibri" w:eastAsia="Calibri"/>
          <w:color w:val="3F3F3F"/>
          <w:sz w:val="16"/>
        </w:rPr>
        <w:t>150kW</w:t>
      </w:r>
      <w:r>
        <w:rPr>
          <w:color w:val="3F3F3F"/>
          <w:sz w:val="16"/>
        </w:rPr>
        <w:t xml:space="preserve">以下组串式 </w:t>
      </w:r>
      <w:r>
        <w:rPr>
          <w:rFonts w:ascii="Calibri" w:eastAsia="Calibri"/>
          <w:color w:val="3F3F3F"/>
          <w:sz w:val="16"/>
        </w:rPr>
        <w:t>6%</w:t>
      </w:r>
    </w:p>
    <w:p>
      <w:pPr>
        <w:pStyle w:val="BodyText"/>
        <w:rPr>
          <w:rFonts w:ascii="Calibri"/>
          <w:sz w:val="12"/>
        </w:rPr>
      </w:pPr>
    </w:p>
    <w:p>
      <w:pPr>
        <w:spacing w:before="0" w:line="192" w:lineRule="exact"/>
        <w:ind w:left="594" w:right="0" w:firstLine="0"/>
        <w:jc w:val="left"/>
        <w:rPr>
          <w:rFonts w:ascii="Calibri"/>
          <w:sz w:val="16"/>
        </w:rPr>
      </w:pPr>
      <w:r>
        <w:rPr>
          <w:rFonts w:ascii="Calibri"/>
          <w:color w:val="3F3F3F"/>
          <w:sz w:val="16"/>
        </w:rPr>
        <w:t>150-300kW</w:t>
      </w:r>
    </w:p>
    <w:p>
      <w:pPr>
        <w:spacing w:before="0" w:line="202" w:lineRule="exact"/>
        <w:ind w:left="575" w:right="0" w:firstLine="0"/>
        <w:jc w:val="left"/>
        <w:rPr>
          <w:rFonts w:ascii="Calibri" w:eastAsia="Calibri"/>
          <w:sz w:val="16"/>
        </w:rPr>
      </w:pPr>
      <w:r>
        <w:rPr>
          <w:color w:val="3F3F3F"/>
          <w:spacing w:val="-11"/>
          <w:sz w:val="16"/>
        </w:rPr>
        <w:t xml:space="preserve">组串式 </w:t>
      </w:r>
      <w:r>
        <w:rPr>
          <w:rFonts w:ascii="Calibri" w:eastAsia="Calibri"/>
          <w:color w:val="3F3F3F"/>
          <w:sz w:val="16"/>
        </w:rPr>
        <w:t>62%</w:t>
      </w:r>
    </w:p>
    <w:p>
      <w:pPr>
        <w:spacing w:before="60"/>
        <w:ind w:left="4379" w:right="0" w:firstLine="0"/>
        <w:jc w:val="left"/>
        <w:rPr>
          <w:rFonts w:ascii="Calibri" w:eastAsia="Calibri"/>
          <w:sz w:val="16"/>
        </w:rPr>
      </w:pPr>
      <w:r>
        <w:rPr>
          <w:color w:val="3F3F3F"/>
          <w:sz w:val="16"/>
        </w:rPr>
        <w:t xml:space="preserve">集中式 </w:t>
      </w:r>
      <w:r>
        <w:rPr>
          <w:rFonts w:ascii="Calibri" w:eastAsia="Calibri"/>
          <w:color w:val="3F3F3F"/>
          <w:sz w:val="16"/>
        </w:rPr>
        <w:t>11%</w:t>
      </w:r>
    </w:p>
    <w:p>
      <w:pPr>
        <w:spacing w:after="0"/>
        <w:jc w:val="left"/>
        <w:rPr>
          <w:rFonts w:ascii="Calibri" w:eastAsia="Calibri"/>
          <w:sz w:val="16"/>
        </w:rPr>
        <w:sectPr>
          <w:headerReference w:type="default" r:id="rId208"/>
          <w:footerReference w:type="default" r:id="rId209"/>
          <w:type w:val="continuous"/>
          <w:pgSz w:w="12240" w:h="15840"/>
          <w:pgMar w:top="1500" w:right="0" w:bottom="280" w:left="0" w:header="708" w:footer="708"/>
          <w:pgNumType w:start="79"/>
          <w:cols w:num="2" w:space="708" w:equalWidth="0">
            <w:col w:w="5785" w:space="40"/>
            <w:col w:w="6415" w:space="0"/>
          </w:cols>
        </w:sectPr>
      </w:pPr>
    </w:p>
    <w:p>
      <w:pPr>
        <w:spacing w:before="139"/>
        <w:ind w:left="1263" w:right="0" w:firstLine="0"/>
        <w:jc w:val="left"/>
        <w:rPr>
          <w:rFonts w:ascii="Calibri"/>
          <w:sz w:val="16"/>
        </w:rPr>
      </w:pPr>
      <w:r>
        <w:rPr>
          <w:rFonts w:ascii="Calibri"/>
          <w:sz w:val="16"/>
        </w:rPr>
        <w:t>4,000</w:t>
      </w:r>
    </w:p>
    <w:p>
      <w:pPr>
        <w:spacing w:after="0"/>
        <w:jc w:val="left"/>
        <w:rPr>
          <w:rFonts w:ascii="Calibri"/>
          <w:sz w:val="16"/>
        </w:rPr>
        <w:sectPr>
          <w:headerReference w:type="default" r:id="rId210"/>
          <w:footerReference w:type="default" r:id="rId211"/>
          <w:type w:val="continuous"/>
          <w:pgSz w:w="12240" w:h="15840"/>
          <w:pgMar w:top="1500" w:right="0" w:bottom="280" w:left="0" w:header="708" w:footer="708"/>
          <w:pgNumType w:start="80"/>
          <w:cols w:space="708"/>
        </w:sectPr>
      </w:pPr>
    </w:p>
    <w:p>
      <w:pPr>
        <w:spacing w:before="138"/>
        <w:ind w:left="0" w:right="0" w:firstLine="0"/>
        <w:jc w:val="right"/>
        <w:rPr>
          <w:rFonts w:ascii="Calibri"/>
          <w:sz w:val="16"/>
        </w:rPr>
      </w:pPr>
      <w:r>
        <w:rPr>
          <w:rFonts w:ascii="Calibri"/>
          <w:sz w:val="16"/>
        </w:rPr>
        <w:t>2,000</w:t>
      </w:r>
    </w:p>
    <w:p>
      <w:pPr>
        <w:spacing w:before="138"/>
        <w:ind w:left="0" w:right="0" w:firstLine="0"/>
        <w:jc w:val="right"/>
        <w:rPr>
          <w:rFonts w:ascii="Calibri"/>
          <w:sz w:val="16"/>
        </w:rPr>
      </w:pPr>
      <w:r>
        <w:rPr>
          <w:rFonts w:ascii="Calibri"/>
          <w:w w:val="99"/>
          <w:sz w:val="16"/>
        </w:rPr>
        <w:t>0</w:t>
      </w:r>
    </w:p>
    <w:p>
      <w:pPr>
        <w:pStyle w:val="BodyText"/>
        <w:rPr>
          <w:rFonts w:ascii="Calibri"/>
          <w:sz w:val="16"/>
        </w:rPr>
      </w:pPr>
      <w:r>
        <w:br w:type="column"/>
      </w:r>
    </w:p>
    <w:p>
      <w:pPr>
        <w:pStyle w:val="BodyText"/>
        <w:rPr>
          <w:rFonts w:ascii="Calibri"/>
          <w:sz w:val="16"/>
        </w:rPr>
      </w:pPr>
    </w:p>
    <w:p>
      <w:pPr>
        <w:pStyle w:val="BodyText"/>
        <w:spacing w:before="9"/>
        <w:rPr>
          <w:rFonts w:ascii="Calibri"/>
          <w:sz w:val="22"/>
        </w:rPr>
      </w:pPr>
    </w:p>
    <w:p>
      <w:pPr>
        <w:spacing w:before="1"/>
        <w:ind w:left="186" w:right="0" w:firstLine="0"/>
        <w:jc w:val="left"/>
        <w:rPr>
          <w:sz w:val="16"/>
        </w:rPr>
      </w:pPr>
      <w:r>
        <w:rPr>
          <w:spacing w:val="-5"/>
          <w:sz w:val="16"/>
        </w:rPr>
        <w:t>阳光电源</w:t>
      </w:r>
    </w:p>
    <w:p>
      <w:pPr>
        <w:pStyle w:val="BodyText"/>
        <w:rPr>
          <w:sz w:val="16"/>
        </w:rPr>
      </w:pPr>
      <w:r>
        <w:br w:type="column"/>
      </w:r>
    </w:p>
    <w:p>
      <w:pPr>
        <w:pStyle w:val="BodyText"/>
        <w:rPr>
          <w:sz w:val="16"/>
        </w:rPr>
      </w:pPr>
    </w:p>
    <w:p>
      <w:pPr>
        <w:pStyle w:val="BodyText"/>
        <w:spacing w:before="2"/>
        <w:rPr>
          <w:sz w:val="20"/>
        </w:rPr>
      </w:pPr>
    </w:p>
    <w:p>
      <w:pPr>
        <w:tabs>
          <w:tab w:val="left" w:pos="917"/>
        </w:tabs>
        <w:spacing w:before="1"/>
        <w:ind w:left="280" w:right="0" w:firstLine="0"/>
        <w:jc w:val="left"/>
        <w:rPr>
          <w:sz w:val="16"/>
        </w:rPr>
      </w:pPr>
      <w:r>
        <w:rPr>
          <w:sz w:val="16"/>
        </w:rPr>
        <w:t>华为</w:t>
        <w:tab/>
        <w:t>株洲变流</w:t>
      </w:r>
      <w:r>
        <w:rPr>
          <w:spacing w:val="74"/>
          <w:sz w:val="16"/>
        </w:rPr>
        <w:t xml:space="preserve"> </w:t>
      </w:r>
      <w:r>
        <w:rPr>
          <w:sz w:val="16"/>
        </w:rPr>
        <w:t>特变电工</w:t>
      </w:r>
      <w:r>
        <w:rPr>
          <w:spacing w:val="75"/>
          <w:sz w:val="16"/>
        </w:rPr>
        <w:t xml:space="preserve"> </w:t>
      </w:r>
      <w:r>
        <w:rPr>
          <w:sz w:val="16"/>
        </w:rPr>
        <w:t>上能电气</w:t>
      </w:r>
    </w:p>
    <w:p>
      <w:pPr>
        <w:pStyle w:val="BodyText"/>
        <w:rPr>
          <w:sz w:val="16"/>
        </w:rPr>
      </w:pPr>
      <w:r>
        <w:br w:type="column"/>
      </w:r>
    </w:p>
    <w:p>
      <w:pPr>
        <w:pStyle w:val="BodyText"/>
        <w:spacing w:before="5"/>
      </w:pPr>
    </w:p>
    <w:p>
      <w:pPr>
        <w:spacing w:before="0" w:line="244" w:lineRule="auto"/>
        <w:ind w:left="1233" w:right="1446" w:firstLine="0"/>
        <w:jc w:val="center"/>
        <w:rPr>
          <w:rFonts w:ascii="Calibri" w:eastAsia="Calibri"/>
          <w:sz w:val="16"/>
        </w:rPr>
      </w:pPr>
      <w:r>
        <w:rPr>
          <w:rFonts w:ascii="Calibri" w:eastAsia="Calibri"/>
          <w:color w:val="3F3F3F"/>
          <w:sz w:val="16"/>
        </w:rPr>
        <w:t>300kW</w:t>
      </w:r>
      <w:r>
        <w:rPr>
          <w:color w:val="3F3F3F"/>
          <w:sz w:val="16"/>
        </w:rPr>
        <w:t xml:space="preserve">以上组串式 </w:t>
      </w:r>
      <w:r>
        <w:rPr>
          <w:rFonts w:ascii="Calibri" w:eastAsia="Calibri"/>
          <w:color w:val="3F3F3F"/>
          <w:sz w:val="16"/>
        </w:rPr>
        <w:t>20%</w:t>
      </w:r>
    </w:p>
    <w:p>
      <w:pPr>
        <w:spacing w:after="0" w:line="244" w:lineRule="auto"/>
        <w:jc w:val="center"/>
        <w:rPr>
          <w:rFonts w:ascii="Calibri" w:eastAsia="Calibri"/>
          <w:sz w:val="16"/>
        </w:rPr>
        <w:sectPr>
          <w:headerReference w:type="default" r:id="rId212"/>
          <w:footerReference w:type="default" r:id="rId213"/>
          <w:type w:val="continuous"/>
          <w:pgSz w:w="12240" w:h="15840"/>
          <w:pgMar w:top="1500" w:right="0" w:bottom="280" w:left="0" w:header="708" w:footer="708"/>
          <w:pgNumType w:start="81"/>
          <w:cols w:num="4" w:space="708" w:equalWidth="0">
            <w:col w:w="1625" w:space="40"/>
            <w:col w:w="823" w:space="39"/>
            <w:col w:w="3187" w:space="2989"/>
            <w:col w:w="3537" w:space="0"/>
          </w:cols>
        </w:sectPr>
      </w:pPr>
    </w:p>
    <w:p>
      <w:pPr>
        <w:pStyle w:val="BodyText"/>
        <w:spacing w:before="3"/>
        <w:rPr>
          <w:rFonts w:ascii="Calibri"/>
          <w:sz w:val="5"/>
        </w:rPr>
      </w:pPr>
    </w:p>
    <w:p>
      <w:pPr>
        <w:tabs>
          <w:tab w:val="left" w:pos="6314"/>
        </w:tabs>
        <w:spacing w:line="20" w:lineRule="exact"/>
        <w:ind w:left="1143" w:right="0" w:firstLine="0"/>
        <w:rPr>
          <w:rFonts w:ascii="Calibri"/>
          <w:sz w:val="2"/>
        </w:rPr>
      </w:pPr>
      <w:r>
        <w:rPr>
          <w:rFonts w:ascii="Calibri"/>
          <w:sz w:val="2"/>
        </w:rPr>
        <w:pict>
          <v:group id="_x0000_i1914" style="width:236.75pt;height:0.75pt;mso-position-horizontal-relative:char;mso-position-vertical-relative:line" coordorigin="0,0" coordsize="4735,15">
            <v:line id="_x0000_s1915" style="position:absolute" from="0,8" to="4735,8" stroked="t" strokecolor="black" strokeweight="0.75pt">
              <v:stroke dashstyle="solid"/>
            </v:line>
            <w10:wrap type="none"/>
          </v:group>
        </w:pict>
      </w:r>
      <w:r>
        <w:rPr>
          <w:rFonts w:ascii="Calibri"/>
          <w:sz w:val="2"/>
        </w:rPr>
        <w:tab/>
      </w:r>
      <w:r>
        <w:rPr>
          <w:rFonts w:ascii="Calibri"/>
          <w:sz w:val="2"/>
        </w:rPr>
        <w:pict>
          <v:group id="_x0000_i1916" style="width:238.25pt;height:0.75pt;mso-position-horizontal-relative:char;mso-position-vertical-relative:line" coordorigin="0,0" coordsize="4765,15">
            <v:line id="_x0000_s1917" style="position:absolute" from="0,8" to="4765,8" stroked="t" strokecolor="black" strokeweight="0.75pt">
              <v:stroke dashstyle="solid"/>
            </v:line>
            <w10:wrap type="none"/>
          </v:group>
        </w:pict>
      </w:r>
    </w:p>
    <w:p>
      <w:pPr>
        <w:tabs>
          <w:tab w:val="left" w:pos="6321"/>
        </w:tabs>
        <w:spacing w:before="21"/>
        <w:ind w:left="1150" w:right="0" w:firstLine="0"/>
        <w:jc w:val="both"/>
        <w:rPr>
          <w:sz w:val="15"/>
        </w:rPr>
      </w:pPr>
      <w:r>
        <w:t xml:space="preserve">资料来源：国际能源网， </w:t>
        <w:tab/>
        <w:t xml:space="preserve">资料来源：国际能源网， </w:t>
      </w:r>
    </w:p>
    <w:p>
      <w:pPr>
        <w:pStyle w:val="BodyText"/>
        <w:spacing w:before="9"/>
        <w:rPr>
          <w:sz w:val="11"/>
        </w:rPr>
      </w:pPr>
    </w:p>
    <w:p>
      <w:pPr>
        <w:pStyle w:val="BodyText"/>
        <w:spacing w:before="1" w:line="232" w:lineRule="auto"/>
        <w:ind w:left="1151" w:right="3910"/>
        <w:jc w:val="both"/>
      </w:pPr>
      <w:r>
        <w:rPr>
          <w:color w:val="262626"/>
          <w:spacing w:val="-1"/>
        </w:rPr>
        <w:t>在光伏逆变器需求增长和公司市占率提高的共同推动下，公司光伏逆变器销量</w:t>
      </w:r>
      <w:r>
        <w:rPr>
          <w:color w:val="262626"/>
        </w:rPr>
        <w:t>由</w:t>
      </w:r>
      <w:r>
        <w:rPr>
          <w:rFonts w:ascii="Calibri" w:eastAsia="Calibri"/>
          <w:color w:val="262626"/>
        </w:rPr>
        <w:t>2018</w:t>
      </w:r>
      <w:r>
        <w:rPr>
          <w:color w:val="262626"/>
        </w:rPr>
        <w:t>年的</w:t>
      </w:r>
      <w:r>
        <w:rPr>
          <w:rFonts w:ascii="Calibri" w:eastAsia="Calibri"/>
          <w:color w:val="262626"/>
        </w:rPr>
        <w:t>15GW</w:t>
      </w:r>
      <w:r>
        <w:rPr>
          <w:color w:val="262626"/>
        </w:rPr>
        <w:t>大增至</w:t>
      </w:r>
      <w:r>
        <w:rPr>
          <w:rFonts w:ascii="Calibri" w:eastAsia="Calibri"/>
          <w:color w:val="262626"/>
        </w:rPr>
        <w:t>2022</w:t>
      </w:r>
      <w:r>
        <w:rPr>
          <w:color w:val="262626"/>
        </w:rPr>
        <w:t>年的</w:t>
      </w:r>
      <w:r>
        <w:rPr>
          <w:rFonts w:ascii="Calibri" w:eastAsia="Calibri"/>
          <w:color w:val="262626"/>
        </w:rPr>
        <w:t>77GW</w:t>
      </w:r>
      <w:r>
        <w:rPr>
          <w:color w:val="262626"/>
        </w:rPr>
        <w:t>，年复合增长率高达</w:t>
      </w:r>
      <w:r>
        <w:rPr>
          <w:rFonts w:ascii="Calibri" w:eastAsia="Calibri"/>
          <w:color w:val="262626"/>
        </w:rPr>
        <w:t>50%</w:t>
      </w:r>
      <w:r>
        <w:rPr>
          <w:color w:val="262626"/>
        </w:rPr>
        <w:t>，远超行业增</w:t>
      </w:r>
      <w:r>
        <w:rPr>
          <w:color w:val="262626"/>
          <w:spacing w:val="-1"/>
        </w:rPr>
        <w:t>速。全球市占率持续提升，我们测算</w:t>
      </w:r>
      <w:r>
        <w:rPr>
          <w:rFonts w:ascii="Calibri" w:eastAsia="Calibri"/>
          <w:color w:val="262626"/>
        </w:rPr>
        <w:t>2022</w:t>
      </w:r>
      <w:r>
        <w:rPr>
          <w:color w:val="262626"/>
          <w:spacing w:val="-3"/>
        </w:rPr>
        <w:t>年达</w:t>
      </w:r>
      <w:r>
        <w:rPr>
          <w:rFonts w:ascii="Calibri" w:eastAsia="Calibri"/>
          <w:color w:val="262626"/>
        </w:rPr>
        <w:t>24%</w:t>
      </w:r>
      <w:r>
        <w:rPr>
          <w:color w:val="262626"/>
          <w:spacing w:val="-2"/>
        </w:rPr>
        <w:t>。公司</w:t>
      </w:r>
      <w:r>
        <w:rPr>
          <w:rFonts w:ascii="Calibri" w:eastAsia="Calibri"/>
          <w:color w:val="262626"/>
        </w:rPr>
        <w:t>2023</w:t>
      </w:r>
      <w:r>
        <w:rPr>
          <w:color w:val="262626"/>
          <w:spacing w:val="-3"/>
        </w:rPr>
        <w:t>年前</w:t>
      </w:r>
      <w:r>
        <w:rPr>
          <w:rFonts w:ascii="Calibri" w:eastAsia="Calibri"/>
          <w:color w:val="262626"/>
        </w:rPr>
        <w:t>3</w:t>
      </w:r>
      <w:r>
        <w:rPr>
          <w:color w:val="262626"/>
          <w:spacing w:val="-3"/>
        </w:rPr>
        <w:t>季度销量同比增长</w:t>
      </w:r>
      <w:r>
        <w:rPr>
          <w:rFonts w:ascii="Calibri" w:eastAsia="Calibri"/>
          <w:color w:val="262626"/>
        </w:rPr>
        <w:t>65%</w:t>
      </w:r>
      <w:r>
        <w:rPr>
          <w:color w:val="262626"/>
          <w:spacing w:val="-8"/>
        </w:rPr>
        <w:t>至</w:t>
      </w:r>
      <w:r>
        <w:rPr>
          <w:rFonts w:ascii="Calibri" w:eastAsia="Calibri"/>
          <w:color w:val="262626"/>
        </w:rPr>
        <w:t>83GW</w:t>
      </w:r>
      <w:r>
        <w:rPr>
          <w:color w:val="262626"/>
          <w:spacing w:val="-1"/>
        </w:rPr>
        <w:t>，增速再度明显超过行业，我们预计</w:t>
      </w:r>
      <w:r>
        <w:rPr>
          <w:rFonts w:ascii="Calibri" w:eastAsia="Calibri"/>
          <w:color w:val="262626"/>
        </w:rPr>
        <w:t>2023</w:t>
      </w:r>
      <w:r>
        <w:rPr>
          <w:color w:val="262626"/>
          <w:spacing w:val="-2"/>
        </w:rPr>
        <w:t>年市占率将进一步</w:t>
      </w:r>
      <w:r>
        <w:rPr>
          <w:color w:val="262626"/>
        </w:rPr>
        <w:t>提升至</w:t>
      </w:r>
      <w:r>
        <w:rPr>
          <w:rFonts w:ascii="Calibri" w:eastAsia="Calibri"/>
          <w:color w:val="262626"/>
        </w:rPr>
        <w:t>27%</w:t>
      </w:r>
      <w:r>
        <w:rPr>
          <w:color w:val="262626"/>
        </w:rPr>
        <w:t>，随着进一步替代海外厂商市场份额，长期有望提升至</w:t>
      </w:r>
      <w:r>
        <w:rPr>
          <w:rFonts w:ascii="Calibri" w:eastAsia="Calibri"/>
          <w:color w:val="262626"/>
        </w:rPr>
        <w:t>30%</w:t>
      </w:r>
      <w:r>
        <w:rPr>
          <w:color w:val="262626"/>
        </w:rPr>
        <w:t>。</w:t>
      </w:r>
    </w:p>
    <w:p>
      <w:pPr>
        <w:pStyle w:val="Heading3"/>
        <w:spacing w:before="196"/>
      </w:pPr>
      <w:r>
        <w:pict>
          <v:line id="_x0000_s1918" style="mso-position-horizontal-relative:page;position:absolute;z-index:251822080" from="167.45pt,40.75pt" to="186.65pt,40.75pt" stroked="t" strokecolor="#bcdadf" strokeweight="4.31pt">
            <v:stroke dashstyle="solid"/>
          </v:line>
        </w:pict>
      </w:r>
      <w:r>
        <w:pict>
          <v:line id="_x0000_s1919" style="mso-position-horizontal-relative:page;position:absolute;z-index:-251495424" from="270.95pt,40.7pt" to="290.15pt,40.7pt" stroked="t" strokecolor="#1f5ea0" strokeweight="1.8pt">
            <v:stroke dashstyle="solid"/>
          </v:line>
        </w:pict>
      </w:r>
      <w:r>
        <w:rPr>
          <w:color w:val="262626"/>
        </w:rPr>
        <w:t>图表</w:t>
      </w:r>
      <w:r>
        <w:rPr>
          <w:rFonts w:ascii="Calibri" w:eastAsia="Calibri"/>
        </w:rPr>
        <w:t xml:space="preserve">57: </w:t>
      </w:r>
      <w:r>
        <w:rPr>
          <w:color w:val="262626"/>
        </w:rPr>
        <w:t>公司光伏逆变器销量及同比</w:t>
      </w:r>
    </w:p>
    <w:p>
      <w:pPr>
        <w:pStyle w:val="BodyText"/>
        <w:spacing w:line="20" w:lineRule="exact"/>
        <w:ind w:left="1143"/>
        <w:rPr>
          <w:rFonts w:ascii="Microsoft JhengHei"/>
          <w:sz w:val="2"/>
        </w:rPr>
      </w:pPr>
      <w:r>
        <w:rPr>
          <w:rFonts w:ascii="Microsoft JhengHei"/>
          <w:sz w:val="2"/>
        </w:rPr>
        <w:pict>
          <v:group id="_x0000_i1920" style="width:357.2pt;height:0.75pt;mso-position-horizontal-relative:char;mso-position-vertical-relative:line" coordorigin="0,0" coordsize="7144,15">
            <v:line id="_x0000_s1921" style="position:absolute" from="0,8" to="7144,8" stroked="t" strokecolor="black" strokeweight="0.75pt">
              <v:stroke dashstyle="solid"/>
            </v:line>
            <w10:wrap type="none"/>
          </v:group>
        </w:pict>
      </w:r>
    </w:p>
    <w:p>
      <w:pPr>
        <w:spacing w:after="0" w:line="20" w:lineRule="exact"/>
        <w:rPr>
          <w:rFonts w:ascii="Microsoft JhengHei"/>
          <w:sz w:val="2"/>
        </w:rPr>
        <w:sectPr>
          <w:headerReference w:type="default" r:id="rId214"/>
          <w:footerReference w:type="default" r:id="rId215"/>
          <w:type w:val="continuous"/>
          <w:pgSz w:w="12240" w:h="15840"/>
          <w:pgMar w:top="1500" w:right="0" w:bottom="280" w:left="0" w:header="708" w:footer="708"/>
          <w:pgNumType w:start="82"/>
          <w:cols w:space="708"/>
        </w:sectPr>
      </w:pPr>
    </w:p>
    <w:p>
      <w:pPr>
        <w:pStyle w:val="BodyText"/>
        <w:spacing w:before="1"/>
        <w:rPr>
          <w:rFonts w:ascii="Microsoft JhengHei"/>
          <w:b/>
          <w:sz w:val="17"/>
        </w:rPr>
      </w:pPr>
    </w:p>
    <w:p>
      <w:pPr>
        <w:spacing w:before="0"/>
        <w:ind w:left="0" w:right="0" w:firstLine="0"/>
        <w:jc w:val="right"/>
        <w:rPr>
          <w:rFonts w:ascii="Calibri"/>
          <w:sz w:val="16"/>
        </w:rPr>
      </w:pPr>
      <w:r>
        <w:rPr>
          <w:rFonts w:ascii="Calibri"/>
          <w:color w:val="595959"/>
          <w:sz w:val="16"/>
        </w:rPr>
        <w:t>120</w:t>
      </w:r>
    </w:p>
    <w:p>
      <w:pPr>
        <w:tabs>
          <w:tab w:val="left" w:pos="3169"/>
        </w:tabs>
        <w:spacing w:before="72"/>
        <w:ind w:left="1100" w:right="0" w:firstLine="0"/>
        <w:jc w:val="left"/>
        <w:rPr>
          <w:sz w:val="16"/>
        </w:rPr>
      </w:pPr>
      <w:r>
        <w:br w:type="column"/>
      </w:r>
      <w:r>
        <w:rPr>
          <w:color w:val="595959"/>
          <w:sz w:val="16"/>
        </w:rPr>
        <w:t>销量</w:t>
      </w:r>
      <w:r>
        <w:rPr>
          <w:rFonts w:ascii="Calibri" w:eastAsia="Calibri"/>
          <w:color w:val="595959"/>
          <w:sz w:val="16"/>
        </w:rPr>
        <w:t>(GW)</w:t>
        <w:tab/>
      </w:r>
      <w:r>
        <w:rPr>
          <w:color w:val="595959"/>
          <w:sz w:val="16"/>
        </w:rPr>
        <w:t>同</w:t>
      </w:r>
      <w:r>
        <w:rPr>
          <w:color w:val="595959"/>
          <w:spacing w:val="-20"/>
          <w:sz w:val="16"/>
        </w:rPr>
        <w:t>比</w:t>
      </w:r>
    </w:p>
    <w:p>
      <w:pPr>
        <w:pStyle w:val="BodyText"/>
        <w:rPr>
          <w:sz w:val="16"/>
        </w:rPr>
      </w:pPr>
      <w:r>
        <w:br w:type="column"/>
      </w:r>
    </w:p>
    <w:p>
      <w:pPr>
        <w:spacing w:before="109"/>
        <w:ind w:left="492" w:right="0" w:firstLine="0"/>
        <w:jc w:val="left"/>
        <w:rPr>
          <w:rFonts w:ascii="Calibri"/>
          <w:sz w:val="16"/>
        </w:rPr>
      </w:pPr>
      <w:r>
        <w:pict>
          <v:group id="_x0000_s1922" style="width:193.45pt;height:106.55pt;margin-top:10.5pt;margin-left:136.49pt;mso-position-horizontal-relative:page;position:absolute;z-index:-251493376" coordorigin="2730,210" coordsize="3869,2131">
            <v:shape id="_x0000_s1923" style="width:3768;height:2;left:2780;position:absolute;top:1942" coordorigin="2780,1943" coordsize="3768,0" path="m6392,1943l6548,1943m5763,1943l6077,1943m5134,1943l5449,1943m4506,1943l4820,1943m2780,1943l4194,1943e" filled="f" stroked="t" strokecolor="#d8d8d8" strokeweight="0.72pt">
              <v:stroke dashstyle="solid"/>
              <v:path arrowok="t"/>
            </v:shape>
            <v:shape id="_x0000_s1924" style="width:941;height:607;left:3564;position:absolute;top:1683" coordorigin="3565,1684" coordsize="941,607" path="m3879,2005l3565,2005,3565,2290,3879,2290,3879,2005m4506,1684l4194,1684,4194,2290,4506,2290,4506,1684e" filled="t" fillcolor="#bcdadf" stroked="f">
              <v:fill type="solid"/>
              <v:path arrowok="t"/>
            </v:shape>
            <v:shape id="_x0000_s1925" style="width:2669;height:2;left:2780;position:absolute;top:1597" coordorigin="2780,1597" coordsize="2669,0" path="m5134,1597l5449,1597m2780,1597l4820,1597e" filled="f" stroked="t" strokecolor="#d8d8d8" strokeweight="0.72pt">
              <v:stroke dashstyle="solid"/>
              <v:path arrowok="t"/>
            </v:shape>
            <v:rect id="_x0000_s1926" style="width:315;height:813;left:4820;position:absolute;top:1477" filled="t" fillcolor="#bcdadf" stroked="f">
              <v:fill type="solid"/>
            </v:rect>
            <v:shape id="_x0000_s1927" style="width:3298;height:691;left:2780;position:absolute;top:907" coordorigin="2780,907" coordsize="3298,691" path="m5763,1597l6077,1597m5763,1252l6077,1252m2780,1252l5449,1252m2780,907l6077,907e" filled="f" stroked="t" strokecolor="#d8d8d8" strokeweight="0.72pt">
              <v:stroke dashstyle="solid"/>
              <v:path arrowok="t"/>
            </v:shape>
            <v:rect id="_x0000_s1928" style="width:315;height:1330;left:5448;position:absolute;top:960" filled="t" fillcolor="#bcdadf" stroked="f">
              <v:fill type="solid"/>
            </v:rect>
            <v:shape id="_x0000_s1929" style="width:156;height:691;left:6391;position:absolute;top:907" coordorigin="6392,907" coordsize="156,691" path="m6392,1597l6548,1597m6392,1252l6548,1252m6392,907l6548,907e" filled="f" stroked="t" strokecolor="#d8d8d8" strokeweight="0.72pt">
              <v:stroke dashstyle="solid"/>
              <v:path arrowok="t"/>
            </v:shape>
            <v:rect id="_x0000_s1930" style="width:315;height:1436;left:6077;position:absolute;top:854" filled="t" fillcolor="#bcdadf" stroked="f">
              <v:fill type="solid"/>
            </v:rect>
            <v:shape id="_x0000_s1931" style="width:15947160;height:1462670;position:absolute;top:-1455304" coordorigin="0,-1455303" coordsize="15947160,1462670" path="m2780,562l6548,562m2780,217l6548,217e" filled="f" stroked="t" strokecolor="#d8d8d8" strokeweight="0.72pt">
              <v:stroke dashstyle="solid"/>
              <v:path arrowok="t"/>
            </v:shape>
            <v:line id="_x0000_s1932" style="position:absolute" from="6548,2290" to="6548,217" stroked="t" strokecolor="#a5a5a5" strokeweight="0.72pt">
              <v:stroke dashstyle="solid"/>
            </v:line>
            <v:shape id="_x0000_s1933" style="width:213306;height:8786180;position:absolute;top:-8778814" coordorigin="0,-8778813" coordsize="213306,8786180" path="m6548,2290l6598,2290m6548,1943l6598,1943m6548,1598l6598,1598m6548,1252l6598,1252m6548,907l6598,907m6548,562l6598,562m6548,217l6598,217e" filled="f" stroked="t" strokecolor="#a5a5a5" strokeweight="0.72pt">
              <v:stroke dashstyle="solid"/>
              <v:path arrowok="t"/>
            </v:shape>
            <v:line id="_x0000_s1934" style="position:absolute" from="2780,2290" to="2780,217" stroked="t" strokecolor="#a5a5a5" strokeweight="0.72pt">
              <v:stroke dashstyle="solid"/>
            </v:line>
            <v:shape id="_x0000_s1935" style="width:213306;height:8786180;position:absolute;top:-8778814" coordorigin="0,-8778813" coordsize="213306,8786180" path="m2730,2290l2780,2290m2730,1943l2780,1943m2730,1598l2780,1598m2730,1252l2780,1252m2730,907l2780,907m2730,562l2780,562m2730,217l2780,217e" filled="f" stroked="t" strokecolor="#a5a5a5" strokeweight="0.72pt">
              <v:stroke dashstyle="solid"/>
              <v:path arrowok="t"/>
            </v:shape>
            <v:rect id="_x0000_s1936" style="width:315;height:262;left:2936;position:absolute;top:2028" filled="t" fillcolor="#bcdadf" stroked="f">
              <v:fill type="solid"/>
            </v:rect>
            <v:shape id="_x0000_s1937" style="width:15947160;height:213306;position:absolute;top:-205940" coordorigin="0,-205939" coordsize="15947160,213306" path="m2780,2290l6548,2290m2780,2290l2780,2340m3407,2290l3407,2340m4035,2290l4035,2340m4664,2290l4664,2340m5293,2290l5293,2340m5919,2290l5919,2340m6548,2290l6548,2340e" filled="f" stroked="t" strokecolor="#a5a5a5" strokeweight="0.72pt">
              <v:stroke dashstyle="solid"/>
              <v:path arrowok="t"/>
            </v:shape>
            <v:shape id="_x0000_s1938" style="width:2513;height:1810;left:3722;position:absolute;top:331" coordorigin="3722,331" coordsize="2513,1810" path="m3722,2140l4351,331,4977,1697,5606,1187,6235,1167e" filled="f" stroked="t" strokecolor="#1f5ea0" strokeweight="1.8pt">
              <v:stroke dashstyle="solid"/>
              <v:path arrowok="t"/>
            </v:shape>
          </v:group>
        </w:pict>
      </w:r>
      <w:r>
        <w:rPr>
          <w:rFonts w:ascii="Calibri"/>
          <w:color w:val="595959"/>
          <w:sz w:val="16"/>
        </w:rPr>
        <w:t>120%</w:t>
      </w:r>
    </w:p>
    <w:p>
      <w:pPr>
        <w:spacing w:after="0"/>
        <w:jc w:val="left"/>
        <w:rPr>
          <w:rFonts w:ascii="Calibri"/>
          <w:sz w:val="16"/>
        </w:rPr>
        <w:sectPr>
          <w:headerReference w:type="default" r:id="rId216"/>
          <w:footerReference w:type="default" r:id="rId217"/>
          <w:type w:val="continuous"/>
          <w:pgSz w:w="12240" w:h="15840"/>
          <w:pgMar w:top="1500" w:right="0" w:bottom="280" w:left="0" w:header="708" w:footer="708"/>
          <w:pgNumType w:start="83"/>
          <w:cols w:num="3" w:space="708" w:equalWidth="0">
            <w:col w:w="2633" w:space="40"/>
            <w:col w:w="3492" w:space="39"/>
            <w:col w:w="6036" w:space="0"/>
          </w:cols>
        </w:sectPr>
      </w:pPr>
    </w:p>
    <w:p>
      <w:pPr>
        <w:pStyle w:val="BodyText"/>
        <w:spacing w:before="3"/>
        <w:rPr>
          <w:rFonts w:ascii="Calibri"/>
          <w:sz w:val="12"/>
        </w:rPr>
      </w:pPr>
    </w:p>
    <w:p>
      <w:pPr>
        <w:tabs>
          <w:tab w:val="left" w:pos="6696"/>
        </w:tabs>
        <w:spacing w:before="0"/>
        <w:ind w:left="2387" w:right="0" w:firstLine="0"/>
        <w:jc w:val="left"/>
        <w:rPr>
          <w:rFonts w:ascii="Calibri"/>
          <w:sz w:val="16"/>
        </w:rPr>
      </w:pPr>
      <w:r>
        <w:rPr>
          <w:rFonts w:ascii="Calibri"/>
          <w:color w:val="595959"/>
          <w:sz w:val="16"/>
        </w:rPr>
        <w:t>100</w:t>
        <w:tab/>
        <w:t>100%</w:t>
      </w:r>
    </w:p>
    <w:p>
      <w:pPr>
        <w:pStyle w:val="BodyText"/>
        <w:spacing w:before="4"/>
        <w:rPr>
          <w:rFonts w:ascii="Calibri"/>
          <w:sz w:val="12"/>
        </w:rPr>
      </w:pPr>
    </w:p>
    <w:p>
      <w:pPr>
        <w:tabs>
          <w:tab w:val="left" w:pos="6696"/>
        </w:tabs>
        <w:spacing w:before="0"/>
        <w:ind w:left="2469" w:right="0" w:firstLine="0"/>
        <w:jc w:val="left"/>
        <w:rPr>
          <w:rFonts w:ascii="Calibri"/>
          <w:sz w:val="16"/>
        </w:rPr>
      </w:pPr>
      <w:r>
        <w:rPr>
          <w:rFonts w:ascii="Calibri"/>
          <w:color w:val="595959"/>
          <w:sz w:val="16"/>
        </w:rPr>
        <w:t>80</w:t>
        <w:tab/>
        <w:t>80%</w:t>
      </w:r>
    </w:p>
    <w:p>
      <w:pPr>
        <w:pStyle w:val="BodyText"/>
        <w:spacing w:before="3"/>
        <w:rPr>
          <w:rFonts w:ascii="Calibri"/>
          <w:sz w:val="12"/>
        </w:rPr>
      </w:pPr>
    </w:p>
    <w:p>
      <w:pPr>
        <w:tabs>
          <w:tab w:val="left" w:pos="6696"/>
        </w:tabs>
        <w:spacing w:before="1"/>
        <w:ind w:left="2469" w:right="0" w:firstLine="0"/>
        <w:jc w:val="left"/>
        <w:rPr>
          <w:rFonts w:ascii="Calibri"/>
          <w:sz w:val="16"/>
        </w:rPr>
      </w:pPr>
      <w:r>
        <w:rPr>
          <w:rFonts w:ascii="Calibri"/>
          <w:color w:val="595959"/>
          <w:sz w:val="16"/>
        </w:rPr>
        <w:t>60</w:t>
        <w:tab/>
        <w:t>60%</w:t>
      </w:r>
    </w:p>
    <w:p>
      <w:pPr>
        <w:pStyle w:val="BodyText"/>
        <w:spacing w:before="3"/>
        <w:rPr>
          <w:rFonts w:ascii="Calibri"/>
          <w:sz w:val="12"/>
        </w:rPr>
      </w:pPr>
    </w:p>
    <w:p>
      <w:pPr>
        <w:tabs>
          <w:tab w:val="left" w:pos="6696"/>
        </w:tabs>
        <w:spacing w:before="0"/>
        <w:ind w:left="2469" w:right="0" w:firstLine="0"/>
        <w:jc w:val="left"/>
        <w:rPr>
          <w:rFonts w:ascii="Calibri"/>
          <w:sz w:val="16"/>
        </w:rPr>
      </w:pPr>
      <w:r>
        <w:rPr>
          <w:rFonts w:ascii="Calibri"/>
          <w:color w:val="595959"/>
          <w:sz w:val="16"/>
        </w:rPr>
        <w:t>40</w:t>
        <w:tab/>
        <w:t>40%</w:t>
      </w:r>
    </w:p>
    <w:p>
      <w:pPr>
        <w:pStyle w:val="BodyText"/>
        <w:spacing w:before="4"/>
        <w:rPr>
          <w:rFonts w:ascii="Calibri"/>
          <w:sz w:val="12"/>
        </w:rPr>
      </w:pPr>
    </w:p>
    <w:p>
      <w:pPr>
        <w:tabs>
          <w:tab w:val="left" w:pos="6696"/>
        </w:tabs>
        <w:spacing w:before="0"/>
        <w:ind w:left="2469" w:right="0" w:firstLine="0"/>
        <w:jc w:val="left"/>
        <w:rPr>
          <w:rFonts w:ascii="Calibri"/>
          <w:sz w:val="16"/>
        </w:rPr>
      </w:pPr>
      <w:r>
        <w:rPr>
          <w:rFonts w:ascii="Calibri"/>
          <w:color w:val="595959"/>
          <w:sz w:val="16"/>
        </w:rPr>
        <w:t>20</w:t>
        <w:tab/>
        <w:t>20%</w:t>
      </w:r>
    </w:p>
    <w:p>
      <w:pPr>
        <w:pStyle w:val="BodyText"/>
        <w:spacing w:before="3"/>
        <w:rPr>
          <w:rFonts w:ascii="Calibri"/>
          <w:sz w:val="12"/>
        </w:rPr>
      </w:pPr>
    </w:p>
    <w:p>
      <w:pPr>
        <w:tabs>
          <w:tab w:val="left" w:pos="4146"/>
        </w:tabs>
        <w:spacing w:before="0"/>
        <w:ind w:left="0" w:right="2794" w:firstLine="0"/>
        <w:jc w:val="center"/>
        <w:rPr>
          <w:rFonts w:ascii="Calibri"/>
          <w:sz w:val="16"/>
        </w:rPr>
      </w:pPr>
      <w:r>
        <w:rPr>
          <w:rFonts w:ascii="Calibri"/>
          <w:color w:val="595959"/>
          <w:sz w:val="16"/>
        </w:rPr>
        <w:t>0</w:t>
        <w:tab/>
        <w:t>0%</w:t>
      </w:r>
    </w:p>
    <w:p>
      <w:pPr>
        <w:tabs>
          <w:tab w:val="left" w:pos="627"/>
          <w:tab w:val="left" w:pos="1256"/>
          <w:tab w:val="left" w:pos="1884"/>
          <w:tab w:val="left" w:pos="2512"/>
          <w:tab w:val="left" w:pos="3112"/>
        </w:tabs>
        <w:spacing w:before="13"/>
        <w:ind w:left="0" w:right="2881" w:firstLine="0"/>
        <w:jc w:val="center"/>
        <w:rPr>
          <w:rFonts w:ascii="Calibri"/>
          <w:sz w:val="16"/>
        </w:rPr>
      </w:pPr>
      <w:r>
        <w:pict>
          <v:shape id="_x0000_s1939" style="width:357.2pt;height:0.1pt;margin-top:12.37pt;margin-left:57.55pt;mso-position-horizontal-relative:page;mso-wrap-distance-left:0;mso-wrap-distance-right:0;position:absolute;z-index:-251492352" coordorigin="1151,247" coordsize="7144,0" path="m1151,247l8295,247e" filled="f" stroked="t" strokecolor="black" strokeweight="0.75pt">
            <v:stroke dashstyle="solid"/>
            <v:path arrowok="t"/>
            <w10:wrap type="topAndBottom"/>
          </v:shape>
        </w:pict>
      </w:r>
      <w:r>
        <w:rPr>
          <w:rFonts w:ascii="Calibri"/>
          <w:color w:val="595959"/>
          <w:sz w:val="16"/>
        </w:rPr>
        <w:t>2018</w:t>
        <w:tab/>
        <w:t>2019</w:t>
        <w:tab/>
        <w:t>2020</w:t>
        <w:tab/>
        <w:t>2021</w:t>
        <w:tab/>
        <w:t>2022</w:t>
        <w:tab/>
        <w:t>9M23</w:t>
      </w:r>
    </w:p>
    <w:p>
      <w:pPr>
        <w:spacing w:before="0"/>
        <w:ind w:left="1150" w:right="0" w:firstLine="0"/>
        <w:jc w:val="left"/>
        <w:rPr>
          <w:sz w:val="15"/>
        </w:rPr>
      </w:pPr>
      <w:r>
        <w:t xml:space="preserve">资料来源：公司资料， </w:t>
      </w:r>
    </w:p>
    <w:p>
      <w:pPr>
        <w:spacing w:after="0"/>
        <w:jc w:val="left"/>
        <w:rPr>
          <w:sz w:val="15"/>
        </w:rPr>
        <w:sectPr>
          <w:headerReference w:type="default" r:id="rId218"/>
          <w:footerReference w:type="default" r:id="rId219"/>
          <w:type w:val="continuous"/>
          <w:pgSz w:w="12240" w:h="15840"/>
          <w:pgMar w:top="1500" w:right="0" w:bottom="280" w:left="0" w:header="708" w:footer="708"/>
          <w:pgNumType w:start="84"/>
          <w:cols w:space="708"/>
        </w:sectPr>
      </w:pPr>
    </w:p>
    <w:p>
      <w:pPr>
        <w:pStyle w:val="BodyText"/>
        <w:rPr>
          <w:sz w:val="20"/>
        </w:rPr>
      </w:pPr>
    </w:p>
    <w:p>
      <w:pPr>
        <w:pStyle w:val="BodyText"/>
        <w:spacing w:before="2"/>
      </w:pPr>
    </w:p>
    <w:p>
      <w:pPr>
        <w:spacing w:before="0" w:line="415" w:lineRule="exact"/>
        <w:ind w:left="1151" w:right="0" w:firstLine="0"/>
        <w:jc w:val="left"/>
        <w:rPr>
          <w:rFonts w:ascii="Microsoft JhengHei" w:eastAsia="Microsoft JhengHei" w:hint="eastAsia"/>
          <w:b/>
          <w:sz w:val="24"/>
        </w:rPr>
      </w:pPr>
      <w:r>
        <w:rPr>
          <w:rFonts w:ascii="Microsoft JhengHei" w:eastAsia="Microsoft JhengHei" w:hint="eastAsia"/>
          <w:b/>
          <w:color w:val="59A1AE"/>
          <w:sz w:val="24"/>
        </w:rPr>
        <w:t>单瓦售价将重回下跌趋势，毛利率将由高位小幅回落</w:t>
      </w:r>
    </w:p>
    <w:p>
      <w:pPr>
        <w:pStyle w:val="BodyText"/>
        <w:spacing w:before="151" w:line="265" w:lineRule="exact"/>
        <w:ind w:left="1151"/>
      </w:pPr>
      <w:r>
        <w:rPr>
          <w:color w:val="262626"/>
        </w:rPr>
        <w:t>由于市场售价下跌和单台平均功率提升导致单瓦成本下降，公司逆变器单价由</w:t>
      </w:r>
    </w:p>
    <w:p>
      <w:pPr>
        <w:pStyle w:val="BodyText"/>
        <w:spacing w:line="260" w:lineRule="exact"/>
        <w:ind w:left="1151"/>
      </w:pPr>
      <w:r>
        <w:rPr>
          <w:rFonts w:ascii="Calibri" w:eastAsia="Calibri"/>
          <w:color w:val="262626"/>
          <w:spacing w:val="-1"/>
        </w:rPr>
        <w:t>2018</w:t>
      </w:r>
      <w:r>
        <w:rPr>
          <w:color w:val="262626"/>
          <w:spacing w:val="-3"/>
        </w:rPr>
        <w:t>年的</w:t>
      </w:r>
      <w:r>
        <w:rPr>
          <w:rFonts w:ascii="Calibri" w:eastAsia="Calibri"/>
          <w:color w:val="262626"/>
        </w:rPr>
        <w:t>0.24</w:t>
      </w:r>
      <w:r>
        <w:rPr>
          <w:color w:val="262626"/>
          <w:spacing w:val="-4"/>
        </w:rPr>
        <w:t>元</w:t>
      </w:r>
      <w:r>
        <w:rPr>
          <w:rFonts w:ascii="Calibri" w:eastAsia="Calibri"/>
          <w:color w:val="262626"/>
        </w:rPr>
        <w:t>/</w:t>
      </w:r>
      <w:r>
        <w:rPr>
          <w:color w:val="262626"/>
          <w:spacing w:val="-2"/>
        </w:rPr>
        <w:t>瓦降至</w:t>
      </w:r>
      <w:r>
        <w:rPr>
          <w:rFonts w:ascii="Calibri" w:eastAsia="Calibri"/>
          <w:color w:val="262626"/>
        </w:rPr>
        <w:t>2021</w:t>
      </w:r>
      <w:r>
        <w:rPr>
          <w:color w:val="262626"/>
          <w:spacing w:val="-2"/>
        </w:rPr>
        <w:t>年的</w:t>
      </w:r>
      <w:r>
        <w:rPr>
          <w:rFonts w:ascii="Calibri" w:eastAsia="Calibri"/>
          <w:color w:val="262626"/>
        </w:rPr>
        <w:t>0.19</w:t>
      </w:r>
      <w:r>
        <w:rPr>
          <w:color w:val="262626"/>
          <w:spacing w:val="-4"/>
        </w:rPr>
        <w:t>元</w:t>
      </w:r>
      <w:r>
        <w:rPr>
          <w:rFonts w:ascii="Calibri" w:eastAsia="Calibri"/>
          <w:color w:val="262626"/>
        </w:rPr>
        <w:t>/</w:t>
      </w:r>
      <w:r>
        <w:rPr>
          <w:color w:val="262626"/>
          <w:spacing w:val="-1"/>
        </w:rPr>
        <w:t>瓦，由于</w:t>
      </w:r>
      <w:r>
        <w:rPr>
          <w:rFonts w:ascii="Calibri" w:eastAsia="Calibri"/>
          <w:color w:val="262626"/>
        </w:rPr>
        <w:t>IGBT</w:t>
      </w:r>
      <w:r>
        <w:rPr>
          <w:color w:val="262626"/>
        </w:rPr>
        <w:t>短缺导致逆变器供应紧张</w:t>
      </w:r>
    </w:p>
    <w:p>
      <w:pPr>
        <w:pStyle w:val="BodyText"/>
        <w:spacing w:line="260" w:lineRule="exact"/>
        <w:ind w:left="1151"/>
      </w:pPr>
      <w:r>
        <w:rPr>
          <w:color w:val="262626"/>
        </w:rPr>
        <w:t>，</w:t>
      </w:r>
      <w:r>
        <w:rPr>
          <w:rFonts w:ascii="Calibri" w:eastAsia="Calibri"/>
          <w:color w:val="262626"/>
        </w:rPr>
        <w:t>2022</w:t>
      </w:r>
      <w:r>
        <w:rPr>
          <w:color w:val="262626"/>
        </w:rPr>
        <w:t>年反弹至</w:t>
      </w:r>
      <w:r>
        <w:rPr>
          <w:rFonts w:ascii="Calibri" w:eastAsia="Calibri"/>
          <w:color w:val="262626"/>
        </w:rPr>
        <w:t>0.20</w:t>
      </w:r>
      <w:r>
        <w:rPr>
          <w:color w:val="262626"/>
        </w:rPr>
        <w:t>元</w:t>
      </w:r>
      <w:r>
        <w:rPr>
          <w:rFonts w:ascii="Calibri" w:eastAsia="Calibri"/>
          <w:color w:val="262626"/>
        </w:rPr>
        <w:t>/</w:t>
      </w:r>
      <w:r>
        <w:rPr>
          <w:color w:val="262626"/>
        </w:rPr>
        <w:t>瓦，我们预计随着</w:t>
      </w:r>
      <w:r>
        <w:rPr>
          <w:rFonts w:ascii="Calibri" w:eastAsia="Calibri"/>
          <w:color w:val="262626"/>
        </w:rPr>
        <w:t>IGBT</w:t>
      </w:r>
      <w:r>
        <w:rPr>
          <w:color w:val="262626"/>
        </w:rPr>
        <w:t>不再紧缺和逆变器竞争加剧，从</w:t>
      </w:r>
    </w:p>
    <w:p>
      <w:pPr>
        <w:pStyle w:val="BodyText"/>
        <w:spacing w:line="265" w:lineRule="exact"/>
        <w:ind w:left="1151"/>
      </w:pPr>
      <w:r>
        <w:rPr>
          <w:rFonts w:ascii="Calibri" w:eastAsia="Calibri"/>
          <w:color w:val="262626"/>
        </w:rPr>
        <w:t>2023</w:t>
      </w:r>
      <w:r>
        <w:rPr>
          <w:color w:val="262626"/>
        </w:rPr>
        <w:t>年起单价将重回下跌趋势。</w:t>
      </w:r>
    </w:p>
    <w:p>
      <w:pPr>
        <w:pStyle w:val="BodyText"/>
        <w:spacing w:before="6"/>
        <w:rPr>
          <w:sz w:val="15"/>
        </w:rPr>
      </w:pPr>
    </w:p>
    <w:p>
      <w:pPr>
        <w:pStyle w:val="Heading3"/>
        <w:spacing w:before="1"/>
      </w:pPr>
      <w:r>
        <w:rPr>
          <w:color w:val="262626"/>
        </w:rPr>
        <w:t>图表</w:t>
      </w:r>
      <w:r>
        <w:rPr>
          <w:rFonts w:ascii="Calibri" w:eastAsia="Calibri"/>
        </w:rPr>
        <w:t xml:space="preserve">58: </w:t>
      </w:r>
      <w:r>
        <w:rPr>
          <w:color w:val="262626"/>
        </w:rPr>
        <w:t>公司光伏逆变器单价（元</w:t>
      </w:r>
      <w:r>
        <w:rPr>
          <w:rFonts w:ascii="Calibri" w:eastAsia="Calibri"/>
          <w:color w:val="262626"/>
        </w:rPr>
        <w:t>/</w:t>
      </w:r>
      <w:r>
        <w:rPr>
          <w:color w:val="262626"/>
        </w:rPr>
        <w:t>瓦）</w:t>
      </w:r>
    </w:p>
    <w:p>
      <w:pPr>
        <w:pStyle w:val="BodyText"/>
        <w:spacing w:line="20" w:lineRule="exact"/>
        <w:ind w:left="1143"/>
        <w:rPr>
          <w:rFonts w:ascii="Microsoft JhengHei"/>
          <w:sz w:val="2"/>
        </w:rPr>
      </w:pPr>
      <w:r>
        <w:rPr>
          <w:rFonts w:ascii="Microsoft JhengHei"/>
          <w:sz w:val="2"/>
        </w:rPr>
        <w:pict>
          <v:group id="_x0000_i1940" style="width:357.2pt;height:0.75pt;mso-position-horizontal-relative:char;mso-position-vertical-relative:line" coordorigin="0,0" coordsize="7144,15">
            <v:line id="_x0000_s1941" style="position:absolute" from="0,8" to="7144,8" stroked="t" strokecolor="black" strokeweight="0.75pt">
              <v:stroke dashstyle="solid"/>
            </v:line>
            <w10:wrap type="none"/>
          </v:group>
        </w:pict>
      </w:r>
    </w:p>
    <w:p>
      <w:pPr>
        <w:pStyle w:val="BodyText"/>
        <w:spacing w:before="14"/>
        <w:rPr>
          <w:rFonts w:ascii="Microsoft JhengHei"/>
          <w:b/>
          <w:sz w:val="5"/>
        </w:rPr>
      </w:pPr>
    </w:p>
    <w:p>
      <w:pPr>
        <w:spacing w:before="68"/>
        <w:ind w:left="2440" w:right="0" w:firstLine="0"/>
        <w:jc w:val="left"/>
        <w:rPr>
          <w:rFonts w:ascii="Calibri"/>
          <w:sz w:val="16"/>
        </w:rPr>
      </w:pPr>
      <w:r>
        <w:pict>
          <v:group id="_x0000_s1942" style="width:201.95pt;height:107.6pt;margin-top:8.37pt;margin-left:140.76pt;mso-position-horizontal-relative:page;position:absolute;z-index:251827200" coordorigin="2815,167" coordsize="4039,2152">
            <v:shape id="_x0000_s1943" style="width:17166480;height:7518080;position:absolute;top:-7506850" coordorigin="0,-7506850" coordsize="17166480,7518080" path="m2866,1918l6846,1918m2866,1570l6846,1570m2866,1223l6846,1223m2866,872l6846,872m2866,525l6846,525m2866,175l6846,175e" filled="f" stroked="t" strokecolor="#d8d8d8" strokeweight="0.72pt">
              <v:stroke dashstyle="solid"/>
              <v:path arrowok="t"/>
            </v:shape>
            <v:line id="_x0000_s1944" style="position:absolute" from="2866,2268" to="2866,175" stroked="t" strokecolor="#7e7e7e" strokeweight="0.72pt">
              <v:stroke dashstyle="solid"/>
            </v:line>
            <v:shape id="_x0000_s1945" style="width:217166;height:9027920;position:absolute;top:-9016690" coordorigin="0,-9016690" coordsize="217166,9027920" path="m2815,2268l2866,2268m2815,1918l2866,1918m2815,1570l2866,1570m2815,1223l2866,1223m2815,872l2866,872m2815,525l2866,525m2815,175l2866,175e" filled="f" stroked="t" strokecolor="#7e7e7e" strokeweight="0.72pt">
              <v:stroke dashstyle="solid"/>
              <v:path arrowok="t"/>
            </v:shape>
            <v:shape id="_x0000_s1946" style="width:17166480;height:217166;position:absolute;top:-205936" coordorigin="0,-205936" coordsize="17166480,217166" path="m2866,2268l6846,2268m2866,2268l2866,2319m3662,2268l3662,2319m4458,2268l4458,2319m5254,2268l5254,2319m6050,2268l6050,2319m6846,2268l6846,2319e" filled="f" stroked="t" strokecolor="#7e7e7e" strokeweight="0.72pt">
              <v:stroke dashstyle="solid"/>
              <v:path arrowok="t"/>
            </v:shape>
            <v:shape id="_x0000_s1947" style="width:3185;height:358;left:3264;position:absolute;top:566" coordorigin="3265,567" coordsize="3185,358" path="m3265,567l3265,567,4061,715,4857,770,5653,924,6449,845e" filled="f" stroked="t" strokecolor="#1f5ea0" strokeweight="1.8pt">
              <v:stroke dashstyle="solid"/>
              <v:path arrowok="t"/>
            </v:shape>
          </v:group>
        </w:pict>
      </w:r>
      <w:r>
        <w:rPr>
          <w:rFonts w:ascii="Calibri"/>
          <w:sz w:val="16"/>
        </w:rPr>
        <w:t>30%</w:t>
      </w:r>
    </w:p>
    <w:p>
      <w:pPr>
        <w:pStyle w:val="BodyText"/>
        <w:spacing w:before="7"/>
        <w:rPr>
          <w:rFonts w:ascii="Calibri"/>
          <w:sz w:val="12"/>
        </w:rPr>
      </w:pPr>
    </w:p>
    <w:p>
      <w:pPr>
        <w:spacing w:before="0"/>
        <w:ind w:left="2440" w:right="0" w:firstLine="0"/>
        <w:jc w:val="left"/>
        <w:rPr>
          <w:rFonts w:ascii="Calibri"/>
          <w:sz w:val="16"/>
        </w:rPr>
      </w:pPr>
      <w:r>
        <w:rPr>
          <w:rFonts w:ascii="Calibri"/>
          <w:sz w:val="16"/>
        </w:rPr>
        <w:t>25%</w:t>
      </w:r>
    </w:p>
    <w:p>
      <w:pPr>
        <w:pStyle w:val="BodyText"/>
        <w:spacing w:before="6"/>
        <w:rPr>
          <w:rFonts w:ascii="Calibri"/>
          <w:sz w:val="12"/>
        </w:rPr>
      </w:pPr>
    </w:p>
    <w:p>
      <w:pPr>
        <w:spacing w:before="1"/>
        <w:ind w:left="2440" w:right="0" w:firstLine="0"/>
        <w:jc w:val="left"/>
        <w:rPr>
          <w:rFonts w:ascii="Calibri"/>
          <w:sz w:val="16"/>
        </w:rPr>
      </w:pPr>
      <w:r>
        <w:rPr>
          <w:rFonts w:ascii="Calibri"/>
          <w:sz w:val="16"/>
        </w:rPr>
        <w:t>20%</w:t>
      </w:r>
    </w:p>
    <w:p>
      <w:pPr>
        <w:pStyle w:val="BodyText"/>
        <w:spacing w:before="6"/>
        <w:rPr>
          <w:rFonts w:ascii="Calibri"/>
          <w:sz w:val="12"/>
        </w:rPr>
      </w:pPr>
    </w:p>
    <w:p>
      <w:pPr>
        <w:spacing w:before="0"/>
        <w:ind w:left="2440" w:right="0" w:firstLine="0"/>
        <w:jc w:val="left"/>
        <w:rPr>
          <w:rFonts w:ascii="Calibri"/>
          <w:sz w:val="16"/>
        </w:rPr>
      </w:pPr>
      <w:r>
        <w:rPr>
          <w:rFonts w:ascii="Calibri"/>
          <w:sz w:val="16"/>
        </w:rPr>
        <w:t>15%</w:t>
      </w:r>
    </w:p>
    <w:p>
      <w:pPr>
        <w:pStyle w:val="BodyText"/>
        <w:spacing w:before="7"/>
        <w:rPr>
          <w:rFonts w:ascii="Calibri"/>
          <w:sz w:val="12"/>
        </w:rPr>
      </w:pPr>
    </w:p>
    <w:p>
      <w:pPr>
        <w:spacing w:before="0"/>
        <w:ind w:left="2440" w:right="0" w:firstLine="0"/>
        <w:jc w:val="left"/>
        <w:rPr>
          <w:rFonts w:ascii="Calibri"/>
          <w:sz w:val="16"/>
        </w:rPr>
      </w:pPr>
      <w:r>
        <w:rPr>
          <w:rFonts w:ascii="Calibri"/>
          <w:sz w:val="16"/>
        </w:rPr>
        <w:t>10%</w:t>
      </w:r>
    </w:p>
    <w:p>
      <w:pPr>
        <w:pStyle w:val="BodyText"/>
        <w:spacing w:before="7"/>
        <w:rPr>
          <w:rFonts w:ascii="Calibri"/>
          <w:sz w:val="12"/>
        </w:rPr>
      </w:pPr>
    </w:p>
    <w:p>
      <w:pPr>
        <w:spacing w:before="0"/>
        <w:ind w:left="2521" w:right="0" w:firstLine="0"/>
        <w:jc w:val="left"/>
        <w:rPr>
          <w:rFonts w:ascii="Calibri"/>
          <w:sz w:val="16"/>
        </w:rPr>
      </w:pPr>
      <w:r>
        <w:rPr>
          <w:rFonts w:ascii="Calibri"/>
          <w:sz w:val="16"/>
        </w:rPr>
        <w:t>5%</w:t>
      </w:r>
    </w:p>
    <w:p>
      <w:pPr>
        <w:pStyle w:val="BodyText"/>
        <w:spacing w:before="7"/>
        <w:rPr>
          <w:rFonts w:ascii="Calibri"/>
          <w:sz w:val="12"/>
        </w:rPr>
      </w:pPr>
    </w:p>
    <w:p>
      <w:pPr>
        <w:spacing w:before="0"/>
        <w:ind w:left="2521" w:right="0" w:firstLine="0"/>
        <w:jc w:val="left"/>
        <w:rPr>
          <w:rFonts w:ascii="Calibri"/>
          <w:sz w:val="16"/>
        </w:rPr>
      </w:pPr>
      <w:r>
        <w:rPr>
          <w:rFonts w:ascii="Calibri"/>
          <w:sz w:val="16"/>
        </w:rPr>
        <w:t>0%</w:t>
      </w:r>
    </w:p>
    <w:p>
      <w:pPr>
        <w:tabs>
          <w:tab w:val="left" w:pos="3897"/>
          <w:tab w:val="left" w:pos="4694"/>
          <w:tab w:val="left" w:pos="5490"/>
          <w:tab w:val="left" w:pos="6286"/>
        </w:tabs>
        <w:spacing w:before="12"/>
        <w:ind w:left="3101" w:right="0" w:firstLine="0"/>
        <w:jc w:val="left"/>
        <w:rPr>
          <w:rFonts w:ascii="Calibri"/>
          <w:sz w:val="16"/>
        </w:rPr>
      </w:pPr>
      <w:r>
        <w:pict>
          <v:shape id="_x0000_s1948" style="width:357.2pt;height:0.1pt;margin-top:12.32pt;margin-left:57.55pt;mso-position-horizontal-relative:page;mso-wrap-distance-left:0;mso-wrap-distance-right:0;position:absolute;z-index:-251491328" coordorigin="1151,246" coordsize="7144,0" path="m1151,246l8295,246e" filled="f" stroked="t" strokecolor="black" strokeweight="0.75pt">
            <v:stroke dashstyle="solid"/>
            <v:path arrowok="t"/>
            <w10:wrap type="topAndBottom"/>
          </v:shape>
        </w:pict>
      </w:r>
      <w:r>
        <w:rPr>
          <w:rFonts w:ascii="Calibri"/>
          <w:sz w:val="16"/>
        </w:rPr>
        <w:t>2018</w:t>
        <w:tab/>
        <w:t>2019</w:t>
        <w:tab/>
        <w:t>2020</w:t>
        <w:tab/>
        <w:t>2021</w:t>
        <w:tab/>
        <w:t>2022</w:t>
      </w:r>
    </w:p>
    <w:p>
      <w:pPr>
        <w:spacing w:before="0"/>
        <w:ind w:left="1150" w:right="0" w:firstLine="0"/>
        <w:jc w:val="left"/>
        <w:rPr>
          <w:sz w:val="15"/>
        </w:rPr>
      </w:pPr>
      <w:r>
        <w:t xml:space="preserve">资料来源：公司资料， </w:t>
      </w:r>
    </w:p>
    <w:p>
      <w:pPr>
        <w:pStyle w:val="BodyText"/>
        <w:spacing w:before="7"/>
        <w:rPr>
          <w:sz w:val="13"/>
        </w:rPr>
      </w:pPr>
    </w:p>
    <w:p>
      <w:pPr>
        <w:pStyle w:val="BodyText"/>
        <w:spacing w:before="64" w:line="232" w:lineRule="auto"/>
        <w:ind w:left="1151" w:right="3910"/>
        <w:jc w:val="both"/>
      </w:pPr>
      <w:r>
        <w:rPr>
          <w:rFonts w:ascii="Calibri" w:eastAsia="Calibri"/>
          <w:color w:val="262626"/>
        </w:rPr>
        <w:t>2018</w:t>
      </w:r>
      <w:r>
        <w:rPr>
          <w:color w:val="262626"/>
        </w:rPr>
        <w:t>年以来公司光伏逆变器毛利率在</w:t>
      </w:r>
      <w:r>
        <w:rPr>
          <w:rFonts w:ascii="Calibri" w:eastAsia="Calibri"/>
          <w:color w:val="262626"/>
        </w:rPr>
        <w:t>32-35%</w:t>
      </w:r>
      <w:r>
        <w:rPr>
          <w:color w:val="262626"/>
        </w:rPr>
        <w:t>范围内小幅波动，</w:t>
      </w:r>
      <w:r>
        <w:rPr>
          <w:rFonts w:ascii="Calibri" w:eastAsia="Calibri"/>
          <w:color w:val="262626"/>
        </w:rPr>
        <w:t>2023</w:t>
      </w:r>
      <w:r>
        <w:rPr>
          <w:color w:val="262626"/>
        </w:rPr>
        <w:t>年上半年则大幅提升至</w:t>
      </w:r>
      <w:r>
        <w:rPr>
          <w:rFonts w:ascii="Calibri" w:eastAsia="Calibri"/>
          <w:color w:val="262626"/>
        </w:rPr>
        <w:t>39.5%</w:t>
      </w:r>
      <w:r>
        <w:rPr>
          <w:color w:val="262626"/>
        </w:rPr>
        <w:t>，前</w:t>
      </w:r>
      <w:r>
        <w:rPr>
          <w:rFonts w:ascii="Calibri" w:eastAsia="Calibri"/>
          <w:color w:val="262626"/>
        </w:rPr>
        <w:t>3</w:t>
      </w:r>
      <w:r>
        <w:rPr>
          <w:color w:val="262626"/>
        </w:rPr>
        <w:t>季度仍保持在约</w:t>
      </w:r>
      <w:r>
        <w:rPr>
          <w:rFonts w:ascii="Calibri" w:eastAsia="Calibri"/>
          <w:color w:val="262626"/>
        </w:rPr>
        <w:t>40%</w:t>
      </w:r>
      <w:r>
        <w:rPr>
          <w:color w:val="262626"/>
        </w:rPr>
        <w:t>，主要由于产品创新、规模效应及运费下降、以及人民币汇率变动。我们预计未来随着行业竞争加剧，公司</w:t>
      </w:r>
      <w:r>
        <w:rPr>
          <w:rFonts w:ascii="Calibri" w:eastAsia="Calibri"/>
          <w:color w:val="262626"/>
        </w:rPr>
        <w:t xml:space="preserve">40% </w:t>
      </w:r>
      <w:r>
        <w:rPr>
          <w:color w:val="262626"/>
        </w:rPr>
        <w:t>的高毛利率将逐渐正常化至</w:t>
      </w:r>
      <w:r>
        <w:rPr>
          <w:rFonts w:ascii="Calibri" w:eastAsia="Calibri"/>
          <w:color w:val="262626"/>
        </w:rPr>
        <w:t>35%</w:t>
      </w:r>
      <w:r>
        <w:rPr>
          <w:color w:val="262626"/>
        </w:rPr>
        <w:t>左右的合理水平。</w:t>
      </w:r>
    </w:p>
    <w:p>
      <w:pPr>
        <w:pStyle w:val="Heading3"/>
        <w:spacing w:before="198"/>
        <w:rPr>
          <w:rFonts w:ascii="Calibri" w:eastAsia="Calibri"/>
        </w:rPr>
      </w:pPr>
      <w:r>
        <w:rPr>
          <w:color w:val="262626"/>
        </w:rPr>
        <w:t>图表</w:t>
      </w:r>
      <w:r>
        <w:rPr>
          <w:rFonts w:ascii="Calibri" w:eastAsia="Calibri"/>
        </w:rPr>
        <w:t xml:space="preserve">59: </w:t>
      </w:r>
      <w:r>
        <w:rPr>
          <w:color w:val="262626"/>
        </w:rPr>
        <w:t>公司光伏逆变器毛利率</w:t>
      </w:r>
      <w:r>
        <w:rPr>
          <w:rFonts w:ascii="Calibri" w:eastAsia="Calibri"/>
          <w:color w:val="262626"/>
        </w:rPr>
        <w:t>(%)</w:t>
      </w:r>
    </w:p>
    <w:p>
      <w:pPr>
        <w:pStyle w:val="BodyText"/>
        <w:spacing w:line="20" w:lineRule="exact"/>
        <w:ind w:left="1143"/>
        <w:rPr>
          <w:rFonts w:ascii="Calibri"/>
          <w:sz w:val="2"/>
        </w:rPr>
      </w:pPr>
      <w:r>
        <w:rPr>
          <w:rFonts w:ascii="Calibri"/>
          <w:sz w:val="2"/>
        </w:rPr>
        <w:pict>
          <v:group id="_x0000_i1949" style="width:357.2pt;height:0.75pt;mso-position-horizontal-relative:char;mso-position-vertical-relative:line" coordorigin="0,0" coordsize="7144,15">
            <v:line id="_x0000_s1950" style="position:absolute" from="0,8" to="7144,8" stroked="t" strokecolor="black" strokeweight="0.75pt">
              <v:stroke dashstyle="solid"/>
            </v:line>
            <w10:wrap type="none"/>
          </v:group>
        </w:pict>
      </w:r>
    </w:p>
    <w:p>
      <w:pPr>
        <w:pStyle w:val="BodyText"/>
        <w:spacing w:before="7"/>
        <w:rPr>
          <w:rFonts w:ascii="Calibri"/>
          <w:b/>
          <w:sz w:val="8"/>
        </w:rPr>
      </w:pPr>
    </w:p>
    <w:p>
      <w:pPr>
        <w:spacing w:before="68"/>
        <w:ind w:left="2406" w:right="0" w:firstLine="0"/>
        <w:jc w:val="left"/>
        <w:rPr>
          <w:rFonts w:ascii="Calibri"/>
          <w:sz w:val="16"/>
        </w:rPr>
      </w:pPr>
      <w:r>
        <w:pict>
          <v:group id="_x0000_s1951" style="width:205.4pt;height:107.15pt;margin-top:8.42pt;margin-left:139.41pt;mso-position-horizontal-relative:page;position:absolute;z-index:251828224" coordorigin="2788,168" coordsize="4108,2143">
            <v:shape id="_x0000_s1952" style="width:17169020;height:7107940;position:absolute;top:-7101514" coordorigin="0,-7101513" coordsize="17169020,7107940" path="m2839,1845l6888,1845m2839,1427l6888,1427m2839,1010l6888,1010m2839,594l6888,594m2839,176l6888,176e" filled="f" stroked="t" strokecolor="#d8d8d8" strokeweight="0.72pt">
              <v:stroke dashstyle="solid"/>
              <v:path arrowok="t"/>
            </v:shape>
            <v:line id="_x0000_s1953" style="position:absolute" from="2839,2261" to="2839,176" stroked="t" strokecolor="#7e7e7e" strokeweight="0.72pt">
              <v:stroke dashstyle="solid"/>
            </v:line>
            <v:shape id="_x0000_s1954" style="width:213850;height:8879820;position:absolute;top:-8873394" coordorigin="0,-8873393" coordsize="213850,8879820" path="m2788,2261l2839,2261m2788,1845l2839,1845m2788,1427l2839,1427m2788,1010l2839,1010m2788,594l2839,594m2788,176l2839,176e" filled="f" stroked="t" strokecolor="#7e7e7e" strokeweight="0.72pt">
              <v:stroke dashstyle="solid"/>
              <v:path arrowok="t"/>
            </v:shape>
            <v:shape id="_x0000_s1955" style="width:17169020;height:213850;position:absolute;top:-207424" coordorigin="0,-207424" coordsize="17169020,213850" path="m2839,2261l6888,2261m2839,2261l2839,2311m3514,2261l3514,2311m4189,2261l4189,2311m4864,2261l4864,2311m5539,2261l5539,2311m6213,2261l6213,2311m6888,2261l6888,2311e" filled="f" stroked="t" strokecolor="#7e7e7e" strokeweight="0.72pt">
              <v:stroke dashstyle="solid"/>
              <v:path arrowok="t"/>
            </v:shape>
            <v:shape id="_x0000_s1956" style="width:3375;height:1476;left:3176;position:absolute;top:279" coordorigin="3176,280" coordsize="3375,1476" path="m3176,1755l3851,1277,4526,1212,5201,1468,5876,1590,6551,280e" filled="f" stroked="t" strokecolor="#1f5ea0" strokeweight="1.79pt">
              <v:stroke dashstyle="solid"/>
              <v:path arrowok="t"/>
            </v:shape>
          </v:group>
        </w:pict>
      </w:r>
      <w:r>
        <w:rPr>
          <w:rFonts w:ascii="Calibri"/>
          <w:sz w:val="16"/>
        </w:rPr>
        <w:t>40.0</w:t>
      </w:r>
    </w:p>
    <w:p>
      <w:pPr>
        <w:pStyle w:val="BodyText"/>
        <w:spacing w:before="7"/>
        <w:rPr>
          <w:rFonts w:ascii="Calibri"/>
          <w:sz w:val="12"/>
        </w:rPr>
      </w:pPr>
    </w:p>
    <w:p>
      <w:pPr>
        <w:spacing w:before="68"/>
        <w:ind w:left="2406" w:right="0" w:firstLine="0"/>
        <w:jc w:val="left"/>
        <w:rPr>
          <w:rFonts w:ascii="Calibri"/>
          <w:sz w:val="16"/>
        </w:rPr>
      </w:pPr>
      <w:r>
        <w:rPr>
          <w:rFonts w:ascii="Calibri"/>
          <w:sz w:val="16"/>
        </w:rPr>
        <w:t>38.0</w:t>
      </w:r>
    </w:p>
    <w:p>
      <w:pPr>
        <w:pStyle w:val="BodyText"/>
        <w:spacing w:before="7"/>
        <w:rPr>
          <w:rFonts w:ascii="Calibri"/>
          <w:sz w:val="12"/>
        </w:rPr>
      </w:pPr>
    </w:p>
    <w:p>
      <w:pPr>
        <w:spacing w:before="68"/>
        <w:ind w:left="2406" w:right="0" w:firstLine="0"/>
        <w:jc w:val="left"/>
        <w:rPr>
          <w:rFonts w:ascii="Calibri"/>
          <w:sz w:val="16"/>
        </w:rPr>
      </w:pPr>
      <w:r>
        <w:rPr>
          <w:rFonts w:ascii="Calibri"/>
          <w:sz w:val="16"/>
        </w:rPr>
        <w:t>36.0</w:t>
      </w:r>
    </w:p>
    <w:p>
      <w:pPr>
        <w:pStyle w:val="BodyText"/>
        <w:spacing w:before="8"/>
        <w:rPr>
          <w:rFonts w:ascii="Calibri"/>
          <w:sz w:val="12"/>
        </w:rPr>
      </w:pPr>
    </w:p>
    <w:p>
      <w:pPr>
        <w:spacing w:before="68"/>
        <w:ind w:left="2406" w:right="0" w:firstLine="0"/>
        <w:jc w:val="left"/>
        <w:rPr>
          <w:rFonts w:ascii="Calibri"/>
          <w:sz w:val="16"/>
        </w:rPr>
      </w:pPr>
      <w:r>
        <w:rPr>
          <w:rFonts w:ascii="Calibri"/>
          <w:sz w:val="16"/>
        </w:rPr>
        <w:t>34.0</w:t>
      </w:r>
    </w:p>
    <w:p>
      <w:pPr>
        <w:pStyle w:val="BodyText"/>
        <w:spacing w:before="7"/>
        <w:rPr>
          <w:rFonts w:ascii="Calibri"/>
          <w:sz w:val="12"/>
        </w:rPr>
      </w:pPr>
    </w:p>
    <w:p>
      <w:pPr>
        <w:spacing w:before="68"/>
        <w:ind w:left="2406" w:right="0" w:firstLine="0"/>
        <w:jc w:val="left"/>
        <w:rPr>
          <w:rFonts w:ascii="Calibri"/>
          <w:sz w:val="16"/>
        </w:rPr>
      </w:pPr>
      <w:r>
        <w:rPr>
          <w:rFonts w:ascii="Calibri"/>
          <w:sz w:val="16"/>
        </w:rPr>
        <w:t>32.0</w:t>
      </w:r>
    </w:p>
    <w:p>
      <w:pPr>
        <w:pStyle w:val="BodyText"/>
        <w:spacing w:before="7"/>
        <w:rPr>
          <w:rFonts w:ascii="Calibri"/>
          <w:sz w:val="12"/>
        </w:rPr>
      </w:pPr>
    </w:p>
    <w:p>
      <w:pPr>
        <w:spacing w:before="68"/>
        <w:ind w:left="2406" w:right="0" w:firstLine="0"/>
        <w:jc w:val="left"/>
        <w:rPr>
          <w:rFonts w:ascii="Calibri"/>
          <w:sz w:val="16"/>
        </w:rPr>
      </w:pPr>
      <w:r>
        <w:rPr>
          <w:rFonts w:ascii="Calibri"/>
          <w:sz w:val="16"/>
        </w:rPr>
        <w:t>30.0</w:t>
      </w:r>
    </w:p>
    <w:p>
      <w:pPr>
        <w:tabs>
          <w:tab w:val="left" w:pos="3689"/>
          <w:tab w:val="left" w:pos="4363"/>
          <w:tab w:val="left" w:pos="5038"/>
          <w:tab w:val="left" w:pos="5713"/>
          <w:tab w:val="left" w:pos="6378"/>
        </w:tabs>
        <w:spacing w:before="12"/>
        <w:ind w:left="3014" w:right="0" w:firstLine="0"/>
        <w:jc w:val="left"/>
        <w:rPr>
          <w:rFonts w:ascii="Calibri"/>
          <w:sz w:val="16"/>
        </w:rPr>
      </w:pPr>
      <w:r>
        <w:pict>
          <v:shape id="_x0000_s1957" style="width:357.2pt;height:0.1pt;margin-top:12.24pt;margin-left:57.55pt;mso-position-horizontal-relative:page;mso-wrap-distance-left:0;mso-wrap-distance-right:0;position:absolute;z-index:-251490304" coordorigin="1151,245" coordsize="7144,0" path="m1151,245l8295,245e" filled="f" stroked="t" strokecolor="black" strokeweight="0.75pt">
            <v:stroke dashstyle="solid"/>
            <v:path arrowok="t"/>
            <w10:wrap type="topAndBottom"/>
          </v:shape>
        </w:pict>
      </w:r>
      <w:r>
        <w:rPr>
          <w:rFonts w:ascii="Calibri"/>
          <w:sz w:val="16"/>
        </w:rPr>
        <w:t>2018</w:t>
        <w:tab/>
        <w:t>2019</w:t>
        <w:tab/>
        <w:t>2020</w:t>
        <w:tab/>
        <w:t>2021</w:t>
        <w:tab/>
        <w:t>2022</w:t>
        <w:tab/>
        <w:t>1H23</w:t>
      </w:r>
    </w:p>
    <w:p>
      <w:pPr>
        <w:spacing w:before="0"/>
        <w:ind w:left="1150" w:right="0" w:firstLine="0"/>
        <w:jc w:val="left"/>
        <w:rPr>
          <w:sz w:val="15"/>
        </w:rPr>
      </w:pPr>
      <w:r>
        <w:t xml:space="preserve">资料来源：公司资料， </w:t>
      </w:r>
    </w:p>
    <w:p>
      <w:pPr>
        <w:spacing w:after="0"/>
        <w:jc w:val="left"/>
        <w:rPr>
          <w:sz w:val="15"/>
        </w:rPr>
        <w:sectPr>
          <w:headerReference w:type="default" r:id="rId220"/>
          <w:footerReference w:type="default" r:id="rId221"/>
          <w:pgSz w:w="12240" w:h="15840"/>
          <w:pgMar w:top="1720" w:right="0" w:bottom="1380" w:left="0" w:header="708" w:footer="708"/>
          <w:pgNumType w:start="85"/>
          <w:cols w:space="708"/>
        </w:sectPr>
      </w:pPr>
    </w:p>
    <w:p>
      <w:pPr>
        <w:pStyle w:val="BodyText"/>
        <w:rPr>
          <w:sz w:val="20"/>
        </w:rPr>
      </w:pPr>
    </w:p>
    <w:p>
      <w:pPr>
        <w:pStyle w:val="BodyText"/>
        <w:spacing w:before="10"/>
      </w:pPr>
    </w:p>
    <w:p>
      <w:pPr>
        <w:spacing w:before="55" w:line="170" w:lineRule="auto"/>
        <w:ind w:left="1151" w:right="3859" w:firstLine="0"/>
        <w:jc w:val="left"/>
        <w:rPr>
          <w:rFonts w:ascii="Microsoft JhengHei" w:eastAsia="Microsoft JhengHei" w:hint="eastAsia"/>
          <w:b/>
          <w:sz w:val="32"/>
        </w:rPr>
      </w:pPr>
      <w:r>
        <w:rPr>
          <w:rFonts w:ascii="Microsoft JhengHei" w:eastAsia="Microsoft JhengHei" w:hint="eastAsia"/>
          <w:b/>
          <w:color w:val="59A1AE"/>
          <w:sz w:val="32"/>
        </w:rPr>
        <w:t>储能业务</w:t>
      </w:r>
      <w:r>
        <w:rPr>
          <w:rFonts w:ascii="Calibri" w:eastAsia="Calibri"/>
          <w:b/>
          <w:color w:val="59A1AE"/>
          <w:sz w:val="32"/>
        </w:rPr>
        <w:t xml:space="preserve">: </w:t>
      </w:r>
      <w:r>
        <w:rPr>
          <w:rFonts w:ascii="Microsoft JhengHei" w:eastAsia="Microsoft JhengHei" w:hint="eastAsia"/>
          <w:b/>
          <w:color w:val="59A1AE"/>
          <w:sz w:val="32"/>
        </w:rPr>
        <w:t>稳居全球第一，需求爆发下成为第二成长曲线</w:t>
      </w:r>
    </w:p>
    <w:p>
      <w:pPr>
        <w:spacing w:before="87"/>
        <w:ind w:left="1151" w:right="0" w:firstLine="0"/>
        <w:jc w:val="left"/>
        <w:rPr>
          <w:rFonts w:ascii="Microsoft JhengHei" w:eastAsia="Microsoft JhengHei" w:hint="eastAsia"/>
          <w:b/>
          <w:sz w:val="24"/>
        </w:rPr>
      </w:pPr>
      <w:r>
        <w:rPr>
          <w:rFonts w:ascii="Microsoft JhengHei" w:eastAsia="Microsoft JhengHei" w:hint="eastAsia"/>
          <w:b/>
          <w:color w:val="59A1AE"/>
          <w:sz w:val="24"/>
        </w:rPr>
        <w:t>由光伏逆变器切入储能，多年深耕下技术积累雄厚</w:t>
      </w:r>
    </w:p>
    <w:p>
      <w:pPr>
        <w:pStyle w:val="BodyText"/>
        <w:spacing w:before="158" w:line="232" w:lineRule="auto"/>
        <w:ind w:left="1151" w:right="3911"/>
        <w:jc w:val="both"/>
      </w:pPr>
      <w:r>
        <w:rPr>
          <w:color w:val="262626"/>
        </w:rPr>
        <w:t>由于储能逆变器与光伏逆变器技术同源且下游客户重叠度高，</w:t>
      </w:r>
      <w:r>
        <w:rPr>
          <w:rFonts w:ascii="Calibri" w:eastAsia="Calibri"/>
          <w:color w:val="262626"/>
        </w:rPr>
        <w:t>2014</w:t>
      </w:r>
      <w:r>
        <w:rPr>
          <w:color w:val="262626"/>
        </w:rPr>
        <w:t>年公司凭借在光伏逆变器领域的领先地位进军储能领域，为国内最早涉足储能领域的企业之一，并将业务由储能逆变器扩展至价值量更高的储能系统，目前已成为全球领先的储能系统解决方案供应商，储能系统也已成为公司第二大业务。</w:t>
      </w:r>
    </w:p>
    <w:p>
      <w:pPr>
        <w:pStyle w:val="BodyText"/>
        <w:spacing w:before="176" w:line="232" w:lineRule="auto"/>
        <w:ind w:left="1151" w:right="3910"/>
        <w:jc w:val="both"/>
      </w:pPr>
      <w:r>
        <w:rPr>
          <w:color w:val="262626"/>
        </w:rPr>
        <w:t>公司储能业务依托全球领先的电力电子、电化学、电网支撑</w:t>
      </w:r>
      <w:r>
        <w:rPr>
          <w:rFonts w:ascii="Calibri" w:eastAsia="Calibri" w:hAnsi="Calibri"/>
          <w:color w:val="262626"/>
        </w:rPr>
        <w:t>“</w:t>
      </w:r>
      <w:r>
        <w:rPr>
          <w:color w:val="262626"/>
        </w:rPr>
        <w:t>三电融合</w:t>
      </w:r>
      <w:r>
        <w:rPr>
          <w:rFonts w:ascii="Calibri" w:eastAsia="Calibri" w:hAnsi="Calibri"/>
          <w:color w:val="262626"/>
        </w:rPr>
        <w:t>”</w:t>
      </w:r>
      <w:r>
        <w:rPr>
          <w:color w:val="262626"/>
        </w:rPr>
        <w:t xml:space="preserve">技术， </w:t>
      </w:r>
      <w:r>
        <w:rPr>
          <w:color w:val="262626"/>
          <w:spacing w:val="-1"/>
        </w:rPr>
        <w:t>打造专业储能系统，专注于锂电池储能系统研发、生产、销售和服务，提供辅助新能源并网、电力调频调峰、需求侧响应、微电网、户用等储能系统解决方案，是全球一流的储能系统解决方案供应商。作为国内最早涉足储能领域的企业之一，公司储能系统业务广泛应用于中、美、英、德、日等多个国家和地区</w:t>
      </w:r>
    </w:p>
    <w:p>
      <w:pPr>
        <w:pStyle w:val="BodyText"/>
        <w:spacing w:line="232" w:lineRule="auto"/>
        <w:ind w:left="1151" w:right="3913"/>
      </w:pPr>
      <w:r>
        <w:rPr>
          <w:color w:val="262626"/>
          <w:spacing w:val="-1"/>
        </w:rPr>
        <w:t>，截至目前公司所有参与的储能项目未出现一例安全事故，在调频调峰、辅助可再生能源并网、微电网、工商业及户用储能等领域积累了广泛的应用经验。</w:t>
      </w:r>
    </w:p>
    <w:p>
      <w:pPr>
        <w:pStyle w:val="BodyText"/>
        <w:spacing w:line="261" w:lineRule="exact"/>
        <w:ind w:left="1151"/>
      </w:pPr>
      <w:r>
        <w:rPr>
          <w:color w:val="262626"/>
        </w:rPr>
        <w:t>、</w:t>
      </w:r>
    </w:p>
    <w:p>
      <w:pPr>
        <w:pStyle w:val="BodyText"/>
        <w:spacing w:before="172" w:line="232" w:lineRule="auto"/>
        <w:ind w:left="1151" w:right="3910"/>
        <w:jc w:val="both"/>
      </w:pPr>
      <w:r>
        <w:rPr>
          <w:color w:val="262626"/>
        </w:rPr>
        <w:t>公司面向海外大型地已面应用场景，推出</w:t>
      </w:r>
      <w:r>
        <w:rPr>
          <w:rFonts w:ascii="Calibri" w:eastAsia="Calibri" w:hAnsi="Calibri"/>
          <w:color w:val="262626"/>
        </w:rPr>
        <w:t>“</w:t>
      </w:r>
      <w:r>
        <w:rPr>
          <w:color w:val="262626"/>
        </w:rPr>
        <w:t>三电融合</w:t>
      </w:r>
      <w:r>
        <w:rPr>
          <w:rFonts w:ascii="Calibri" w:eastAsia="Calibri" w:hAnsi="Calibri"/>
          <w:color w:val="262626"/>
        </w:rPr>
        <w:t>”</w:t>
      </w:r>
      <w:r>
        <w:rPr>
          <w:color w:val="262626"/>
        </w:rPr>
        <w:t>的</w:t>
      </w:r>
      <w:r>
        <w:rPr>
          <w:rFonts w:ascii="Calibri" w:eastAsia="Calibri" w:hAnsi="Calibri"/>
          <w:color w:val="262626"/>
        </w:rPr>
        <w:t>PowerTitan 2.0</w:t>
      </w:r>
      <w:r>
        <w:rPr>
          <w:color w:val="262626"/>
        </w:rPr>
        <w:t>全液能储能系统，采用</w:t>
      </w:r>
      <w:r>
        <w:rPr>
          <w:rFonts w:ascii="Calibri" w:eastAsia="Calibri" w:hAnsi="Calibri"/>
          <w:color w:val="262626"/>
        </w:rPr>
        <w:t>314Ah</w:t>
      </w:r>
      <w:r>
        <w:rPr>
          <w:color w:val="262626"/>
        </w:rPr>
        <w:t>大容量电芯，配置嵌入式</w:t>
      </w:r>
      <w:r>
        <w:rPr>
          <w:rFonts w:ascii="Calibri" w:eastAsia="Calibri" w:hAnsi="Calibri"/>
          <w:color w:val="262626"/>
        </w:rPr>
        <w:t>PCS</w:t>
      </w:r>
      <w:r>
        <w:rPr>
          <w:color w:val="262626"/>
        </w:rPr>
        <w:t>，实现交直流一体化，标准</w:t>
      </w:r>
      <w:r>
        <w:rPr>
          <w:rFonts w:ascii="Calibri" w:eastAsia="Calibri" w:hAnsi="Calibri"/>
          <w:color w:val="262626"/>
        </w:rPr>
        <w:t xml:space="preserve">20 </w:t>
      </w:r>
      <w:r>
        <w:rPr>
          <w:color w:val="262626"/>
        </w:rPr>
        <w:t>尺集装箱容量达</w:t>
      </w:r>
      <w:r>
        <w:rPr>
          <w:rFonts w:ascii="Calibri" w:eastAsia="Calibri" w:hAnsi="Calibri"/>
          <w:color w:val="262626"/>
        </w:rPr>
        <w:t>2.5MW/5MWh</w:t>
      </w:r>
      <w:r>
        <w:rPr>
          <w:color w:val="262626"/>
        </w:rPr>
        <w:t>；同时搭载干细胞电网技术，实现系统更高效、更友好、更安全。</w:t>
      </w:r>
    </w:p>
    <w:p>
      <w:pPr>
        <w:pStyle w:val="BodyText"/>
        <w:spacing w:before="176" w:line="232" w:lineRule="auto"/>
        <w:ind w:left="1151" w:right="3859"/>
      </w:pPr>
      <w:r>
        <w:rPr>
          <w:rFonts w:ascii="Calibri" w:eastAsia="Calibri"/>
          <w:color w:val="262626"/>
        </w:rPr>
        <w:t>2023</w:t>
      </w:r>
      <w:r>
        <w:rPr>
          <w:color w:val="262626"/>
        </w:rPr>
        <w:t>年</w:t>
      </w:r>
      <w:r>
        <w:rPr>
          <w:rFonts w:ascii="Calibri" w:eastAsia="Calibri"/>
          <w:color w:val="262626"/>
        </w:rPr>
        <w:t>6</w:t>
      </w:r>
      <w:r>
        <w:rPr>
          <w:color w:val="262626"/>
        </w:rPr>
        <w:t>月公司凭借工商业液冷储能系统</w:t>
      </w:r>
      <w:r>
        <w:rPr>
          <w:rFonts w:ascii="Calibri" w:eastAsia="Calibri"/>
          <w:color w:val="262626"/>
        </w:rPr>
        <w:t>PowerStack</w:t>
      </w:r>
      <w:r>
        <w:rPr>
          <w:color w:val="262626"/>
        </w:rPr>
        <w:t>摘得全球储能行业权威奖项国际电池储能奖</w:t>
      </w:r>
      <w:r>
        <w:rPr>
          <w:rFonts w:ascii="Calibri" w:eastAsia="Calibri"/>
          <w:color w:val="262626"/>
        </w:rPr>
        <w:t>ees AWARD</w:t>
      </w:r>
      <w:r>
        <w:rPr>
          <w:color w:val="262626"/>
        </w:rPr>
        <w:t>桂冠，充分体现了在储能领域领先的技术创新实力</w:t>
      </w:r>
    </w:p>
    <w:p>
      <w:pPr>
        <w:pStyle w:val="BodyText"/>
        <w:spacing w:line="261" w:lineRule="exact"/>
        <w:ind w:left="1151"/>
      </w:pPr>
      <w:r>
        <w:rPr>
          <w:color w:val="262626"/>
        </w:rPr>
        <w:t>。</w:t>
      </w:r>
    </w:p>
    <w:p>
      <w:pPr>
        <w:spacing w:after="0" w:line="261" w:lineRule="exact"/>
        <w:sectPr>
          <w:headerReference w:type="default" r:id="rId222"/>
          <w:footerReference w:type="default" r:id="rId223"/>
          <w:pgSz w:w="12240" w:h="15840"/>
          <w:pgMar w:top="1720" w:right="0" w:bottom="1380" w:left="0" w:header="708" w:footer="708"/>
          <w:pgNumType w:start="86"/>
          <w:cols w:space="708"/>
        </w:sectPr>
      </w:pPr>
    </w:p>
    <w:p>
      <w:pPr>
        <w:pStyle w:val="BodyText"/>
        <w:rPr>
          <w:sz w:val="20"/>
        </w:rPr>
      </w:pPr>
    </w:p>
    <w:p>
      <w:pPr>
        <w:pStyle w:val="BodyText"/>
      </w:pPr>
    </w:p>
    <w:p>
      <w:pPr>
        <w:pStyle w:val="Heading3"/>
        <w:spacing w:line="389" w:lineRule="exact"/>
      </w:pPr>
      <w:r>
        <w:t>图表</w:t>
      </w:r>
      <w:r>
        <w:rPr>
          <w:rFonts w:ascii="Calibri" w:eastAsia="Calibri"/>
        </w:rPr>
        <w:t xml:space="preserve">60: </w:t>
      </w:r>
      <w:r>
        <w:t>公司储能系统主要产品</w:t>
      </w:r>
    </w:p>
    <w:tbl>
      <w:tblPr>
        <w:tblStyle w:val="TableNormal11"/>
        <w:tblW w:w="0" w:type="auto"/>
        <w:jc w:val="left"/>
        <w:tblInd w:w="1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170"/>
        <w:gridCol w:w="2802"/>
        <w:gridCol w:w="3858"/>
      </w:tblGrid>
      <w:tr>
        <w:tblPrEx>
          <w:tblW w:w="0" w:type="auto"/>
          <w:jc w:val="left"/>
          <w:tblInd w:w="11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Ex>
        <w:trPr>
          <w:trHeight w:val="1505"/>
          <w:jc w:val="left"/>
        </w:trPr>
        <w:tc>
          <w:tcPr>
            <w:tcW w:w="1170" w:type="dxa"/>
            <w:tcBorders>
              <w:left w:val="nil"/>
            </w:tcBorders>
          </w:tcPr>
          <w:p>
            <w:pPr>
              <w:pStyle w:val="TableParagraph"/>
              <w:spacing w:before="28" w:line="230" w:lineRule="auto"/>
              <w:ind w:left="107" w:right="212"/>
              <w:jc w:val="left"/>
              <w:rPr>
                <w:rFonts w:ascii="宋体" w:eastAsia="宋体" w:hint="eastAsia"/>
                <w:sz w:val="16"/>
              </w:rPr>
            </w:pPr>
            <w:r>
              <w:rPr>
                <w:rFonts w:ascii="Calibri" w:eastAsia="Calibri"/>
                <w:sz w:val="16"/>
              </w:rPr>
              <w:t>PowerTitan 2.0</w:t>
            </w:r>
            <w:r>
              <w:rPr>
                <w:rFonts w:ascii="宋体" w:eastAsia="宋体" w:hint="eastAsia"/>
                <w:sz w:val="16"/>
              </w:rPr>
              <w:t>大型地面储能系统</w:t>
            </w:r>
          </w:p>
        </w:tc>
        <w:tc>
          <w:tcPr>
            <w:tcW w:w="2802" w:type="dxa"/>
          </w:tcPr>
          <w:p>
            <w:pPr>
              <w:pStyle w:val="TableParagraph"/>
              <w:spacing w:before="15"/>
              <w:jc w:val="left"/>
              <w:rPr>
                <w:rFonts w:ascii="Microsoft JhengHei"/>
                <w:b/>
                <w:sz w:val="11"/>
              </w:rPr>
            </w:pPr>
          </w:p>
          <w:p>
            <w:pPr>
              <w:pStyle w:val="TableParagraph"/>
              <w:ind w:left="2" w:right="-44"/>
              <w:jc w:val="left"/>
              <w:rPr>
                <w:rFonts w:ascii="Microsoft JhengHei"/>
                <w:sz w:val="20"/>
              </w:rPr>
            </w:pPr>
            <w:r>
              <w:rPr>
                <w:rFonts w:ascii="Microsoft JhengHei"/>
                <w:sz w:val="20"/>
              </w:rPr>
              <w:drawing>
                <wp:inline distT="0" distB="0" distL="0" distR="0">
                  <wp:extent cx="1769629" cy="763809"/>
                  <wp:effectExtent l="0" t="0" r="0" b="0"/>
                  <wp:docPr id="33"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8.jpeg"/>
                          <pic:cNvPicPr/>
                        </pic:nvPicPr>
                        <pic:blipFill>
                          <a:blip xmlns:r="http://schemas.openxmlformats.org/officeDocument/2006/relationships" r:embed="rId224" cstate="print"/>
                          <a:stretch>
                            <a:fillRect/>
                          </a:stretch>
                        </pic:blipFill>
                        <pic:spPr>
                          <a:xfrm>
                            <a:off x="0" y="0"/>
                            <a:ext cx="1769629" cy="763809"/>
                          </a:xfrm>
                          <a:prstGeom prst="rect">
                            <a:avLst/>
                          </a:prstGeom>
                        </pic:spPr>
                      </pic:pic>
                    </a:graphicData>
                  </a:graphic>
                </wp:inline>
              </w:drawing>
            </w:r>
          </w:p>
        </w:tc>
        <w:tc>
          <w:tcPr>
            <w:tcW w:w="3858" w:type="dxa"/>
            <w:tcBorders>
              <w:right w:val="nil"/>
            </w:tcBorders>
          </w:tcPr>
          <w:p>
            <w:pPr>
              <w:pStyle w:val="TableParagraph"/>
              <w:spacing w:before="18"/>
              <w:ind w:left="110" w:right="162"/>
              <w:jc w:val="both"/>
              <w:rPr>
                <w:rFonts w:ascii="宋体" w:eastAsia="宋体" w:hAnsi="宋体" w:hint="eastAsia"/>
                <w:sz w:val="16"/>
              </w:rPr>
            </w:pPr>
            <w:r>
              <w:rPr>
                <w:rFonts w:ascii="宋体" w:eastAsia="宋体" w:hAnsi="宋体" w:hint="eastAsia"/>
                <w:sz w:val="16"/>
              </w:rPr>
              <w:t>作为</w:t>
            </w:r>
            <w:r>
              <w:rPr>
                <w:rFonts w:ascii="Calibri" w:eastAsia="Calibri" w:hAnsi="Calibri"/>
                <w:sz w:val="16"/>
              </w:rPr>
              <w:t>“</w:t>
            </w:r>
            <w:r>
              <w:rPr>
                <w:rFonts w:ascii="宋体" w:eastAsia="宋体" w:hAnsi="宋体" w:hint="eastAsia"/>
                <w:sz w:val="16"/>
              </w:rPr>
              <w:t>三电融合</w:t>
            </w:r>
            <w:r>
              <w:rPr>
                <w:rFonts w:ascii="Calibri" w:eastAsia="Calibri" w:hAnsi="Calibri"/>
                <w:sz w:val="16"/>
              </w:rPr>
              <w:t>”</w:t>
            </w:r>
            <w:r>
              <w:rPr>
                <w:rFonts w:ascii="宋体" w:eastAsia="宋体" w:hAnsi="宋体" w:hint="eastAsia"/>
                <w:sz w:val="16"/>
              </w:rPr>
              <w:t xml:space="preserve">技术理念下的新一代储能 系统， </w:t>
            </w:r>
            <w:r>
              <w:rPr>
                <w:rFonts w:ascii="Calibri" w:eastAsia="Calibri" w:hAnsi="Calibri"/>
                <w:sz w:val="16"/>
              </w:rPr>
              <w:t>PowerTitan 2.0</w:t>
            </w:r>
            <w:r>
              <w:rPr>
                <w:rFonts w:ascii="宋体" w:eastAsia="宋体" w:hAnsi="宋体" w:hint="eastAsia"/>
                <w:sz w:val="16"/>
              </w:rPr>
              <w:t>采用</w:t>
            </w:r>
            <w:r>
              <w:rPr>
                <w:rFonts w:ascii="Calibri" w:eastAsia="Calibri" w:hAnsi="Calibri"/>
                <w:sz w:val="16"/>
              </w:rPr>
              <w:t>314Ah</w:t>
            </w:r>
            <w:r>
              <w:rPr>
                <w:rFonts w:ascii="宋体" w:eastAsia="宋体" w:hAnsi="宋体" w:hint="eastAsia"/>
                <w:sz w:val="16"/>
              </w:rPr>
              <w:t>大容量电芯，配置嵌入式</w:t>
            </w:r>
            <w:r>
              <w:rPr>
                <w:rFonts w:ascii="Calibri" w:eastAsia="Calibri" w:hAnsi="Calibri"/>
                <w:sz w:val="16"/>
              </w:rPr>
              <w:t>PCS</w:t>
            </w:r>
            <w:r>
              <w:rPr>
                <w:rFonts w:ascii="宋体" w:eastAsia="宋体" w:hAnsi="宋体" w:hint="eastAsia"/>
                <w:sz w:val="16"/>
              </w:rPr>
              <w:t>、搭载干细胞电网技术，以全系统液冷散热和</w:t>
            </w:r>
            <w:r>
              <w:rPr>
                <w:rFonts w:ascii="Calibri" w:eastAsia="Calibri" w:hAnsi="Calibri"/>
                <w:sz w:val="16"/>
              </w:rPr>
              <w:t>All in one</w:t>
            </w:r>
            <w:r>
              <w:rPr>
                <w:rFonts w:ascii="宋体" w:eastAsia="宋体" w:hAnsi="宋体" w:hint="eastAsia"/>
                <w:sz w:val="16"/>
              </w:rPr>
              <w:t>的设 计，实现交直流一体化，大幅度提升系统能 量密度， 使标准</w:t>
            </w:r>
            <w:r>
              <w:rPr>
                <w:rFonts w:ascii="Calibri" w:eastAsia="Calibri" w:hAnsi="Calibri"/>
                <w:sz w:val="16"/>
              </w:rPr>
              <w:t xml:space="preserve">20 </w:t>
            </w:r>
            <w:r>
              <w:rPr>
                <w:rFonts w:ascii="宋体" w:eastAsia="宋体" w:hAnsi="宋体" w:hint="eastAsia"/>
                <w:sz w:val="16"/>
              </w:rPr>
              <w:t>尺集装箱储存电量达</w:t>
            </w:r>
            <w:r>
              <w:rPr>
                <w:rFonts w:ascii="Calibri" w:eastAsia="Calibri" w:hAnsi="Calibri"/>
                <w:sz w:val="16"/>
              </w:rPr>
              <w:t>5MWh</w:t>
            </w:r>
            <w:r>
              <w:rPr>
                <w:rFonts w:ascii="宋体" w:eastAsia="宋体" w:hAnsi="宋体" w:hint="eastAsia"/>
                <w:sz w:val="16"/>
              </w:rPr>
              <w:t>，为用户打造性能更高效、应用更友好、防护更安全的产品，助力新型电力系统平稳运行。</w:t>
            </w:r>
          </w:p>
        </w:tc>
      </w:tr>
      <w:tr>
        <w:tblPrEx>
          <w:tblW w:w="0" w:type="auto"/>
          <w:jc w:val="left"/>
          <w:tblInd w:w="1155" w:type="dxa"/>
          <w:tblLayout w:type="fixed"/>
          <w:tblCellMar>
            <w:top w:w="0" w:type="dxa"/>
            <w:left w:w="0" w:type="dxa"/>
            <w:bottom w:w="0" w:type="dxa"/>
            <w:right w:w="0" w:type="dxa"/>
          </w:tblCellMar>
          <w:tblLook w:val="01E0"/>
        </w:tblPrEx>
        <w:trPr>
          <w:trHeight w:val="1525"/>
          <w:jc w:val="left"/>
        </w:trPr>
        <w:tc>
          <w:tcPr>
            <w:tcW w:w="1170" w:type="dxa"/>
            <w:tcBorders>
              <w:left w:val="nil"/>
            </w:tcBorders>
          </w:tcPr>
          <w:p>
            <w:pPr>
              <w:pStyle w:val="TableParagraph"/>
              <w:spacing w:before="6"/>
              <w:jc w:val="left"/>
              <w:rPr>
                <w:rFonts w:ascii="Microsoft JhengHei"/>
                <w:b/>
                <w:sz w:val="9"/>
              </w:rPr>
            </w:pPr>
          </w:p>
          <w:p>
            <w:pPr>
              <w:pStyle w:val="TableParagraph"/>
              <w:spacing w:line="230" w:lineRule="auto"/>
              <w:ind w:left="107" w:right="212"/>
              <w:jc w:val="left"/>
              <w:rPr>
                <w:rFonts w:ascii="宋体" w:eastAsia="宋体" w:hint="eastAsia"/>
                <w:sz w:val="16"/>
              </w:rPr>
            </w:pPr>
            <w:r>
              <w:rPr>
                <w:rFonts w:ascii="Calibri" w:eastAsia="Calibri"/>
                <w:sz w:val="16"/>
              </w:rPr>
              <w:t>PowerTitan 1.0</w:t>
            </w:r>
            <w:r>
              <w:rPr>
                <w:rFonts w:ascii="宋体" w:eastAsia="宋体" w:hint="eastAsia"/>
                <w:sz w:val="16"/>
              </w:rPr>
              <w:t>大型地面储能系统</w:t>
            </w:r>
          </w:p>
        </w:tc>
        <w:tc>
          <w:tcPr>
            <w:tcW w:w="2802" w:type="dxa"/>
          </w:tcPr>
          <w:p>
            <w:pPr>
              <w:pStyle w:val="TableParagraph"/>
              <w:ind w:left="2" w:right="-58"/>
              <w:jc w:val="left"/>
              <w:rPr>
                <w:rFonts w:ascii="Microsoft JhengHei"/>
                <w:sz w:val="20"/>
              </w:rPr>
            </w:pPr>
            <w:r>
              <w:rPr>
                <w:rFonts w:ascii="Microsoft JhengHei"/>
                <w:sz w:val="20"/>
              </w:rPr>
              <w:drawing>
                <wp:inline distT="0" distB="0" distL="0" distR="0">
                  <wp:extent cx="1781373" cy="857250"/>
                  <wp:effectExtent l="0" t="0" r="0" b="0"/>
                  <wp:docPr id="35"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9.jpeg"/>
                          <pic:cNvPicPr/>
                        </pic:nvPicPr>
                        <pic:blipFill>
                          <a:blip xmlns:r="http://schemas.openxmlformats.org/officeDocument/2006/relationships" r:embed="rId225" cstate="print"/>
                          <a:stretch>
                            <a:fillRect/>
                          </a:stretch>
                        </pic:blipFill>
                        <pic:spPr>
                          <a:xfrm>
                            <a:off x="0" y="0"/>
                            <a:ext cx="1781373" cy="857250"/>
                          </a:xfrm>
                          <a:prstGeom prst="rect">
                            <a:avLst/>
                          </a:prstGeom>
                        </pic:spPr>
                      </pic:pic>
                    </a:graphicData>
                  </a:graphic>
                </wp:inline>
              </w:drawing>
            </w:r>
          </w:p>
        </w:tc>
        <w:tc>
          <w:tcPr>
            <w:tcW w:w="3858" w:type="dxa"/>
            <w:tcBorders>
              <w:right w:val="nil"/>
            </w:tcBorders>
          </w:tcPr>
          <w:p>
            <w:pPr>
              <w:pStyle w:val="TableParagraph"/>
              <w:spacing w:before="38"/>
              <w:ind w:left="110"/>
              <w:jc w:val="left"/>
              <w:rPr>
                <w:rFonts w:ascii="宋体" w:eastAsia="宋体" w:hint="eastAsia"/>
                <w:sz w:val="16"/>
              </w:rPr>
            </w:pPr>
            <w:r>
              <w:rPr>
                <w:rFonts w:ascii="宋体" w:eastAsia="宋体" w:hint="eastAsia"/>
                <w:sz w:val="16"/>
              </w:rPr>
              <w:t>公司秉承三电融合的技术理念，创新融合电 力电子</w:t>
            </w:r>
          </w:p>
          <w:p>
            <w:pPr>
              <w:pStyle w:val="TableParagraph"/>
              <w:ind w:left="110" w:right="161"/>
              <w:jc w:val="both"/>
              <w:rPr>
                <w:rFonts w:ascii="宋体" w:eastAsia="宋体" w:hint="eastAsia"/>
                <w:sz w:val="16"/>
              </w:rPr>
            </w:pPr>
            <w:r>
              <w:rPr>
                <w:rFonts w:ascii="宋体" w:eastAsia="宋体" w:hint="eastAsia"/>
                <w:spacing w:val="-29"/>
                <w:sz w:val="16"/>
              </w:rPr>
              <w:t>、 电 化 学 和 电 网 支 撑 技 术 ， 打 造 出 专 业 的</w:t>
            </w:r>
            <w:r>
              <w:rPr>
                <w:rFonts w:ascii="Calibri" w:eastAsia="Calibri"/>
                <w:sz w:val="16"/>
              </w:rPr>
              <w:t>PowerTitan</w:t>
            </w:r>
            <w:r>
              <w:rPr>
                <w:rFonts w:ascii="宋体" w:eastAsia="宋体" w:hint="eastAsia"/>
                <w:spacing w:val="4"/>
                <w:sz w:val="16"/>
              </w:rPr>
              <w:t>系列储能系统。通过液冷温控技术、智</w:t>
            </w:r>
            <w:r>
              <w:rPr>
                <w:rFonts w:ascii="宋体" w:eastAsia="宋体" w:hint="eastAsia"/>
                <w:sz w:val="16"/>
              </w:rPr>
              <w:t>能簇级管理，做到了提寿命、增效率、降损耗的目</w:t>
            </w:r>
            <w:r>
              <w:rPr>
                <w:rFonts w:ascii="宋体" w:eastAsia="宋体" w:hint="eastAsia"/>
                <w:spacing w:val="4"/>
                <w:sz w:val="16"/>
              </w:rPr>
              <w:t>的，实现</w:t>
            </w:r>
            <w:r>
              <w:rPr>
                <w:rFonts w:ascii="Calibri" w:eastAsia="Calibri"/>
                <w:sz w:val="16"/>
              </w:rPr>
              <w:t>LCOS</w:t>
            </w:r>
            <w:r>
              <w:rPr>
                <w:rFonts w:ascii="宋体" w:eastAsia="宋体" w:hint="eastAsia"/>
                <w:spacing w:val="4"/>
                <w:sz w:val="16"/>
              </w:rPr>
              <w:t>降低</w:t>
            </w:r>
            <w:r>
              <w:rPr>
                <w:rFonts w:ascii="Calibri" w:eastAsia="Calibri"/>
                <w:sz w:val="16"/>
              </w:rPr>
              <w:t>20%</w:t>
            </w:r>
            <w:r>
              <w:rPr>
                <w:rFonts w:ascii="宋体" w:eastAsia="宋体" w:hint="eastAsia"/>
                <w:spacing w:val="3"/>
                <w:sz w:val="16"/>
              </w:rPr>
              <w:t>以上；通过电气安全、电芯安全、电网安全多维度的组合创新，全面提升了储能系统的安全性。</w:t>
            </w:r>
          </w:p>
        </w:tc>
      </w:tr>
      <w:tr>
        <w:tblPrEx>
          <w:tblW w:w="0" w:type="auto"/>
          <w:jc w:val="left"/>
          <w:tblInd w:w="1155" w:type="dxa"/>
          <w:tblLayout w:type="fixed"/>
          <w:tblCellMar>
            <w:top w:w="0" w:type="dxa"/>
            <w:left w:w="0" w:type="dxa"/>
            <w:bottom w:w="0" w:type="dxa"/>
            <w:right w:w="0" w:type="dxa"/>
          </w:tblCellMar>
          <w:tblLook w:val="01E0"/>
        </w:tblPrEx>
        <w:trPr>
          <w:trHeight w:val="1587"/>
          <w:jc w:val="left"/>
        </w:trPr>
        <w:tc>
          <w:tcPr>
            <w:tcW w:w="1170" w:type="dxa"/>
            <w:tcBorders>
              <w:left w:val="nil"/>
            </w:tcBorders>
          </w:tcPr>
          <w:p>
            <w:pPr>
              <w:pStyle w:val="TableParagraph"/>
              <w:spacing w:before="8" w:line="242" w:lineRule="auto"/>
              <w:ind w:left="107" w:right="99"/>
              <w:jc w:val="left"/>
              <w:rPr>
                <w:rFonts w:ascii="宋体" w:eastAsia="宋体" w:hint="eastAsia"/>
                <w:sz w:val="16"/>
              </w:rPr>
            </w:pPr>
            <w:r>
              <w:rPr>
                <w:rFonts w:ascii="Calibri" w:eastAsia="Calibri"/>
                <w:sz w:val="16"/>
              </w:rPr>
              <w:t>PowerStack</w:t>
            </w:r>
            <w:r>
              <w:rPr>
                <w:rFonts w:ascii="宋体" w:eastAsia="宋体" w:hint="eastAsia"/>
                <w:sz w:val="16"/>
              </w:rPr>
              <w:t>工商业储能系统</w:t>
            </w:r>
          </w:p>
        </w:tc>
        <w:tc>
          <w:tcPr>
            <w:tcW w:w="2802" w:type="dxa"/>
          </w:tcPr>
          <w:p>
            <w:pPr>
              <w:pStyle w:val="TableParagraph"/>
              <w:spacing w:before="6"/>
              <w:jc w:val="left"/>
              <w:rPr>
                <w:rFonts w:ascii="Microsoft JhengHei"/>
                <w:b/>
                <w:sz w:val="5"/>
              </w:rPr>
            </w:pPr>
          </w:p>
          <w:p>
            <w:pPr>
              <w:pStyle w:val="TableParagraph"/>
              <w:ind w:left="261"/>
              <w:jc w:val="left"/>
              <w:rPr>
                <w:rFonts w:ascii="Microsoft JhengHei"/>
                <w:sz w:val="20"/>
              </w:rPr>
            </w:pPr>
            <w:r>
              <w:rPr>
                <w:rFonts w:ascii="Microsoft JhengHei"/>
                <w:sz w:val="20"/>
              </w:rPr>
              <w:drawing>
                <wp:inline distT="0" distB="0" distL="0" distR="0">
                  <wp:extent cx="1381816" cy="895350"/>
                  <wp:effectExtent l="0" t="0" r="0" b="0"/>
                  <wp:docPr id="37"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0.jpeg"/>
                          <pic:cNvPicPr/>
                        </pic:nvPicPr>
                        <pic:blipFill>
                          <a:blip xmlns:r="http://schemas.openxmlformats.org/officeDocument/2006/relationships" r:embed="rId226" cstate="print"/>
                          <a:stretch>
                            <a:fillRect/>
                          </a:stretch>
                        </pic:blipFill>
                        <pic:spPr>
                          <a:xfrm>
                            <a:off x="0" y="0"/>
                            <a:ext cx="1381816" cy="895350"/>
                          </a:xfrm>
                          <a:prstGeom prst="rect">
                            <a:avLst/>
                          </a:prstGeom>
                        </pic:spPr>
                      </pic:pic>
                    </a:graphicData>
                  </a:graphic>
                </wp:inline>
              </w:drawing>
            </w:r>
          </w:p>
        </w:tc>
        <w:tc>
          <w:tcPr>
            <w:tcW w:w="3858" w:type="dxa"/>
            <w:tcBorders>
              <w:right w:val="nil"/>
            </w:tcBorders>
          </w:tcPr>
          <w:p>
            <w:pPr>
              <w:pStyle w:val="TableParagraph"/>
              <w:spacing w:before="38"/>
              <w:ind w:left="110" w:right="163"/>
              <w:jc w:val="both"/>
              <w:rPr>
                <w:rFonts w:ascii="宋体" w:eastAsia="宋体" w:hint="eastAsia"/>
                <w:sz w:val="16"/>
              </w:rPr>
            </w:pPr>
            <w:r>
              <w:rPr>
                <w:rFonts w:ascii="宋体" w:eastAsia="宋体" w:hint="eastAsia"/>
                <w:spacing w:val="-2"/>
                <w:sz w:val="16"/>
              </w:rPr>
              <w:t xml:space="preserve">随着社会用电量的增加，高峰期用电负荷波 动大， </w:t>
            </w:r>
            <w:r>
              <w:rPr>
                <w:rFonts w:ascii="宋体" w:eastAsia="宋体" w:hint="eastAsia"/>
                <w:spacing w:val="5"/>
                <w:sz w:val="16"/>
              </w:rPr>
              <w:t>公司针对工商业场景推出</w:t>
            </w:r>
            <w:r>
              <w:rPr>
                <w:rFonts w:ascii="Calibri" w:eastAsia="Calibri"/>
                <w:sz w:val="16"/>
              </w:rPr>
              <w:t>PowerStack</w:t>
            </w:r>
            <w:r>
              <w:rPr>
                <w:rFonts w:ascii="宋体" w:eastAsia="宋体" w:hint="eastAsia"/>
                <w:spacing w:val="4"/>
                <w:sz w:val="16"/>
              </w:rPr>
              <w:t>工商业储能系统。基于智能</w:t>
            </w:r>
            <w:r>
              <w:rPr>
                <w:rFonts w:ascii="Calibri" w:eastAsia="Calibri"/>
                <w:spacing w:val="4"/>
                <w:sz w:val="16"/>
              </w:rPr>
              <w:t xml:space="preserve">EMS </w:t>
            </w:r>
            <w:r>
              <w:rPr>
                <w:rFonts w:ascii="宋体" w:eastAsia="宋体" w:hint="eastAsia"/>
                <w:sz w:val="16"/>
              </w:rPr>
              <w:t>能量管理，支持并离网场景下多种应用模式，协同电网、光伏、充电桩、负荷之间</w:t>
            </w:r>
            <w:r>
              <w:rPr>
                <w:rFonts w:ascii="宋体" w:eastAsia="宋体" w:hint="eastAsia"/>
                <w:spacing w:val="3"/>
                <w:sz w:val="16"/>
              </w:rPr>
              <w:t>能量调度，提升</w:t>
            </w:r>
            <w:r>
              <w:rPr>
                <w:rFonts w:ascii="Calibri" w:eastAsia="Calibri"/>
                <w:sz w:val="16"/>
              </w:rPr>
              <w:t>10%</w:t>
            </w:r>
            <w:r>
              <w:rPr>
                <w:rFonts w:ascii="宋体" w:eastAsia="宋体" w:hint="eastAsia"/>
                <w:spacing w:val="-3"/>
                <w:sz w:val="16"/>
              </w:rPr>
              <w:t>的调度收益；并通过液冷 散热</w:t>
            </w:r>
            <w:r>
              <w:rPr>
                <w:rFonts w:ascii="宋体" w:eastAsia="宋体" w:hint="eastAsia"/>
                <w:sz w:val="16"/>
              </w:rPr>
              <w:t>技术和智能化安全防护，多维度提升储能系统可靠性。</w:t>
            </w:r>
          </w:p>
        </w:tc>
      </w:tr>
      <w:tr>
        <w:tblPrEx>
          <w:tblW w:w="0" w:type="auto"/>
          <w:jc w:val="left"/>
          <w:tblInd w:w="1155" w:type="dxa"/>
          <w:tblLayout w:type="fixed"/>
          <w:tblCellMar>
            <w:top w:w="0" w:type="dxa"/>
            <w:left w:w="0" w:type="dxa"/>
            <w:bottom w:w="0" w:type="dxa"/>
            <w:right w:w="0" w:type="dxa"/>
          </w:tblCellMar>
          <w:tblLook w:val="01E0"/>
        </w:tblPrEx>
        <w:trPr>
          <w:trHeight w:val="2371"/>
          <w:jc w:val="left"/>
        </w:trPr>
        <w:tc>
          <w:tcPr>
            <w:tcW w:w="1170" w:type="dxa"/>
            <w:tcBorders>
              <w:left w:val="nil"/>
            </w:tcBorders>
          </w:tcPr>
          <w:p>
            <w:pPr>
              <w:pStyle w:val="TableParagraph"/>
              <w:spacing w:before="51"/>
              <w:ind w:left="107"/>
              <w:jc w:val="left"/>
              <w:rPr>
                <w:rFonts w:ascii="宋体" w:eastAsia="宋体" w:hint="eastAsia"/>
                <w:sz w:val="16"/>
              </w:rPr>
            </w:pPr>
            <w:r>
              <w:rPr>
                <w:rFonts w:ascii="宋体" w:eastAsia="宋体" w:hint="eastAsia"/>
                <w:sz w:val="16"/>
              </w:rPr>
              <w:t>二代户用电池</w:t>
            </w:r>
          </w:p>
          <w:p>
            <w:pPr>
              <w:pStyle w:val="TableParagraph"/>
              <w:spacing w:before="38"/>
              <w:ind w:left="107"/>
              <w:jc w:val="left"/>
              <w:rPr>
                <w:rFonts w:ascii="Calibri"/>
                <w:sz w:val="16"/>
              </w:rPr>
            </w:pPr>
            <w:r>
              <w:rPr>
                <w:rFonts w:ascii="Calibri"/>
                <w:sz w:val="16"/>
              </w:rPr>
              <w:t>SBH100-400</w:t>
            </w:r>
          </w:p>
        </w:tc>
        <w:tc>
          <w:tcPr>
            <w:tcW w:w="2802" w:type="dxa"/>
          </w:tcPr>
          <w:p>
            <w:pPr>
              <w:pStyle w:val="TableParagraph"/>
              <w:spacing w:before="12"/>
              <w:jc w:val="left"/>
              <w:rPr>
                <w:rFonts w:ascii="Microsoft JhengHei"/>
                <w:b/>
                <w:sz w:val="27"/>
              </w:rPr>
            </w:pPr>
          </w:p>
          <w:p>
            <w:pPr>
              <w:pStyle w:val="TableParagraph"/>
              <w:ind w:left="871"/>
              <w:jc w:val="left"/>
              <w:rPr>
                <w:rFonts w:ascii="Microsoft JhengHei"/>
                <w:sz w:val="20"/>
              </w:rPr>
            </w:pPr>
            <w:r>
              <w:rPr>
                <w:rFonts w:ascii="Microsoft JhengHei"/>
                <w:sz w:val="20"/>
              </w:rPr>
              <w:drawing>
                <wp:inline distT="0" distB="0" distL="0" distR="0">
                  <wp:extent cx="862660" cy="990600"/>
                  <wp:effectExtent l="0" t="0" r="0" b="0"/>
                  <wp:docPr id="39"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51.jpeg"/>
                          <pic:cNvPicPr/>
                        </pic:nvPicPr>
                        <pic:blipFill>
                          <a:blip xmlns:r="http://schemas.openxmlformats.org/officeDocument/2006/relationships" r:embed="rId227" cstate="print"/>
                          <a:stretch>
                            <a:fillRect/>
                          </a:stretch>
                        </pic:blipFill>
                        <pic:spPr>
                          <a:xfrm>
                            <a:off x="0" y="0"/>
                            <a:ext cx="862660" cy="990600"/>
                          </a:xfrm>
                          <a:prstGeom prst="rect">
                            <a:avLst/>
                          </a:prstGeom>
                        </pic:spPr>
                      </pic:pic>
                    </a:graphicData>
                  </a:graphic>
                </wp:inline>
              </w:drawing>
            </w:r>
          </w:p>
        </w:tc>
        <w:tc>
          <w:tcPr>
            <w:tcW w:w="3858" w:type="dxa"/>
            <w:tcBorders>
              <w:right w:val="nil"/>
            </w:tcBorders>
          </w:tcPr>
          <w:p>
            <w:pPr>
              <w:pStyle w:val="TableParagraph"/>
              <w:spacing w:before="18"/>
              <w:ind w:left="110" w:right="162"/>
              <w:jc w:val="both"/>
              <w:rPr>
                <w:rFonts w:ascii="宋体" w:eastAsia="宋体" w:hint="eastAsia"/>
                <w:sz w:val="16"/>
              </w:rPr>
            </w:pPr>
            <w:r>
              <w:rPr>
                <w:rFonts w:ascii="宋体" w:eastAsia="宋体" w:hint="eastAsia"/>
                <w:sz w:val="16"/>
              </w:rPr>
              <w:t>随着户用储能市场的持续火热，公司加速发展光储一体化业务，</w:t>
            </w:r>
            <w:r>
              <w:rPr>
                <w:rFonts w:ascii="Calibri" w:eastAsia="Calibri"/>
                <w:sz w:val="16"/>
              </w:rPr>
              <w:t>2023</w:t>
            </w:r>
            <w:r>
              <w:rPr>
                <w:rFonts w:ascii="宋体" w:eastAsia="宋体" w:hint="eastAsia"/>
                <w:sz w:val="16"/>
              </w:rPr>
              <w:t>年推出全新一代户用</w:t>
            </w:r>
            <w:r>
              <w:rPr>
                <w:rFonts w:ascii="Calibri" w:eastAsia="Calibri"/>
                <w:sz w:val="16"/>
              </w:rPr>
              <w:t>SBH</w:t>
            </w:r>
            <w:r>
              <w:rPr>
                <w:rFonts w:ascii="宋体" w:eastAsia="宋体" w:hint="eastAsia"/>
                <w:sz w:val="16"/>
              </w:rPr>
              <w:t>系列电池，在</w:t>
            </w:r>
            <w:r>
              <w:rPr>
                <w:rFonts w:ascii="Calibri" w:eastAsia="Calibri"/>
                <w:sz w:val="16"/>
              </w:rPr>
              <w:t>SBR</w:t>
            </w:r>
            <w:r>
              <w:rPr>
                <w:rFonts w:ascii="宋体" w:eastAsia="宋体" w:hint="eastAsia"/>
                <w:sz w:val="16"/>
              </w:rPr>
              <w:t>系列电池优势性 能的基础上，进行了全面升级。模组容量升级，单体最高可达</w:t>
            </w:r>
            <w:r>
              <w:rPr>
                <w:rFonts w:ascii="Calibri" w:eastAsia="Calibri"/>
                <w:sz w:val="16"/>
              </w:rPr>
              <w:t>40kWh</w:t>
            </w:r>
            <w:r>
              <w:rPr>
                <w:rFonts w:ascii="宋体" w:eastAsia="宋体" w:hint="eastAsia"/>
                <w:sz w:val="16"/>
              </w:rPr>
              <w:t>电量</w:t>
            </w:r>
          </w:p>
          <w:p>
            <w:pPr>
              <w:pStyle w:val="TableParagraph"/>
              <w:spacing w:before="1"/>
              <w:ind w:left="110" w:right="162"/>
              <w:jc w:val="both"/>
              <w:rPr>
                <w:rFonts w:ascii="宋体" w:eastAsia="宋体" w:hint="eastAsia"/>
                <w:sz w:val="16"/>
              </w:rPr>
            </w:pPr>
            <w:r>
              <w:rPr>
                <w:rFonts w:ascii="宋体" w:eastAsia="宋体" w:hint="eastAsia"/>
                <w:sz w:val="16"/>
              </w:rPr>
              <w:t>；充放电性能 升级，</w:t>
            </w:r>
            <w:r>
              <w:rPr>
                <w:rFonts w:ascii="Calibri" w:eastAsia="Calibri"/>
                <w:sz w:val="16"/>
              </w:rPr>
              <w:t>50A</w:t>
            </w:r>
            <w:r>
              <w:rPr>
                <w:rFonts w:ascii="宋体" w:eastAsia="宋体" w:hint="eastAsia"/>
                <w:sz w:val="16"/>
              </w:rPr>
              <w:t>超大充放电流，极速闪充至满电状态；安全升级，电芯预捆扎设计，模组级消防保护，搭配全新的</w:t>
            </w:r>
            <w:r>
              <w:rPr>
                <w:rFonts w:ascii="Calibri" w:eastAsia="Calibri"/>
                <w:sz w:val="16"/>
              </w:rPr>
              <w:t>SHT</w:t>
            </w:r>
            <w:r>
              <w:rPr>
                <w:rFonts w:ascii="宋体" w:eastAsia="宋体" w:hint="eastAsia"/>
                <w:sz w:val="16"/>
              </w:rPr>
              <w:t>、</w:t>
            </w:r>
            <w:r>
              <w:rPr>
                <w:rFonts w:ascii="Calibri" w:eastAsia="Calibri"/>
                <w:sz w:val="16"/>
              </w:rPr>
              <w:t>SHRS</w:t>
            </w:r>
            <w:r>
              <w:rPr>
                <w:rFonts w:ascii="宋体" w:eastAsia="宋体" w:hint="eastAsia"/>
                <w:sz w:val="16"/>
              </w:rPr>
              <w:t>系列大功率光储逆变器，真正实现全屋绿电，全屋备电。</w:t>
            </w:r>
          </w:p>
        </w:tc>
      </w:tr>
      <w:tr>
        <w:tblPrEx>
          <w:tblW w:w="0" w:type="auto"/>
          <w:jc w:val="left"/>
          <w:tblInd w:w="1155" w:type="dxa"/>
          <w:tblLayout w:type="fixed"/>
          <w:tblCellMar>
            <w:top w:w="0" w:type="dxa"/>
            <w:left w:w="0" w:type="dxa"/>
            <w:bottom w:w="0" w:type="dxa"/>
            <w:right w:w="0" w:type="dxa"/>
          </w:tblCellMar>
          <w:tblLook w:val="01E0"/>
        </w:tblPrEx>
        <w:trPr>
          <w:trHeight w:val="1725"/>
          <w:jc w:val="left"/>
        </w:trPr>
        <w:tc>
          <w:tcPr>
            <w:tcW w:w="1170" w:type="dxa"/>
            <w:tcBorders>
              <w:left w:val="nil"/>
            </w:tcBorders>
          </w:tcPr>
          <w:p>
            <w:pPr>
              <w:pStyle w:val="TableParagraph"/>
              <w:spacing w:before="51"/>
              <w:ind w:left="107"/>
              <w:jc w:val="left"/>
              <w:rPr>
                <w:rFonts w:ascii="宋体" w:eastAsia="宋体" w:hint="eastAsia"/>
                <w:sz w:val="16"/>
              </w:rPr>
            </w:pPr>
            <w:r>
              <w:rPr>
                <w:rFonts w:ascii="宋体" w:eastAsia="宋体" w:hint="eastAsia"/>
                <w:sz w:val="16"/>
              </w:rPr>
              <w:t>户用电池</w:t>
            </w:r>
          </w:p>
          <w:p>
            <w:pPr>
              <w:pStyle w:val="TableParagraph"/>
              <w:spacing w:before="38"/>
              <w:ind w:left="107"/>
              <w:jc w:val="left"/>
              <w:rPr>
                <w:rFonts w:ascii="Calibri"/>
                <w:sz w:val="16"/>
              </w:rPr>
            </w:pPr>
            <w:r>
              <w:rPr>
                <w:rFonts w:ascii="Calibri"/>
                <w:sz w:val="16"/>
              </w:rPr>
              <w:t>SBR096-256</w:t>
            </w:r>
          </w:p>
        </w:tc>
        <w:tc>
          <w:tcPr>
            <w:tcW w:w="2802" w:type="dxa"/>
          </w:tcPr>
          <w:p>
            <w:pPr>
              <w:pStyle w:val="TableParagraph"/>
              <w:spacing w:before="10"/>
              <w:jc w:val="left"/>
              <w:rPr>
                <w:rFonts w:ascii="Microsoft JhengHei"/>
                <w:b/>
                <w:sz w:val="17"/>
              </w:rPr>
            </w:pPr>
          </w:p>
          <w:p>
            <w:pPr>
              <w:pStyle w:val="TableParagraph"/>
              <w:ind w:left="965"/>
              <w:jc w:val="left"/>
              <w:rPr>
                <w:rFonts w:ascii="Microsoft JhengHei"/>
                <w:sz w:val="20"/>
              </w:rPr>
            </w:pPr>
            <w:r>
              <w:rPr>
                <w:rFonts w:ascii="Microsoft JhengHei"/>
                <w:sz w:val="20"/>
              </w:rPr>
              <w:drawing>
                <wp:inline distT="0" distB="0" distL="0" distR="0">
                  <wp:extent cx="525012" cy="666750"/>
                  <wp:effectExtent l="0" t="0" r="0" b="0"/>
                  <wp:docPr id="41"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2.png"/>
                          <pic:cNvPicPr/>
                        </pic:nvPicPr>
                        <pic:blipFill>
                          <a:blip xmlns:r="http://schemas.openxmlformats.org/officeDocument/2006/relationships" r:embed="rId228" cstate="print"/>
                          <a:stretch>
                            <a:fillRect/>
                          </a:stretch>
                        </pic:blipFill>
                        <pic:spPr>
                          <a:xfrm>
                            <a:off x="0" y="0"/>
                            <a:ext cx="525012" cy="666750"/>
                          </a:xfrm>
                          <a:prstGeom prst="rect">
                            <a:avLst/>
                          </a:prstGeom>
                        </pic:spPr>
                      </pic:pic>
                    </a:graphicData>
                  </a:graphic>
                </wp:inline>
              </w:drawing>
            </w:r>
          </w:p>
        </w:tc>
        <w:tc>
          <w:tcPr>
            <w:tcW w:w="3858" w:type="dxa"/>
            <w:tcBorders>
              <w:right w:val="nil"/>
            </w:tcBorders>
          </w:tcPr>
          <w:p>
            <w:pPr>
              <w:pStyle w:val="TableParagraph"/>
              <w:spacing w:before="5"/>
              <w:jc w:val="left"/>
              <w:rPr>
                <w:rFonts w:ascii="Microsoft JhengHei"/>
                <w:b/>
                <w:sz w:val="8"/>
              </w:rPr>
            </w:pPr>
          </w:p>
          <w:p>
            <w:pPr>
              <w:pStyle w:val="TableParagraph"/>
              <w:ind w:left="2" w:right="161"/>
              <w:jc w:val="both"/>
              <w:rPr>
                <w:rFonts w:ascii="宋体" w:eastAsia="宋体" w:hint="eastAsia"/>
                <w:sz w:val="16"/>
              </w:rPr>
            </w:pPr>
            <w:r>
              <w:rPr>
                <w:rFonts w:ascii="宋体" w:eastAsia="宋体" w:hint="eastAsia"/>
                <w:sz w:val="16"/>
              </w:rPr>
              <w:t>海外户用储能爆发式增长，公司利用渠道优势加速发展户用光储一体化业务，推出全新 一代户用</w:t>
            </w:r>
            <w:r>
              <w:rPr>
                <w:rFonts w:ascii="Calibri" w:eastAsia="Calibri"/>
                <w:sz w:val="16"/>
              </w:rPr>
              <w:t>SBR</w:t>
            </w:r>
            <w:r>
              <w:rPr>
                <w:rFonts w:ascii="宋体" w:eastAsia="宋体" w:hint="eastAsia"/>
                <w:sz w:val="16"/>
              </w:rPr>
              <w:t>系列电池解决方案，具备便捷安装，灵活配置，安全可靠</w:t>
            </w:r>
          </w:p>
          <w:p>
            <w:pPr>
              <w:pStyle w:val="TableParagraph"/>
              <w:spacing w:before="1"/>
              <w:ind w:left="2"/>
              <w:jc w:val="left"/>
              <w:rPr>
                <w:rFonts w:ascii="宋体" w:eastAsia="宋体" w:hint="eastAsia"/>
                <w:sz w:val="16"/>
              </w:rPr>
            </w:pPr>
            <w:r>
              <w:rPr>
                <w:rFonts w:ascii="宋体" w:eastAsia="宋体" w:hint="eastAsia"/>
                <w:sz w:val="16"/>
              </w:rPr>
              <w:t>，卓越性能等优势。</w:t>
            </w:r>
          </w:p>
        </w:tc>
      </w:tr>
    </w:tbl>
    <w:p>
      <w:pPr>
        <w:spacing w:before="0"/>
        <w:ind w:left="1150" w:right="0" w:firstLine="0"/>
        <w:jc w:val="left"/>
        <w:rPr>
          <w:sz w:val="15"/>
        </w:rPr>
      </w:pPr>
      <w:r>
        <w:t xml:space="preserve">资料来源：公司资料， </w:t>
      </w:r>
    </w:p>
    <w:p>
      <w:pPr>
        <w:spacing w:after="0"/>
        <w:jc w:val="left"/>
        <w:rPr>
          <w:sz w:val="15"/>
        </w:rPr>
        <w:sectPr>
          <w:headerReference w:type="default" r:id="rId229"/>
          <w:footerReference w:type="default" r:id="rId230"/>
          <w:pgSz w:w="12240" w:h="15840"/>
          <w:pgMar w:top="1720" w:right="0" w:bottom="1380" w:left="0" w:header="708" w:footer="708"/>
          <w:pgNumType w:start="87"/>
          <w:cols w:space="708"/>
        </w:sectPr>
      </w:pPr>
    </w:p>
    <w:p>
      <w:pPr>
        <w:pStyle w:val="BodyText"/>
        <w:rPr>
          <w:sz w:val="20"/>
        </w:rPr>
      </w:pPr>
    </w:p>
    <w:p>
      <w:pPr>
        <w:pStyle w:val="BodyText"/>
        <w:spacing w:before="2"/>
      </w:pPr>
    </w:p>
    <w:p>
      <w:pPr>
        <w:spacing w:before="0" w:line="415" w:lineRule="exact"/>
        <w:ind w:left="1151" w:right="0" w:firstLine="0"/>
        <w:jc w:val="left"/>
        <w:rPr>
          <w:rFonts w:ascii="Microsoft JhengHei" w:eastAsia="Microsoft JhengHei" w:hint="eastAsia"/>
          <w:b/>
          <w:sz w:val="24"/>
        </w:rPr>
      </w:pPr>
      <w:r>
        <w:rPr>
          <w:rFonts w:ascii="Microsoft JhengHei" w:eastAsia="Microsoft JhengHei" w:hint="eastAsia"/>
          <w:b/>
          <w:color w:val="59A1AE"/>
          <w:sz w:val="24"/>
        </w:rPr>
        <w:t>聚焦海外大储市场，出货量爆发式增长，稳居全球第一</w:t>
      </w:r>
    </w:p>
    <w:p>
      <w:pPr>
        <w:pStyle w:val="BodyText"/>
        <w:spacing w:before="158" w:line="232" w:lineRule="auto"/>
        <w:ind w:left="1151" w:right="3910"/>
        <w:jc w:val="both"/>
      </w:pPr>
      <w:r>
        <w:rPr>
          <w:color w:val="262626"/>
        </w:rPr>
        <w:t>公司在储能领域厚积薄发，在长期的技术、渠道积累后，随着全球储能需求爆发，公司储能系统出货量由</w:t>
      </w:r>
      <w:r>
        <w:rPr>
          <w:rFonts w:ascii="Calibri" w:eastAsia="Calibri"/>
          <w:color w:val="262626"/>
        </w:rPr>
        <w:t>2020</w:t>
      </w:r>
      <w:r>
        <w:rPr>
          <w:color w:val="262626"/>
        </w:rPr>
        <w:t>年的</w:t>
      </w:r>
      <w:r>
        <w:rPr>
          <w:rFonts w:ascii="Calibri" w:eastAsia="Calibri"/>
          <w:color w:val="262626"/>
        </w:rPr>
        <w:t>0.8GWh</w:t>
      </w:r>
      <w:r>
        <w:rPr>
          <w:color w:val="262626"/>
        </w:rPr>
        <w:t>大增至</w:t>
      </w:r>
      <w:r>
        <w:rPr>
          <w:rFonts w:ascii="Calibri" w:eastAsia="Calibri"/>
          <w:color w:val="262626"/>
        </w:rPr>
        <w:t>2022</w:t>
      </w:r>
      <w:r>
        <w:rPr>
          <w:color w:val="262626"/>
        </w:rPr>
        <w:t>年的</w:t>
      </w:r>
      <w:r>
        <w:rPr>
          <w:rFonts w:ascii="Calibri" w:eastAsia="Calibri"/>
          <w:color w:val="262626"/>
        </w:rPr>
        <w:t>7.7GWh</w:t>
      </w:r>
      <w:r>
        <w:rPr>
          <w:color w:val="262626"/>
        </w:rPr>
        <w:t>，年复合增长率高达</w:t>
      </w:r>
      <w:r>
        <w:rPr>
          <w:rFonts w:ascii="Calibri" w:eastAsia="Calibri"/>
          <w:color w:val="262626"/>
        </w:rPr>
        <w:t>210%</w:t>
      </w:r>
      <w:r>
        <w:rPr>
          <w:color w:val="262626"/>
        </w:rPr>
        <w:t>，</w:t>
      </w:r>
      <w:r>
        <w:rPr>
          <w:rFonts w:ascii="Calibri" w:eastAsia="Calibri"/>
          <w:color w:val="262626"/>
        </w:rPr>
        <w:t>2023</w:t>
      </w:r>
      <w:r>
        <w:rPr>
          <w:color w:val="262626"/>
        </w:rPr>
        <w:t>年上半年出货</w:t>
      </w:r>
      <w:r>
        <w:rPr>
          <w:rFonts w:ascii="Calibri" w:eastAsia="Calibri"/>
          <w:color w:val="262626"/>
        </w:rPr>
        <w:t>5GWh</w:t>
      </w:r>
      <w:r>
        <w:rPr>
          <w:color w:val="262626"/>
        </w:rPr>
        <w:t>，仍大增</w:t>
      </w:r>
      <w:r>
        <w:rPr>
          <w:rFonts w:ascii="Calibri" w:eastAsia="Calibri"/>
          <w:color w:val="262626"/>
        </w:rPr>
        <w:t>152%</w:t>
      </w:r>
      <w:r>
        <w:rPr>
          <w:color w:val="262626"/>
        </w:rPr>
        <w:t>。公司出货以大储为主，</w:t>
      </w:r>
      <w:r>
        <w:rPr>
          <w:rFonts w:ascii="Calibri" w:eastAsia="Calibri"/>
          <w:color w:val="262626"/>
        </w:rPr>
        <w:t>2022</w:t>
      </w:r>
      <w:r>
        <w:rPr>
          <w:color w:val="262626"/>
        </w:rPr>
        <w:t>年达</w:t>
      </w:r>
      <w:r>
        <w:rPr>
          <w:rFonts w:ascii="Calibri" w:eastAsia="Calibri"/>
          <w:color w:val="262626"/>
        </w:rPr>
        <w:t>7GWh</w:t>
      </w:r>
      <w:r>
        <w:rPr>
          <w:color w:val="262626"/>
        </w:rPr>
        <w:t>，占比达</w:t>
      </w:r>
      <w:r>
        <w:rPr>
          <w:rFonts w:ascii="Calibri" w:eastAsia="Calibri"/>
          <w:color w:val="262626"/>
        </w:rPr>
        <w:t>90%</w:t>
      </w:r>
      <w:r>
        <w:rPr>
          <w:color w:val="262626"/>
        </w:rPr>
        <w:t>，户储占比仅</w:t>
      </w:r>
      <w:r>
        <w:rPr>
          <w:rFonts w:ascii="Calibri" w:eastAsia="Calibri"/>
          <w:color w:val="262626"/>
        </w:rPr>
        <w:t>10%</w:t>
      </w:r>
      <w:r>
        <w:rPr>
          <w:color w:val="262626"/>
        </w:rPr>
        <w:t>，充分受益于新能源装机增加和储能系统价格大幅下跌所导致的全球大储需求爆发，而受海外户储库存高企的影响较小。分地区来看，由于国内对储能系统性能要求较低且竞争激烈， 公司出货以海外为主，</w:t>
      </w:r>
      <w:r>
        <w:rPr>
          <w:rFonts w:ascii="Calibri" w:eastAsia="Calibri"/>
          <w:color w:val="262626"/>
        </w:rPr>
        <w:t>2023</w:t>
      </w:r>
      <w:r>
        <w:rPr>
          <w:color w:val="262626"/>
        </w:rPr>
        <w:t>年前</w:t>
      </w:r>
      <w:r>
        <w:rPr>
          <w:rFonts w:ascii="Calibri" w:eastAsia="Calibri"/>
          <w:color w:val="262626"/>
        </w:rPr>
        <w:t>3</w:t>
      </w:r>
      <w:r>
        <w:rPr>
          <w:color w:val="262626"/>
        </w:rPr>
        <w:t>季度公司海外出货占比达</w:t>
      </w:r>
      <w:r>
        <w:rPr>
          <w:rFonts w:ascii="Calibri" w:eastAsia="Calibri"/>
          <w:color w:val="262626"/>
        </w:rPr>
        <w:t>85%</w:t>
      </w:r>
      <w:r>
        <w:rPr>
          <w:color w:val="262626"/>
        </w:rPr>
        <w:t>，其中美国占</w:t>
      </w:r>
      <w:r>
        <w:rPr>
          <w:rFonts w:ascii="Calibri" w:eastAsia="Calibri"/>
          <w:color w:val="262626"/>
        </w:rPr>
        <w:t>50%</w:t>
      </w:r>
      <w:r>
        <w:rPr>
          <w:color w:val="262626"/>
        </w:rPr>
        <w:t>，为最大市场。美国历来为中国厂商光伏、储能产品利润率最高的主要市场，在美国的高出货占比，助力公司实现较高毛利率。</w:t>
      </w:r>
    </w:p>
    <w:p>
      <w:pPr>
        <w:pStyle w:val="BodyText"/>
        <w:rPr>
          <w:sz w:val="15"/>
        </w:rPr>
      </w:pPr>
    </w:p>
    <w:p>
      <w:pPr>
        <w:pStyle w:val="Heading3"/>
      </w:pPr>
      <w:r>
        <w:pict>
          <v:line id="_x0000_s1958" style="mso-position-horizontal-relative:page;position:absolute;z-index:251830272" from="159.4pt,30.75pt" to="178.6pt,30.75pt" stroked="t" strokecolor="#bcdadf" strokeweight="4.43pt">
            <v:stroke dashstyle="solid"/>
          </v:line>
        </w:pict>
      </w:r>
      <w:r>
        <w:pict>
          <v:line id="_x0000_s1959" style="mso-position-horizontal-relative:page;position:absolute;z-index:-251487232" from="278.85pt,30.75pt" to="298.05pt,30.75pt" stroked="t" strokecolor="#1f5ea0" strokeweight="1.8pt">
            <v:stroke dashstyle="solid"/>
          </v:line>
        </w:pict>
      </w:r>
      <w:r>
        <w:rPr>
          <w:color w:val="262626"/>
        </w:rPr>
        <w:t>图表</w:t>
      </w:r>
      <w:r>
        <w:rPr>
          <w:rFonts w:ascii="Calibri" w:eastAsia="Calibri"/>
        </w:rPr>
        <w:t xml:space="preserve">61: </w:t>
      </w:r>
      <w:r>
        <w:rPr>
          <w:color w:val="262626"/>
        </w:rPr>
        <w:t>公司储能系统出货量及同比</w:t>
      </w:r>
    </w:p>
    <w:p>
      <w:pPr>
        <w:pStyle w:val="BodyText"/>
        <w:spacing w:line="20" w:lineRule="exact"/>
        <w:ind w:left="1143"/>
        <w:rPr>
          <w:rFonts w:ascii="Microsoft JhengHei"/>
          <w:sz w:val="2"/>
        </w:rPr>
      </w:pPr>
      <w:r>
        <w:rPr>
          <w:rFonts w:ascii="Microsoft JhengHei"/>
          <w:sz w:val="2"/>
        </w:rPr>
        <w:pict>
          <v:group id="_x0000_i1960" style="width:357.2pt;height:0.75pt;mso-position-horizontal-relative:char;mso-position-vertical-relative:line" coordorigin="0,0" coordsize="7144,15">
            <v:line id="_x0000_s1961" style="position:absolute" from="0,8" to="7144,8" stroked="t" strokecolor="black" strokeweight="0.75pt">
              <v:stroke dashstyle="solid"/>
            </v:line>
            <w10:wrap type="none"/>
          </v:group>
        </w:pict>
      </w:r>
    </w:p>
    <w:p>
      <w:pPr>
        <w:spacing w:after="0" w:line="20" w:lineRule="exact"/>
        <w:rPr>
          <w:rFonts w:ascii="Microsoft JhengHei"/>
          <w:sz w:val="2"/>
        </w:rPr>
        <w:sectPr>
          <w:headerReference w:type="default" r:id="rId231"/>
          <w:footerReference w:type="default" r:id="rId232"/>
          <w:pgSz w:w="12240" w:h="15840"/>
          <w:pgMar w:top="1720" w:right="0" w:bottom="1380" w:left="0" w:header="708" w:footer="708"/>
          <w:pgNumType w:start="88"/>
          <w:cols w:space="708"/>
        </w:sectPr>
      </w:pPr>
    </w:p>
    <w:p>
      <w:pPr>
        <w:pStyle w:val="BodyText"/>
        <w:spacing w:before="15"/>
        <w:rPr>
          <w:rFonts w:ascii="Microsoft JhengHei"/>
          <w:b/>
          <w:sz w:val="16"/>
        </w:rPr>
      </w:pPr>
    </w:p>
    <w:p>
      <w:pPr>
        <w:spacing w:before="0"/>
        <w:ind w:left="0" w:right="0" w:firstLine="0"/>
        <w:jc w:val="right"/>
        <w:rPr>
          <w:rFonts w:ascii="Calibri"/>
          <w:sz w:val="16"/>
        </w:rPr>
      </w:pPr>
      <w:r>
        <w:rPr>
          <w:rFonts w:ascii="Calibri"/>
          <w:color w:val="595959"/>
          <w:sz w:val="16"/>
        </w:rPr>
        <w:t>12.0</w:t>
      </w:r>
    </w:p>
    <w:p>
      <w:pPr>
        <w:tabs>
          <w:tab w:val="left" w:pos="3307"/>
        </w:tabs>
        <w:spacing w:before="69"/>
        <w:ind w:left="917" w:right="0" w:firstLine="0"/>
        <w:jc w:val="left"/>
        <w:rPr>
          <w:sz w:val="16"/>
        </w:rPr>
      </w:pPr>
      <w:r>
        <w:br w:type="column"/>
      </w:r>
      <w:r>
        <w:rPr>
          <w:color w:val="595959"/>
          <w:sz w:val="16"/>
        </w:rPr>
        <w:t>出货量（</w:t>
      </w:r>
      <w:r>
        <w:rPr>
          <w:rFonts w:ascii="Calibri" w:eastAsia="Calibri"/>
          <w:color w:val="595959"/>
          <w:sz w:val="16"/>
        </w:rPr>
        <w:t>GWh</w:t>
      </w:r>
      <w:r>
        <w:rPr>
          <w:color w:val="595959"/>
          <w:sz w:val="16"/>
        </w:rPr>
        <w:t>）</w:t>
        <w:tab/>
        <w:t>同</w:t>
      </w:r>
      <w:r>
        <w:rPr>
          <w:color w:val="595959"/>
          <w:spacing w:val="-20"/>
          <w:sz w:val="16"/>
        </w:rPr>
        <w:t>比</w:t>
      </w:r>
    </w:p>
    <w:p>
      <w:pPr>
        <w:pStyle w:val="BodyText"/>
        <w:rPr>
          <w:sz w:val="16"/>
        </w:rPr>
      </w:pPr>
      <w:r>
        <w:br w:type="column"/>
      </w:r>
    </w:p>
    <w:p>
      <w:pPr>
        <w:spacing w:before="104"/>
        <w:ind w:left="185" w:right="0" w:firstLine="0"/>
        <w:jc w:val="left"/>
        <w:rPr>
          <w:rFonts w:ascii="Calibri"/>
          <w:sz w:val="16"/>
        </w:rPr>
      </w:pPr>
      <w:r>
        <w:pict>
          <v:group id="_x0000_s1962" style="width:185pt;height:105.8pt;margin-top:10.2pt;margin-left:137.66pt;mso-position-horizontal-relative:page;position:absolute;z-index:-251485184" coordorigin="2753,204" coordsize="3700,2116">
            <v:shape id="_x0000_s1963" style="width:3599;height:2;left:2803;position:absolute;top:1924" coordorigin="2804,1925" coordsize="3599,0" path="m6131,1925l6402,1925m5233,1925l5771,1925m4333,1925l4873,1925m2804,1925l3973,1925e" filled="f" stroked="t" strokecolor="#d8d8d8" strokeweight="0.72pt">
              <v:stroke dashstyle="solid"/>
              <v:path arrowok="t"/>
            </v:shape>
            <v:rect id="_x0000_s1964" style="width:361;height:515;left:3972;position:absolute;top:1755" filled="t" fillcolor="#bcdadf" stroked="f">
              <v:fill type="solid"/>
            </v:rect>
            <v:shape id="_x0000_s1965" style="width:3599;height:343;left:2803;position:absolute;top:1240" coordorigin="2804,1240" coordsize="3599,343" path="m5233,1583l5771,1583m2804,1583l4873,1583m5233,1240l6402,1240m2804,1240l4873,1240e" filled="f" stroked="t" strokecolor="#d8d8d8" strokeweight="0.72pt">
              <v:stroke dashstyle="solid"/>
              <v:path arrowok="t"/>
            </v:shape>
            <v:line id="_x0000_s1966" style="position:absolute" from="2804,898" to="6402,898" stroked="t" strokecolor="#d8d8d8" strokeweight="0.72pt">
              <v:stroke dashstyle="solid"/>
            </v:line>
            <v:rect id="_x0000_s1967" style="width:361;height:1322;left:4872;position:absolute;top:948" filled="t" fillcolor="#bcdadf" stroked="f">
              <v:fill type="solid"/>
            </v:rect>
            <v:line id="_x0000_s1968" style="position:absolute" from="6131,1583" to="6402,1583" stroked="t" strokecolor="#d8d8d8" strokeweight="0.72pt">
              <v:stroke dashstyle="solid"/>
            </v:line>
            <v:rect id="_x0000_s1969" style="width:361;height:857;left:5770;position:absolute;top:1412" filled="t" fillcolor="#bcdadf" stroked="f">
              <v:fill type="solid"/>
            </v:rect>
            <v:shape id="_x0000_s1970" style="width:15133760;height:1443714;position:absolute;top:-1433883" coordorigin="0,-1433883" coordsize="15133760,1443714" path="m2804,554l6402,554m2804,211l6402,211e" filled="f" stroked="t" strokecolor="#d8d8d8" strokeweight="0.72pt">
              <v:stroke dashstyle="solid"/>
              <v:path arrowok="t"/>
            </v:shape>
            <v:line id="_x0000_s1971" style="position:absolute" from="6402,2270" to="6402,211" stroked="t" strokecolor="#a5a5a5" strokeweight="0.72pt">
              <v:stroke dashstyle="solid"/>
            </v:line>
            <v:shape id="_x0000_s1972" style="width:212014;height:8682480;position:absolute;top:-8672649" coordorigin="0,-8672648" coordsize="212014,8682480" path="m6402,2270l6452,2270m6402,1925l6452,1925m6402,1583l6452,1583m6402,1241l6452,1241m6402,898l6452,898m6402,554l6452,554m6402,211l6452,211e" filled="f" stroked="t" strokecolor="#a5a5a5" strokeweight="0.72pt">
              <v:stroke dashstyle="solid"/>
              <v:path arrowok="t"/>
            </v:shape>
            <v:line id="_x0000_s1973" style="position:absolute" from="2804,2270" to="2804,211" stroked="t" strokecolor="#a5a5a5" strokeweight="0.72pt">
              <v:stroke dashstyle="solid"/>
            </v:line>
            <v:shape id="_x0000_s1974" style="width:212014;height:8682480;position:absolute;top:-8672649" coordorigin="0,-8672648" coordsize="212014,8682480" path="m2753,2270l2804,2270m2753,1925l2804,1925m2753,1583l2804,1583m2753,1241l2804,1241m2753,898l2804,898m2753,554l2804,554m2753,211l2804,211e" filled="f" stroked="t" strokecolor="#a5a5a5" strokeweight="0.72pt">
              <v:stroke dashstyle="solid"/>
              <v:path arrowok="t"/>
            </v:shape>
            <v:rect id="_x0000_s1975" style="width:358;height:139;left:3074;position:absolute;top:2130" filled="t" fillcolor="#bcdadf" stroked="f">
              <v:fill type="solid"/>
            </v:rect>
            <v:shape id="_x0000_s1976" style="width:15133760;height:212014;position:absolute;top:-202183" coordorigin="0,-202183" coordsize="15133760,212014" path="m2804,2270l6402,2270m2804,2270l2804,2320m3704,2270l3704,2320m4602,2270l4602,2320m5502,2270l5502,2320m6402,2270l6402,2320e" filled="f" stroked="t" strokecolor="#a5a5a5" strokeweight="0.72pt">
              <v:stroke dashstyle="solid"/>
              <v:path arrowok="t"/>
            </v:shape>
            <v:shape id="_x0000_s1977" style="width:1798;height:845;left:4153;position:absolute;top:382" coordorigin="4154,382" coordsize="1798,845" path="m4154,382l5052,1194,5952,1227e" filled="f" stroked="t" strokecolor="#1f5ea0" strokeweight="1.8pt">
              <v:stroke dashstyle="solid"/>
              <v:path arrowok="t"/>
            </v:shape>
          </v:group>
        </w:pict>
      </w:r>
      <w:r>
        <w:rPr>
          <w:rFonts w:ascii="Calibri"/>
          <w:color w:val="595959"/>
          <w:sz w:val="16"/>
        </w:rPr>
        <w:t>300%</w:t>
      </w:r>
    </w:p>
    <w:p>
      <w:pPr>
        <w:spacing w:after="0"/>
        <w:jc w:val="left"/>
        <w:rPr>
          <w:rFonts w:ascii="Calibri"/>
          <w:sz w:val="16"/>
        </w:rPr>
        <w:sectPr>
          <w:headerReference w:type="default" r:id="rId233"/>
          <w:footerReference w:type="default" r:id="rId234"/>
          <w:type w:val="continuous"/>
          <w:pgSz w:w="12240" w:h="15840"/>
          <w:pgMar w:top="1500" w:right="0" w:bottom="280" w:left="0" w:header="708" w:footer="708"/>
          <w:pgNumType w:start="89"/>
          <w:cols w:num="3" w:space="708" w:equalWidth="0">
            <w:col w:w="2656" w:space="40"/>
            <w:col w:w="3629" w:space="39"/>
            <w:col w:w="5876" w:space="0"/>
          </w:cols>
        </w:sectPr>
      </w:pPr>
    </w:p>
    <w:p>
      <w:pPr>
        <w:pStyle w:val="BodyText"/>
        <w:spacing w:before="1"/>
        <w:rPr>
          <w:rFonts w:ascii="Calibri"/>
          <w:sz w:val="12"/>
        </w:rPr>
      </w:pPr>
    </w:p>
    <w:p>
      <w:pPr>
        <w:tabs>
          <w:tab w:val="left" w:pos="6549"/>
        </w:tabs>
        <w:spacing w:before="0"/>
        <w:ind w:left="2371" w:right="0" w:firstLine="0"/>
        <w:jc w:val="left"/>
        <w:rPr>
          <w:rFonts w:ascii="Calibri"/>
          <w:sz w:val="16"/>
        </w:rPr>
      </w:pPr>
      <w:r>
        <w:rPr>
          <w:rFonts w:ascii="Calibri"/>
          <w:color w:val="595959"/>
          <w:sz w:val="16"/>
        </w:rPr>
        <w:t>10.0</w:t>
        <w:tab/>
        <w:t>250%</w:t>
      </w:r>
    </w:p>
    <w:p>
      <w:pPr>
        <w:pStyle w:val="BodyText"/>
        <w:spacing w:before="1"/>
        <w:rPr>
          <w:rFonts w:ascii="Calibri"/>
          <w:sz w:val="12"/>
        </w:rPr>
      </w:pPr>
    </w:p>
    <w:p>
      <w:pPr>
        <w:tabs>
          <w:tab w:val="left" w:pos="6549"/>
        </w:tabs>
        <w:spacing w:before="0"/>
        <w:ind w:left="2453" w:right="0" w:firstLine="0"/>
        <w:jc w:val="left"/>
        <w:rPr>
          <w:rFonts w:ascii="Calibri"/>
          <w:sz w:val="16"/>
        </w:rPr>
      </w:pPr>
      <w:r>
        <w:rPr>
          <w:rFonts w:ascii="Calibri"/>
          <w:color w:val="595959"/>
          <w:sz w:val="16"/>
        </w:rPr>
        <w:t>8.0</w:t>
        <w:tab/>
        <w:t>200%</w:t>
      </w:r>
    </w:p>
    <w:p>
      <w:pPr>
        <w:pStyle w:val="BodyText"/>
        <w:spacing w:before="1"/>
        <w:rPr>
          <w:rFonts w:ascii="Calibri"/>
          <w:sz w:val="12"/>
        </w:rPr>
      </w:pPr>
    </w:p>
    <w:p>
      <w:pPr>
        <w:tabs>
          <w:tab w:val="left" w:pos="6549"/>
        </w:tabs>
        <w:spacing w:before="0"/>
        <w:ind w:left="2453" w:right="0" w:firstLine="0"/>
        <w:jc w:val="left"/>
        <w:rPr>
          <w:rFonts w:ascii="Calibri"/>
          <w:sz w:val="16"/>
        </w:rPr>
      </w:pPr>
      <w:r>
        <w:rPr>
          <w:rFonts w:ascii="Calibri"/>
          <w:color w:val="595959"/>
          <w:sz w:val="16"/>
        </w:rPr>
        <w:t>6.0</w:t>
        <w:tab/>
        <w:t>150%</w:t>
      </w:r>
    </w:p>
    <w:p>
      <w:pPr>
        <w:pStyle w:val="BodyText"/>
        <w:spacing w:before="1"/>
        <w:rPr>
          <w:rFonts w:ascii="Calibri"/>
          <w:sz w:val="12"/>
        </w:rPr>
      </w:pPr>
    </w:p>
    <w:p>
      <w:pPr>
        <w:tabs>
          <w:tab w:val="left" w:pos="6549"/>
        </w:tabs>
        <w:spacing w:before="0"/>
        <w:ind w:left="2453" w:right="0" w:firstLine="0"/>
        <w:jc w:val="left"/>
        <w:rPr>
          <w:rFonts w:ascii="Calibri"/>
          <w:sz w:val="16"/>
        </w:rPr>
      </w:pPr>
      <w:r>
        <w:rPr>
          <w:rFonts w:ascii="Calibri"/>
          <w:color w:val="595959"/>
          <w:sz w:val="16"/>
        </w:rPr>
        <w:t>4.0</w:t>
        <w:tab/>
        <w:t>100%</w:t>
      </w:r>
    </w:p>
    <w:p>
      <w:pPr>
        <w:pStyle w:val="BodyText"/>
        <w:spacing w:before="1"/>
        <w:rPr>
          <w:rFonts w:ascii="Calibri"/>
          <w:sz w:val="12"/>
        </w:rPr>
      </w:pPr>
    </w:p>
    <w:p>
      <w:pPr>
        <w:tabs>
          <w:tab w:val="left" w:pos="6549"/>
        </w:tabs>
        <w:spacing w:before="0"/>
        <w:ind w:left="2453" w:right="0" w:firstLine="0"/>
        <w:jc w:val="left"/>
        <w:rPr>
          <w:rFonts w:ascii="Calibri"/>
          <w:sz w:val="16"/>
        </w:rPr>
      </w:pPr>
      <w:r>
        <w:rPr>
          <w:rFonts w:ascii="Calibri"/>
          <w:color w:val="595959"/>
          <w:sz w:val="16"/>
        </w:rPr>
        <w:t>2.0</w:t>
        <w:tab/>
        <w:t>50%</w:t>
      </w:r>
    </w:p>
    <w:p>
      <w:pPr>
        <w:pStyle w:val="BodyText"/>
        <w:spacing w:before="1"/>
        <w:rPr>
          <w:rFonts w:ascii="Calibri"/>
          <w:sz w:val="12"/>
        </w:rPr>
      </w:pPr>
    </w:p>
    <w:p>
      <w:pPr>
        <w:tabs>
          <w:tab w:val="left" w:pos="4096"/>
        </w:tabs>
        <w:spacing w:before="0"/>
        <w:ind w:left="0" w:right="3038" w:firstLine="0"/>
        <w:jc w:val="center"/>
        <w:rPr>
          <w:rFonts w:ascii="Calibri"/>
          <w:sz w:val="16"/>
        </w:rPr>
      </w:pPr>
      <w:r>
        <w:rPr>
          <w:rFonts w:ascii="Calibri"/>
          <w:color w:val="595959"/>
          <w:sz w:val="16"/>
        </w:rPr>
        <w:t>0.0</w:t>
        <w:tab/>
        <w:t>0%</w:t>
      </w:r>
    </w:p>
    <w:p>
      <w:pPr>
        <w:tabs>
          <w:tab w:val="left" w:pos="899"/>
          <w:tab w:val="left" w:pos="1798"/>
          <w:tab w:val="left" w:pos="2688"/>
        </w:tabs>
        <w:spacing w:before="13"/>
        <w:ind w:left="0" w:right="3023" w:firstLine="0"/>
        <w:jc w:val="center"/>
        <w:rPr>
          <w:rFonts w:ascii="Calibri"/>
          <w:sz w:val="16"/>
        </w:rPr>
      </w:pPr>
      <w:r>
        <w:pict>
          <v:shape id="_x0000_s1978" style="width:357.2pt;height:0.1pt;margin-top:12.85pt;margin-left:57.55pt;mso-position-horizontal-relative:page;mso-wrap-distance-left:0;mso-wrap-distance-right:0;position:absolute;z-index:-251484160" coordorigin="1151,257" coordsize="7144,0" path="m1151,257l8295,257e" filled="f" stroked="t" strokecolor="black" strokeweight="0.75pt">
            <v:stroke dashstyle="solid"/>
            <v:path arrowok="t"/>
            <w10:wrap type="topAndBottom"/>
          </v:shape>
        </w:pict>
      </w:r>
      <w:r>
        <w:rPr>
          <w:rFonts w:ascii="Calibri"/>
          <w:color w:val="595959"/>
          <w:sz w:val="16"/>
        </w:rPr>
        <w:t>2020</w:t>
        <w:tab/>
        <w:t>2021</w:t>
        <w:tab/>
        <w:t>2022</w:t>
        <w:tab/>
        <w:t>1H23</w:t>
      </w:r>
    </w:p>
    <w:p>
      <w:pPr>
        <w:spacing w:before="0"/>
        <w:ind w:left="1150" w:right="0" w:firstLine="0"/>
        <w:jc w:val="left"/>
        <w:rPr>
          <w:sz w:val="15"/>
        </w:rPr>
      </w:pPr>
      <w:r>
        <w:t xml:space="preserve">资料来源：公司资料， </w:t>
      </w:r>
    </w:p>
    <w:p>
      <w:pPr>
        <w:pStyle w:val="BodyText"/>
        <w:spacing w:before="7"/>
        <w:rPr>
          <w:sz w:val="13"/>
        </w:rPr>
      </w:pPr>
    </w:p>
    <w:p>
      <w:pPr>
        <w:pStyle w:val="BodyText"/>
        <w:spacing w:before="64" w:line="232" w:lineRule="auto"/>
        <w:ind w:left="1151" w:right="3910"/>
        <w:jc w:val="both"/>
      </w:pPr>
      <w:r>
        <w:rPr>
          <w:color w:val="262626"/>
          <w:spacing w:val="5"/>
        </w:rPr>
        <w:t>在出货量增长推动下，公司储能系统收入由</w:t>
      </w:r>
      <w:r>
        <w:rPr>
          <w:rFonts w:ascii="Calibri" w:eastAsia="Calibri"/>
          <w:color w:val="262626"/>
        </w:rPr>
        <w:t>2018</w:t>
      </w:r>
      <w:r>
        <w:rPr>
          <w:color w:val="262626"/>
          <w:spacing w:val="5"/>
        </w:rPr>
        <w:t>年的</w:t>
      </w:r>
      <w:r>
        <w:rPr>
          <w:rFonts w:ascii="Calibri" w:eastAsia="Calibri"/>
          <w:color w:val="262626"/>
        </w:rPr>
        <w:t>3.8</w:t>
      </w:r>
      <w:r>
        <w:rPr>
          <w:color w:val="262626"/>
          <w:spacing w:val="5"/>
        </w:rPr>
        <w:t>亿元暴增至</w:t>
      </w:r>
      <w:r>
        <w:rPr>
          <w:rFonts w:ascii="Calibri" w:eastAsia="Calibri"/>
          <w:color w:val="262626"/>
        </w:rPr>
        <w:t>2022</w:t>
      </w:r>
      <w:r>
        <w:rPr>
          <w:color w:val="262626"/>
          <w:spacing w:val="2"/>
        </w:rPr>
        <w:t>年的</w:t>
      </w:r>
      <w:r>
        <w:rPr>
          <w:rFonts w:ascii="Calibri" w:eastAsia="Calibri"/>
          <w:color w:val="262626"/>
          <w:spacing w:val="2"/>
        </w:rPr>
        <w:t>101</w:t>
      </w:r>
      <w:r>
        <w:rPr>
          <w:color w:val="262626"/>
          <w:spacing w:val="2"/>
        </w:rPr>
        <w:t>亿元，</w:t>
      </w:r>
      <w:r>
        <w:rPr>
          <w:rFonts w:ascii="Calibri" w:eastAsia="Calibri"/>
          <w:color w:val="262626"/>
          <w:spacing w:val="2"/>
        </w:rPr>
        <w:t>2023</w:t>
      </w:r>
      <w:r>
        <w:rPr>
          <w:color w:val="262626"/>
          <w:spacing w:val="-9"/>
        </w:rPr>
        <w:t>年前</w:t>
      </w:r>
      <w:r>
        <w:rPr>
          <w:rFonts w:ascii="Calibri" w:eastAsia="Calibri"/>
          <w:color w:val="262626"/>
        </w:rPr>
        <w:t>3</w:t>
      </w:r>
      <w:r>
        <w:rPr>
          <w:color w:val="262626"/>
          <w:spacing w:val="-4"/>
        </w:rPr>
        <w:t>季度更已达</w:t>
      </w:r>
      <w:r>
        <w:rPr>
          <w:rFonts w:ascii="Calibri" w:eastAsia="Calibri"/>
          <w:color w:val="262626"/>
        </w:rPr>
        <w:t>137</w:t>
      </w:r>
      <w:r>
        <w:rPr>
          <w:color w:val="262626"/>
          <w:spacing w:val="-5"/>
        </w:rPr>
        <w:t>亿元，大增</w:t>
      </w:r>
      <w:r>
        <w:rPr>
          <w:rFonts w:ascii="Calibri" w:eastAsia="Calibri"/>
          <w:color w:val="262626"/>
        </w:rPr>
        <w:t>177%</w:t>
      </w:r>
      <w:r>
        <w:rPr>
          <w:color w:val="262626"/>
          <w:spacing w:val="-7"/>
        </w:rPr>
        <w:t>，其中</w:t>
      </w:r>
      <w:r>
        <w:rPr>
          <w:rFonts w:ascii="Calibri" w:eastAsia="Calibri"/>
          <w:color w:val="262626"/>
        </w:rPr>
        <w:t>3</w:t>
      </w:r>
      <w:r>
        <w:rPr>
          <w:color w:val="262626"/>
          <w:spacing w:val="-20"/>
        </w:rPr>
        <w:t xml:space="preserve">季度 </w:t>
      </w:r>
      <w:r>
        <w:rPr>
          <w:rFonts w:ascii="Calibri" w:eastAsia="Calibri"/>
          <w:color w:val="262626"/>
        </w:rPr>
        <w:t>52</w:t>
      </w:r>
      <w:r>
        <w:rPr>
          <w:color w:val="262626"/>
          <w:spacing w:val="-3"/>
        </w:rPr>
        <w:t>亿元，已和</w:t>
      </w:r>
      <w:r>
        <w:rPr>
          <w:color w:val="262626"/>
        </w:rPr>
        <w:t>光伏逆变器收入十分接近，成为公司重要的第二成长曲线。我们预计从</w:t>
      </w:r>
      <w:r>
        <w:rPr>
          <w:rFonts w:ascii="Calibri" w:eastAsia="Calibri"/>
          <w:color w:val="262626"/>
        </w:rPr>
        <w:t>2024</w:t>
      </w:r>
      <w:r>
        <w:rPr>
          <w:color w:val="262626"/>
        </w:rPr>
        <w:t>年起储能系统收入将超过逆变器，成为公司第一大业务。</w:t>
      </w:r>
    </w:p>
    <w:p>
      <w:pPr>
        <w:pStyle w:val="BodyText"/>
        <w:spacing w:before="5"/>
        <w:rPr>
          <w:sz w:val="15"/>
        </w:rPr>
      </w:pPr>
    </w:p>
    <w:p>
      <w:pPr>
        <w:pStyle w:val="Heading3"/>
      </w:pPr>
      <w:r>
        <w:rPr>
          <w:color w:val="262626"/>
        </w:rPr>
        <w:t>图表</w:t>
      </w:r>
      <w:r>
        <w:rPr>
          <w:rFonts w:ascii="Calibri" w:eastAsia="Calibri"/>
        </w:rPr>
        <w:t xml:space="preserve">62: </w:t>
      </w:r>
      <w:r>
        <w:rPr>
          <w:color w:val="262626"/>
        </w:rPr>
        <w:t>公司储能系统收入及同比</w:t>
      </w:r>
    </w:p>
    <w:p>
      <w:pPr>
        <w:pStyle w:val="BodyText"/>
        <w:spacing w:line="20" w:lineRule="exact"/>
        <w:ind w:left="1143"/>
        <w:rPr>
          <w:rFonts w:ascii="Microsoft JhengHei"/>
          <w:sz w:val="2"/>
        </w:rPr>
      </w:pPr>
      <w:r>
        <w:rPr>
          <w:rFonts w:ascii="Microsoft JhengHei"/>
          <w:sz w:val="2"/>
        </w:rPr>
        <w:pict>
          <v:group id="_x0000_i1979" style="width:357.2pt;height:0.75pt;mso-position-horizontal-relative:char;mso-position-vertical-relative:line" coordorigin="0,0" coordsize="7144,15">
            <v:line id="_x0000_s1980" style="position:absolute" from="0,8" to="7144,8" stroked="t" strokecolor="black" strokeweight="0.75pt">
              <v:stroke dashstyle="solid"/>
            </v:line>
            <w10:wrap type="none"/>
          </v:group>
        </w:pict>
      </w:r>
    </w:p>
    <w:p>
      <w:pPr>
        <w:spacing w:after="0" w:line="20" w:lineRule="exact"/>
        <w:rPr>
          <w:rFonts w:ascii="Microsoft JhengHei"/>
          <w:sz w:val="2"/>
        </w:rPr>
        <w:sectPr>
          <w:headerReference w:type="default" r:id="rId235"/>
          <w:footerReference w:type="default" r:id="rId236"/>
          <w:type w:val="continuous"/>
          <w:pgSz w:w="12240" w:h="15840"/>
          <w:pgMar w:top="1500" w:right="0" w:bottom="280" w:left="0" w:header="708" w:footer="708"/>
          <w:pgNumType w:start="90"/>
          <w:cols w:space="708"/>
        </w:sectPr>
      </w:pPr>
    </w:p>
    <w:p>
      <w:pPr>
        <w:pStyle w:val="BodyText"/>
        <w:spacing w:before="1"/>
        <w:rPr>
          <w:rFonts w:ascii="Microsoft JhengHei"/>
          <w:b/>
          <w:sz w:val="17"/>
        </w:rPr>
      </w:pPr>
    </w:p>
    <w:p>
      <w:pPr>
        <w:spacing w:before="0"/>
        <w:ind w:left="0" w:right="280" w:firstLine="0"/>
        <w:jc w:val="right"/>
        <w:rPr>
          <w:rFonts w:ascii="Calibri"/>
          <w:sz w:val="16"/>
        </w:rPr>
      </w:pPr>
      <w:r>
        <w:rPr>
          <w:rFonts w:ascii="Calibri"/>
          <w:color w:val="595959"/>
          <w:spacing w:val="-1"/>
          <w:sz w:val="16"/>
        </w:rPr>
        <w:t>14,000</w:t>
      </w:r>
    </w:p>
    <w:p>
      <w:pPr>
        <w:spacing w:before="101"/>
        <w:ind w:left="0" w:right="280" w:firstLine="0"/>
        <w:jc w:val="right"/>
        <w:rPr>
          <w:rFonts w:ascii="Calibri"/>
          <w:sz w:val="16"/>
        </w:rPr>
      </w:pPr>
      <w:r>
        <w:rPr>
          <w:rFonts w:ascii="Calibri"/>
          <w:color w:val="595959"/>
          <w:spacing w:val="-1"/>
          <w:sz w:val="16"/>
        </w:rPr>
        <w:t>12,000</w:t>
      </w:r>
    </w:p>
    <w:p>
      <w:pPr>
        <w:spacing w:before="101"/>
        <w:ind w:left="0" w:right="280" w:firstLine="0"/>
        <w:jc w:val="right"/>
        <w:rPr>
          <w:rFonts w:ascii="Calibri"/>
          <w:sz w:val="16"/>
        </w:rPr>
      </w:pPr>
      <w:r>
        <w:rPr>
          <w:rFonts w:ascii="Calibri"/>
          <w:color w:val="595959"/>
          <w:spacing w:val="-1"/>
          <w:sz w:val="16"/>
        </w:rPr>
        <w:t>10,000</w:t>
      </w:r>
    </w:p>
    <w:p>
      <w:pPr>
        <w:spacing w:before="101"/>
        <w:ind w:left="0" w:right="280" w:firstLine="0"/>
        <w:jc w:val="right"/>
        <w:rPr>
          <w:rFonts w:ascii="Calibri"/>
          <w:sz w:val="16"/>
        </w:rPr>
      </w:pPr>
      <w:r>
        <w:rPr>
          <w:rFonts w:ascii="Calibri"/>
          <w:color w:val="595959"/>
          <w:spacing w:val="-1"/>
          <w:sz w:val="16"/>
        </w:rPr>
        <w:t>8,000</w:t>
      </w:r>
    </w:p>
    <w:p>
      <w:pPr>
        <w:spacing w:before="101"/>
        <w:ind w:left="0" w:right="280" w:firstLine="0"/>
        <w:jc w:val="right"/>
        <w:rPr>
          <w:rFonts w:ascii="Calibri"/>
          <w:sz w:val="16"/>
        </w:rPr>
      </w:pPr>
      <w:r>
        <w:rPr>
          <w:rFonts w:ascii="Calibri"/>
          <w:color w:val="595959"/>
          <w:spacing w:val="-1"/>
          <w:sz w:val="16"/>
        </w:rPr>
        <w:t>6,000</w:t>
      </w:r>
    </w:p>
    <w:p>
      <w:pPr>
        <w:spacing w:before="101"/>
        <w:ind w:left="0" w:right="280" w:firstLine="0"/>
        <w:jc w:val="right"/>
        <w:rPr>
          <w:rFonts w:ascii="Calibri"/>
          <w:sz w:val="16"/>
        </w:rPr>
      </w:pPr>
      <w:r>
        <w:rPr>
          <w:rFonts w:ascii="Calibri"/>
          <w:color w:val="595959"/>
          <w:spacing w:val="-1"/>
          <w:sz w:val="16"/>
        </w:rPr>
        <w:t>4,000</w:t>
      </w:r>
    </w:p>
    <w:p>
      <w:pPr>
        <w:spacing w:before="101"/>
        <w:ind w:left="0" w:right="280" w:firstLine="0"/>
        <w:jc w:val="right"/>
        <w:rPr>
          <w:rFonts w:ascii="Calibri"/>
          <w:sz w:val="16"/>
        </w:rPr>
      </w:pPr>
      <w:r>
        <w:rPr>
          <w:rFonts w:ascii="Calibri"/>
          <w:color w:val="595959"/>
          <w:spacing w:val="-1"/>
          <w:sz w:val="16"/>
        </w:rPr>
        <w:t>2,000</w:t>
      </w:r>
    </w:p>
    <w:p>
      <w:pPr>
        <w:spacing w:before="101"/>
        <w:ind w:left="0" w:right="280" w:firstLine="0"/>
        <w:jc w:val="right"/>
        <w:rPr>
          <w:rFonts w:ascii="Calibri"/>
          <w:sz w:val="16"/>
        </w:rPr>
      </w:pPr>
      <w:r>
        <w:rPr>
          <w:rFonts w:ascii="Calibri"/>
          <w:color w:val="595959"/>
          <w:w w:val="100"/>
          <w:sz w:val="16"/>
        </w:rPr>
        <w:t>0</w:t>
      </w:r>
    </w:p>
    <w:p>
      <w:pPr>
        <w:pStyle w:val="BodyText"/>
        <w:spacing w:before="3"/>
        <w:rPr>
          <w:rFonts w:ascii="Calibri"/>
          <w:sz w:val="20"/>
        </w:rPr>
      </w:pPr>
    </w:p>
    <w:p>
      <w:pPr>
        <w:spacing w:before="0"/>
        <w:ind w:left="1150" w:right="0" w:firstLine="0"/>
        <w:jc w:val="left"/>
        <w:rPr>
          <w:sz w:val="15"/>
        </w:rPr>
      </w:pPr>
      <w:r>
        <w:t xml:space="preserve">资料来源：公司资料， </w:t>
      </w:r>
    </w:p>
    <w:p>
      <w:pPr>
        <w:tabs>
          <w:tab w:val="left" w:pos="2864"/>
        </w:tabs>
        <w:spacing w:before="72"/>
        <w:ind w:left="493" w:right="0" w:firstLine="0"/>
        <w:jc w:val="left"/>
        <w:rPr>
          <w:sz w:val="16"/>
        </w:rPr>
      </w:pPr>
      <w:r>
        <w:br w:type="column"/>
      </w:r>
      <w:r>
        <w:rPr>
          <w:color w:val="595959"/>
          <w:sz w:val="16"/>
        </w:rPr>
        <w:t>收入（百</w:t>
      </w:r>
      <w:r>
        <w:rPr>
          <w:color w:val="595959"/>
          <w:spacing w:val="-3"/>
          <w:sz w:val="16"/>
        </w:rPr>
        <w:t>万</w:t>
      </w:r>
      <w:r>
        <w:rPr>
          <w:color w:val="595959"/>
          <w:sz w:val="16"/>
        </w:rPr>
        <w:t>元）</w:t>
        <w:tab/>
        <w:t>同比</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2"/>
        <w:rPr>
          <w:sz w:val="20"/>
        </w:rPr>
      </w:pPr>
    </w:p>
    <w:p>
      <w:pPr>
        <w:tabs>
          <w:tab w:val="left" w:pos="558"/>
          <w:tab w:val="left" w:pos="1156"/>
          <w:tab w:val="left" w:pos="1753"/>
          <w:tab w:val="left" w:pos="2351"/>
          <w:tab w:val="left" w:pos="2920"/>
        </w:tabs>
        <w:spacing w:before="0"/>
        <w:ind w:left="-39" w:right="0" w:firstLine="0"/>
        <w:jc w:val="left"/>
        <w:rPr>
          <w:rFonts w:ascii="Calibri"/>
          <w:sz w:val="16"/>
        </w:rPr>
      </w:pPr>
      <w:r>
        <w:pict>
          <v:group id="_x0000_s1981" style="width:184.45pt;height:106.65pt;margin-top:-109.11pt;margin-left:146.23pt;mso-position-horizontal-relative:page;position:absolute;z-index:251834368" coordorigin="2925,-2182" coordsize="3689,2133">
            <v:shape id="_x0000_s1982" style="width:3585;height:2;left:2975;position:absolute;top:-398" coordorigin="2975,-397" coordsize="3585,0" path="m6411,-397l6560,-397m5815,-397l6113,-397m5217,-397l5515,-397m2975,-397l4919,-397e" filled="f" stroked="t" strokecolor="#d8d8d8" strokeweight="0.72pt">
              <v:stroke dashstyle="solid"/>
              <v:path arrowok="t"/>
            </v:shape>
            <v:rect id="_x0000_s1983" style="width:298;height:465;left:4918;position:absolute;top:-565" filled="t" fillcolor="#bcdadf" stroked="f">
              <v:fill type="solid"/>
            </v:rect>
            <v:shape id="_x0000_s1984" style="width:3138;height:890;left:2975;position:absolute;top:-1581" coordorigin="2975,-1581" coordsize="3138,890" path="m5815,-692l6113,-692m2975,-692l5515,-692m5815,-989l6113,-989m2975,-989l5515,-989m5815,-1286l6113,-1286m2975,-1286l5515,-1286m5815,-1581l6113,-1581m2975,-1581l5515,-1581e" filled="f" stroked="t" strokecolor="#d8d8d8" strokeweight="0.72pt">
              <v:stroke dashstyle="solid"/>
              <v:path arrowok="t"/>
            </v:shape>
            <v:rect id="_x0000_s1985" style="width:301;height:1501;left:5514;position:absolute;top:-1600" filled="t" fillcolor="#bcdadf" stroked="f">
              <v:fill type="solid"/>
            </v:rect>
            <v:shape id="_x0000_s1986" style="width:3585;height:1187;left:2975;position:absolute;top:-1878" coordorigin="2975,-1878" coordsize="3585,1187" path="m6411,-692l6560,-692m6411,-989l6560,-989m6411,-1286l6560,-1286m6411,-1581l6560,-1581m6411,-1878l6560,-1878m2975,-1878l6113,-1878e" filled="f" stroked="t" strokecolor="#d8d8d8" strokeweight="0.72pt">
              <v:stroke dashstyle="solid"/>
              <v:path arrowok="t"/>
            </v:shape>
            <v:line id="_x0000_s1987" style="position:absolute" from="2975,-2175" to="6560,-2175" stroked="t" strokecolor="#d8d8d8" strokeweight="0.72pt">
              <v:stroke dashstyle="solid"/>
            </v:line>
            <v:rect id="_x0000_s1988" style="width:298;height:2030;left:6112;position:absolute;top:-2130" filled="t" fillcolor="#bcdadf" stroked="f">
              <v:fill type="solid"/>
            </v:rect>
            <v:line id="_x0000_s1989" style="position:absolute" from="6560,-100" to="6560,-2175" stroked="t" strokecolor="#a5a5a5" strokeweight="0.72pt">
              <v:stroke dashstyle="solid"/>
            </v:line>
            <v:shape id="_x0000_s1990" style="width:222784;height:8769620;position:absolute;top:-8767095" coordorigin="0,-8767094" coordsize="222784,8769620" path="m6560,-100l6613,-100m6560,-397l6613,-397m6560,-692l6613,-692m6560,-989l6613,-989m6560,-1286l6613,-1286m6560,-1581l6613,-1581m6560,-1878l6613,-1878m6560,-2175l6613,-2175e" filled="f" stroked="t" strokecolor="#a5a5a5" strokeweight="0.72pt">
              <v:stroke dashstyle="solid"/>
              <v:path arrowok="t"/>
            </v:shape>
            <v:line id="_x0000_s1991" style="position:absolute" from="2975,-100" to="2975,-2175" stroked="t" strokecolor="#a5a5a5" strokeweight="0.72pt">
              <v:stroke dashstyle="solid"/>
            </v:line>
            <v:shape id="_x0000_s1992" style="width:212658;height:8769620;position:absolute;top:-8767095" coordorigin="0,-8767094" coordsize="212658,8769620" path="m2925,-100l2975,-100m2925,-397l2975,-397m2925,-692l2975,-692m2925,-989l2975,-989m2925,-1286l2975,-1286m2925,-1581l2975,-1581m2925,-1878l2975,-1878m2925,-2175l2975,-2175e" filled="f" stroked="t" strokecolor="#a5a5a5" strokeweight="0.72pt">
              <v:stroke dashstyle="solid"/>
              <v:path arrowok="t"/>
            </v:shape>
            <v:line id="_x0000_s1993" style="position:absolute" from="3126,-129" to="3424,-129" stroked="t" strokecolor="#bcdadf" strokeweight="2.88pt">
              <v:stroke dashstyle="solid"/>
            </v:line>
            <v:line id="_x0000_s1994" style="position:absolute" from="3722,-141" to="4023,-141" stroked="t" strokecolor="#bcdadf" strokeweight="4.07pt">
              <v:stroke dashstyle="solid"/>
            </v:line>
            <v:rect id="_x0000_s1995" style="width:298;height:173;left:4320;position:absolute;top:-273" filled="t" fillcolor="#bcdadf" stroked="f">
              <v:fill type="solid"/>
            </v:rect>
            <v:shape id="_x0000_s1996" style="width:15108840;height:212658;position:absolute;top:-210132" coordorigin="0,-210132" coordsize="15108840,212658" path="m2975,-100l6560,-100m2975,-100l2975,-50m3573,-100l3573,-50m4172,-100l4172,-50m4767,-100l4767,-50m5366,-100l5366,-50m5964,-100l5964,-50m6560,-100l6560,-50e" filled="f" stroked="t" strokecolor="#a5a5a5" strokeweight="0.72pt">
              <v:stroke dashstyle="solid"/>
              <v:path arrowok="t"/>
            </v:shape>
            <v:shape id="_x0000_s1997" style="width:2391;height:1340;left:3872;position:absolute;top:-1750" coordorigin="3872,-1750" coordsize="2391,1340" path="m3872,-410l3872,-410,4471,-954,5067,-1347,5665,-1750,6263,-1412e" filled="f" stroked="t" strokecolor="#1f5ea0" strokeweight="1.8pt">
              <v:stroke dashstyle="solid"/>
              <v:path arrowok="t"/>
            </v:shape>
          </v:group>
        </w:pict>
      </w:r>
      <w:r>
        <w:pict>
          <v:line id="_x0000_s1998" style="mso-position-horizontal-relative:page;position:absolute;z-index:251835392" from="159.2pt,-120.1pt" to="178.45pt,-120.1pt" stroked="t" strokecolor="#bcdadf" strokeweight="4.43pt">
            <v:stroke dashstyle="solid"/>
          </v:line>
        </w:pict>
      </w:r>
      <w:r>
        <w:pict>
          <v:line id="_x0000_s1999" style="mso-position-horizontal-relative:page;position:absolute;z-index:-251483136" from="279.5pt,-120.1pt" to="298.75pt,-120.1pt" stroked="t" strokecolor="#1f5ea0" strokeweight="1.8pt">
            <v:stroke dashstyle="solid"/>
          </v:line>
        </w:pict>
      </w:r>
      <w:r>
        <w:rPr>
          <w:rFonts w:ascii="Calibri"/>
          <w:color w:val="595959"/>
          <w:sz w:val="16"/>
        </w:rPr>
        <w:t>2018</w:t>
        <w:tab/>
        <w:t>2019</w:t>
        <w:tab/>
        <w:t>2020</w:t>
        <w:tab/>
        <w:t>2021</w:t>
        <w:tab/>
        <w:t>2022</w:t>
        <w:tab/>
      </w:r>
      <w:r>
        <w:rPr>
          <w:rFonts w:ascii="Calibri"/>
          <w:color w:val="595959"/>
          <w:spacing w:val="-6"/>
          <w:sz w:val="16"/>
        </w:rPr>
        <w:t>9M23</w:t>
      </w:r>
    </w:p>
    <w:p>
      <w:pPr>
        <w:pStyle w:val="BodyText"/>
        <w:rPr>
          <w:rFonts w:ascii="Calibri"/>
          <w:sz w:val="16"/>
        </w:rPr>
      </w:pPr>
      <w:r>
        <w:br w:type="column"/>
      </w:r>
    </w:p>
    <w:p>
      <w:pPr>
        <w:spacing w:before="118"/>
        <w:ind w:left="215" w:right="0" w:firstLine="0"/>
        <w:jc w:val="left"/>
        <w:rPr>
          <w:rFonts w:ascii="Calibri"/>
          <w:sz w:val="16"/>
        </w:rPr>
      </w:pPr>
      <w:r>
        <w:rPr>
          <w:rFonts w:ascii="Calibri"/>
          <w:color w:val="595959"/>
          <w:sz w:val="16"/>
        </w:rPr>
        <w:t>280%</w:t>
      </w:r>
    </w:p>
    <w:p>
      <w:pPr>
        <w:spacing w:before="101"/>
        <w:ind w:left="215" w:right="0" w:firstLine="0"/>
        <w:jc w:val="left"/>
        <w:rPr>
          <w:rFonts w:ascii="Calibri"/>
          <w:sz w:val="16"/>
        </w:rPr>
      </w:pPr>
      <w:r>
        <w:rPr>
          <w:rFonts w:ascii="Calibri"/>
          <w:color w:val="595959"/>
          <w:sz w:val="16"/>
        </w:rPr>
        <w:t>240%</w:t>
      </w:r>
    </w:p>
    <w:p>
      <w:pPr>
        <w:spacing w:before="101"/>
        <w:ind w:left="215" w:right="0" w:firstLine="0"/>
        <w:jc w:val="left"/>
        <w:rPr>
          <w:rFonts w:ascii="Calibri"/>
          <w:sz w:val="16"/>
        </w:rPr>
      </w:pPr>
      <w:r>
        <w:rPr>
          <w:rFonts w:ascii="Calibri"/>
          <w:color w:val="595959"/>
          <w:sz w:val="16"/>
        </w:rPr>
        <w:t>200%</w:t>
      </w:r>
    </w:p>
    <w:p>
      <w:pPr>
        <w:spacing w:before="101"/>
        <w:ind w:left="215" w:right="0" w:firstLine="0"/>
        <w:jc w:val="left"/>
        <w:rPr>
          <w:rFonts w:ascii="Calibri"/>
          <w:sz w:val="16"/>
        </w:rPr>
      </w:pPr>
      <w:r>
        <w:rPr>
          <w:rFonts w:ascii="Calibri"/>
          <w:color w:val="595959"/>
          <w:sz w:val="16"/>
        </w:rPr>
        <w:t>160%</w:t>
      </w:r>
    </w:p>
    <w:p>
      <w:pPr>
        <w:spacing w:before="101"/>
        <w:ind w:left="215" w:right="0" w:firstLine="0"/>
        <w:jc w:val="left"/>
        <w:rPr>
          <w:rFonts w:ascii="Calibri"/>
          <w:sz w:val="16"/>
        </w:rPr>
      </w:pPr>
      <w:r>
        <w:rPr>
          <w:rFonts w:ascii="Calibri"/>
          <w:color w:val="595959"/>
          <w:sz w:val="16"/>
        </w:rPr>
        <w:t>120%</w:t>
      </w:r>
    </w:p>
    <w:p>
      <w:pPr>
        <w:spacing w:before="101"/>
        <w:ind w:left="215" w:right="0" w:firstLine="0"/>
        <w:jc w:val="left"/>
        <w:rPr>
          <w:rFonts w:ascii="Calibri"/>
          <w:sz w:val="16"/>
        </w:rPr>
      </w:pPr>
      <w:r>
        <w:rPr>
          <w:rFonts w:ascii="Calibri"/>
          <w:color w:val="595959"/>
          <w:sz w:val="16"/>
        </w:rPr>
        <w:t>80%</w:t>
      </w:r>
    </w:p>
    <w:p>
      <w:pPr>
        <w:spacing w:before="101"/>
        <w:ind w:left="215" w:right="0" w:firstLine="0"/>
        <w:jc w:val="left"/>
        <w:rPr>
          <w:rFonts w:ascii="Calibri"/>
          <w:sz w:val="16"/>
        </w:rPr>
      </w:pPr>
      <w:r>
        <w:rPr>
          <w:rFonts w:ascii="Calibri"/>
          <w:color w:val="595959"/>
          <w:sz w:val="16"/>
        </w:rPr>
        <w:t>40%</w:t>
      </w:r>
    </w:p>
    <w:p>
      <w:pPr>
        <w:spacing w:before="101"/>
        <w:ind w:left="215" w:right="0" w:firstLine="0"/>
        <w:jc w:val="left"/>
        <w:rPr>
          <w:rFonts w:ascii="Calibri"/>
          <w:sz w:val="16"/>
        </w:rPr>
      </w:pPr>
      <w:r>
        <w:rPr>
          <w:rFonts w:ascii="Calibri"/>
          <w:color w:val="595959"/>
          <w:sz w:val="16"/>
        </w:rPr>
        <w:t>0%</w:t>
      </w:r>
    </w:p>
    <w:p>
      <w:pPr>
        <w:spacing w:after="0"/>
        <w:jc w:val="left"/>
        <w:rPr>
          <w:rFonts w:ascii="Calibri"/>
          <w:sz w:val="16"/>
        </w:rPr>
      </w:pPr>
      <w:r>
        <w:rPr>
          <w:rFonts w:ascii="Calibri"/>
          <w:sz w:val="16"/>
        </w:rPr>
        <w:br/>
      </w:r>
      <w:r>
        <w:rPr>
          <w:rFonts w:ascii="Calibri"/>
          <w:sz w:val="1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7" w:history="1">
        <w:r>
          <w:rPr>
            <w:rFonts w:ascii="SimSun" w:eastAsia="SimSun" w:hAnsi="SimSun" w:cs="SimSun"/>
            <w:b/>
            <w:bCs/>
            <w:color w:val="0000EE"/>
            <w:sz w:val="30"/>
            <w:szCs w:val="30"/>
            <w:u w:val="single" w:color="0000EE"/>
          </w:rPr>
          <w:t>https://d.book118.com/146201130043010103</w:t>
        </w:r>
      </w:hyperlink>
    </w:p>
    <w:p>
      <w:pPr>
        <w:spacing w:after="0"/>
        <w:jc w:val="left"/>
        <w:rPr>
          <w:rFonts w:ascii="Calibri"/>
          <w:sz w:val="16"/>
        </w:rPr>
      </w:pPr>
    </w:p>
    <w:sectPr>
      <w:headerReference w:type="default" r:id="rId238"/>
      <w:footerReference w:type="default" r:id="rId239"/>
      <w:type w:val="continuous"/>
      <w:pgSz w:w="12240" w:h="15840"/>
      <w:pgMar w:top="1500" w:right="0" w:bottom="280" w:left="0" w:header="708" w:footer="708"/>
      <w:pgNumType w:start="91"/>
      <w:cols w:num="3" w:space="708" w:equalWidth="0">
        <w:col w:w="3112" w:space="40"/>
        <w:col w:w="3303" w:space="39"/>
        <w:col w:w="5746"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Narrow">
    <w:altName w:val="Arial Narrow"/>
    <w:charset w:val="00"/>
    <w:family w:val="swiss"/>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Consolas">
    <w:altName w:val="Consolas"/>
    <w:charset w:val="00"/>
    <w:family w:val="modern"/>
    <w:pitch w:val="fixed"/>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469468"/>
    <w:multiLevelType w:val="hybridMultilevel"/>
    <w:tmpl w:val="00000000"/>
    <w:lvl w:ilvl="0">
      <w:start w:val="1"/>
      <w:numFmt w:val="decimal"/>
      <w:lvlText w:val="%1."/>
      <w:lvlJc w:val="left"/>
      <w:pPr>
        <w:ind w:left="1510" w:hanging="360"/>
        <w:jc w:val="left"/>
      </w:pPr>
      <w:rPr>
        <w:rFonts w:ascii="Calibri" w:eastAsia="Calibri" w:hAnsi="Calibri" w:cs="Calibri" w:hint="default"/>
        <w:color w:val="262626"/>
        <w:w w:val="100"/>
        <w:sz w:val="21"/>
        <w:szCs w:val="21"/>
        <w:lang w:val="zh-CN" w:eastAsia="zh-CN" w:bidi="zh-CN"/>
      </w:rPr>
    </w:lvl>
    <w:lvl w:ilvl="1">
      <w:start w:val="0"/>
      <w:numFmt w:val="bullet"/>
      <w:lvlText w:val="•"/>
      <w:lvlJc w:val="left"/>
      <w:pPr>
        <w:ind w:left="2592" w:hanging="360"/>
      </w:pPr>
      <w:rPr>
        <w:rFonts w:hint="default"/>
        <w:lang w:val="zh-CN" w:eastAsia="zh-CN" w:bidi="zh-CN"/>
      </w:rPr>
    </w:lvl>
    <w:lvl w:ilvl="2">
      <w:start w:val="0"/>
      <w:numFmt w:val="bullet"/>
      <w:lvlText w:val="•"/>
      <w:lvlJc w:val="left"/>
      <w:pPr>
        <w:ind w:left="3664" w:hanging="360"/>
      </w:pPr>
      <w:rPr>
        <w:rFonts w:hint="default"/>
        <w:lang w:val="zh-CN" w:eastAsia="zh-CN" w:bidi="zh-CN"/>
      </w:rPr>
    </w:lvl>
    <w:lvl w:ilvl="3">
      <w:start w:val="0"/>
      <w:numFmt w:val="bullet"/>
      <w:lvlText w:val="•"/>
      <w:lvlJc w:val="left"/>
      <w:pPr>
        <w:ind w:left="4736" w:hanging="360"/>
      </w:pPr>
      <w:rPr>
        <w:rFonts w:hint="default"/>
        <w:lang w:val="zh-CN" w:eastAsia="zh-CN" w:bidi="zh-CN"/>
      </w:rPr>
    </w:lvl>
    <w:lvl w:ilvl="4">
      <w:start w:val="0"/>
      <w:numFmt w:val="bullet"/>
      <w:lvlText w:val="•"/>
      <w:lvlJc w:val="left"/>
      <w:pPr>
        <w:ind w:left="5808" w:hanging="360"/>
      </w:pPr>
      <w:rPr>
        <w:rFonts w:hint="default"/>
        <w:lang w:val="zh-CN" w:eastAsia="zh-CN" w:bidi="zh-CN"/>
      </w:rPr>
    </w:lvl>
    <w:lvl w:ilvl="5">
      <w:start w:val="0"/>
      <w:numFmt w:val="bullet"/>
      <w:lvlText w:val="•"/>
      <w:lvlJc w:val="left"/>
      <w:pPr>
        <w:ind w:left="6880" w:hanging="360"/>
      </w:pPr>
      <w:rPr>
        <w:rFonts w:hint="default"/>
        <w:lang w:val="zh-CN" w:eastAsia="zh-CN" w:bidi="zh-CN"/>
      </w:rPr>
    </w:lvl>
    <w:lvl w:ilvl="6">
      <w:start w:val="0"/>
      <w:numFmt w:val="bullet"/>
      <w:lvlText w:val="•"/>
      <w:lvlJc w:val="left"/>
      <w:pPr>
        <w:ind w:left="7952" w:hanging="360"/>
      </w:pPr>
      <w:rPr>
        <w:rFonts w:hint="default"/>
        <w:lang w:val="zh-CN" w:eastAsia="zh-CN" w:bidi="zh-CN"/>
      </w:rPr>
    </w:lvl>
    <w:lvl w:ilvl="7">
      <w:start w:val="0"/>
      <w:numFmt w:val="bullet"/>
      <w:lvlText w:val="•"/>
      <w:lvlJc w:val="left"/>
      <w:pPr>
        <w:ind w:left="9024" w:hanging="360"/>
      </w:pPr>
      <w:rPr>
        <w:rFonts w:hint="default"/>
        <w:lang w:val="zh-CN" w:eastAsia="zh-CN" w:bidi="zh-CN"/>
      </w:rPr>
    </w:lvl>
    <w:lvl w:ilvl="8">
      <w:start w:val="0"/>
      <w:numFmt w:val="bullet"/>
      <w:lvlText w:val="•"/>
      <w:lvlJc w:val="left"/>
      <w:pPr>
        <w:ind w:left="10096" w:hanging="360"/>
      </w:pPr>
      <w:rPr>
        <w:rFonts w:hint="default"/>
        <w:lang w:val="zh-CN" w:eastAsia="zh-CN" w:bidi="zh-CN"/>
      </w:rPr>
    </w:lvl>
  </w:abstractNum>
  <w:abstractNum w:abstractNumId="1">
    <w:nsid w:val="3A558409"/>
    <w:multiLevelType w:val="hybridMultilevel"/>
    <w:tmpl w:val="00000000"/>
    <w:lvl w:ilvl="0">
      <w:start w:val="1"/>
      <w:numFmt w:val="decimal"/>
      <w:lvlText w:val="%1."/>
      <w:lvlJc w:val="left"/>
      <w:pPr>
        <w:ind w:left="1631" w:hanging="481"/>
        <w:jc w:val="left"/>
      </w:pPr>
      <w:rPr>
        <w:rFonts w:ascii="Calibri" w:eastAsia="Calibri" w:hAnsi="Calibri" w:cs="Calibri" w:hint="default"/>
        <w:color w:val="262626"/>
        <w:spacing w:val="-1"/>
        <w:w w:val="100"/>
        <w:sz w:val="21"/>
        <w:szCs w:val="21"/>
        <w:lang w:val="zh-CN" w:eastAsia="zh-CN" w:bidi="zh-CN"/>
      </w:rPr>
    </w:lvl>
    <w:lvl w:ilvl="1">
      <w:start w:val="0"/>
      <w:numFmt w:val="bullet"/>
      <w:lvlText w:val="•"/>
      <w:lvlJc w:val="left"/>
      <w:pPr>
        <w:ind w:left="2700" w:hanging="481"/>
      </w:pPr>
      <w:rPr>
        <w:rFonts w:hint="default"/>
        <w:lang w:val="zh-CN" w:eastAsia="zh-CN" w:bidi="zh-CN"/>
      </w:rPr>
    </w:lvl>
    <w:lvl w:ilvl="2">
      <w:start w:val="0"/>
      <w:numFmt w:val="bullet"/>
      <w:lvlText w:val="•"/>
      <w:lvlJc w:val="left"/>
      <w:pPr>
        <w:ind w:left="3760" w:hanging="481"/>
      </w:pPr>
      <w:rPr>
        <w:rFonts w:hint="default"/>
        <w:lang w:val="zh-CN" w:eastAsia="zh-CN" w:bidi="zh-CN"/>
      </w:rPr>
    </w:lvl>
    <w:lvl w:ilvl="3">
      <w:start w:val="0"/>
      <w:numFmt w:val="bullet"/>
      <w:lvlText w:val="•"/>
      <w:lvlJc w:val="left"/>
      <w:pPr>
        <w:ind w:left="4820" w:hanging="481"/>
      </w:pPr>
      <w:rPr>
        <w:rFonts w:hint="default"/>
        <w:lang w:val="zh-CN" w:eastAsia="zh-CN" w:bidi="zh-CN"/>
      </w:rPr>
    </w:lvl>
    <w:lvl w:ilvl="4">
      <w:start w:val="0"/>
      <w:numFmt w:val="bullet"/>
      <w:lvlText w:val="•"/>
      <w:lvlJc w:val="left"/>
      <w:pPr>
        <w:ind w:left="5880" w:hanging="481"/>
      </w:pPr>
      <w:rPr>
        <w:rFonts w:hint="default"/>
        <w:lang w:val="zh-CN" w:eastAsia="zh-CN" w:bidi="zh-CN"/>
      </w:rPr>
    </w:lvl>
    <w:lvl w:ilvl="5">
      <w:start w:val="0"/>
      <w:numFmt w:val="bullet"/>
      <w:lvlText w:val="•"/>
      <w:lvlJc w:val="left"/>
      <w:pPr>
        <w:ind w:left="6940" w:hanging="481"/>
      </w:pPr>
      <w:rPr>
        <w:rFonts w:hint="default"/>
        <w:lang w:val="zh-CN" w:eastAsia="zh-CN" w:bidi="zh-CN"/>
      </w:rPr>
    </w:lvl>
    <w:lvl w:ilvl="6">
      <w:start w:val="0"/>
      <w:numFmt w:val="bullet"/>
      <w:lvlText w:val="•"/>
      <w:lvlJc w:val="left"/>
      <w:pPr>
        <w:ind w:left="8000" w:hanging="481"/>
      </w:pPr>
      <w:rPr>
        <w:rFonts w:hint="default"/>
        <w:lang w:val="zh-CN" w:eastAsia="zh-CN" w:bidi="zh-CN"/>
      </w:rPr>
    </w:lvl>
    <w:lvl w:ilvl="7">
      <w:start w:val="0"/>
      <w:numFmt w:val="bullet"/>
      <w:lvlText w:val="•"/>
      <w:lvlJc w:val="left"/>
      <w:pPr>
        <w:ind w:left="9060" w:hanging="481"/>
      </w:pPr>
      <w:rPr>
        <w:rFonts w:hint="default"/>
        <w:lang w:val="zh-CN" w:eastAsia="zh-CN" w:bidi="zh-CN"/>
      </w:rPr>
    </w:lvl>
    <w:lvl w:ilvl="8">
      <w:start w:val="0"/>
      <w:numFmt w:val="bullet"/>
      <w:lvlText w:val="•"/>
      <w:lvlJc w:val="left"/>
      <w:pPr>
        <w:ind w:left="10120" w:hanging="481"/>
      </w:pPr>
      <w:rPr>
        <w:rFonts w:hint="default"/>
        <w:lang w:val="zh-CN" w:eastAsia="zh-CN" w:bidi="zh-CN"/>
      </w:rPr>
    </w:lvl>
  </w:abstractNum>
  <w:abstractNum w:abstractNumId="2">
    <w:nsid w:val="5B27D5F1"/>
    <w:multiLevelType w:val="hybridMultilevel"/>
    <w:tmpl w:val="00000000"/>
    <w:lvl w:ilvl="0">
      <w:start w:val="1"/>
      <w:numFmt w:val="decimal"/>
      <w:lvlText w:val="%1."/>
      <w:lvlJc w:val="left"/>
      <w:pPr>
        <w:ind w:left="1511" w:hanging="360"/>
        <w:jc w:val="left"/>
      </w:pPr>
      <w:rPr>
        <w:rFonts w:ascii="Calibri" w:eastAsia="Calibri" w:hAnsi="Calibri" w:cs="Calibri" w:hint="default"/>
        <w:color w:val="262626"/>
        <w:spacing w:val="-53"/>
        <w:w w:val="100"/>
        <w:sz w:val="21"/>
        <w:szCs w:val="21"/>
        <w:lang w:val="zh-CN" w:eastAsia="zh-CN" w:bidi="zh-CN"/>
      </w:rPr>
    </w:lvl>
    <w:lvl w:ilvl="1">
      <w:start w:val="0"/>
      <w:numFmt w:val="bullet"/>
      <w:lvlText w:val="•"/>
      <w:lvlJc w:val="left"/>
      <w:pPr>
        <w:ind w:left="2592" w:hanging="360"/>
      </w:pPr>
      <w:rPr>
        <w:rFonts w:hint="default"/>
        <w:lang w:val="zh-CN" w:eastAsia="zh-CN" w:bidi="zh-CN"/>
      </w:rPr>
    </w:lvl>
    <w:lvl w:ilvl="2">
      <w:start w:val="0"/>
      <w:numFmt w:val="bullet"/>
      <w:lvlText w:val="•"/>
      <w:lvlJc w:val="left"/>
      <w:pPr>
        <w:ind w:left="3664" w:hanging="360"/>
      </w:pPr>
      <w:rPr>
        <w:rFonts w:hint="default"/>
        <w:lang w:val="zh-CN" w:eastAsia="zh-CN" w:bidi="zh-CN"/>
      </w:rPr>
    </w:lvl>
    <w:lvl w:ilvl="3">
      <w:start w:val="0"/>
      <w:numFmt w:val="bullet"/>
      <w:lvlText w:val="•"/>
      <w:lvlJc w:val="left"/>
      <w:pPr>
        <w:ind w:left="4736" w:hanging="360"/>
      </w:pPr>
      <w:rPr>
        <w:rFonts w:hint="default"/>
        <w:lang w:val="zh-CN" w:eastAsia="zh-CN" w:bidi="zh-CN"/>
      </w:rPr>
    </w:lvl>
    <w:lvl w:ilvl="4">
      <w:start w:val="0"/>
      <w:numFmt w:val="bullet"/>
      <w:lvlText w:val="•"/>
      <w:lvlJc w:val="left"/>
      <w:pPr>
        <w:ind w:left="5808" w:hanging="360"/>
      </w:pPr>
      <w:rPr>
        <w:rFonts w:hint="default"/>
        <w:lang w:val="zh-CN" w:eastAsia="zh-CN" w:bidi="zh-CN"/>
      </w:rPr>
    </w:lvl>
    <w:lvl w:ilvl="5">
      <w:start w:val="0"/>
      <w:numFmt w:val="bullet"/>
      <w:lvlText w:val="•"/>
      <w:lvlJc w:val="left"/>
      <w:pPr>
        <w:ind w:left="6880" w:hanging="360"/>
      </w:pPr>
      <w:rPr>
        <w:rFonts w:hint="default"/>
        <w:lang w:val="zh-CN" w:eastAsia="zh-CN" w:bidi="zh-CN"/>
      </w:rPr>
    </w:lvl>
    <w:lvl w:ilvl="6">
      <w:start w:val="0"/>
      <w:numFmt w:val="bullet"/>
      <w:lvlText w:val="•"/>
      <w:lvlJc w:val="left"/>
      <w:pPr>
        <w:ind w:left="7952" w:hanging="360"/>
      </w:pPr>
      <w:rPr>
        <w:rFonts w:hint="default"/>
        <w:lang w:val="zh-CN" w:eastAsia="zh-CN" w:bidi="zh-CN"/>
      </w:rPr>
    </w:lvl>
    <w:lvl w:ilvl="7">
      <w:start w:val="0"/>
      <w:numFmt w:val="bullet"/>
      <w:lvlText w:val="•"/>
      <w:lvlJc w:val="left"/>
      <w:pPr>
        <w:ind w:left="9024" w:hanging="360"/>
      </w:pPr>
      <w:rPr>
        <w:rFonts w:hint="default"/>
        <w:lang w:val="zh-CN" w:eastAsia="zh-CN" w:bidi="zh-CN"/>
      </w:rPr>
    </w:lvl>
    <w:lvl w:ilvl="8">
      <w:start w:val="0"/>
      <w:numFmt w:val="bullet"/>
      <w:lvlText w:val="•"/>
      <w:lvlJc w:val="left"/>
      <w:pPr>
        <w:ind w:left="10096" w:hanging="360"/>
      </w:pPr>
      <w:rPr>
        <w:rFonts w:hint="default"/>
        <w:lang w:val="zh-CN" w:eastAsia="zh-CN" w:bidi="zh-CN"/>
      </w:rPr>
    </w:lvl>
  </w:abstractNum>
  <w:abstractNum w:abstractNumId="3">
    <w:nsid w:val="7E936185"/>
    <w:multiLevelType w:val="hybridMultilevel"/>
    <w:tmpl w:val="00000000"/>
    <w:lvl w:ilvl="0">
      <w:start w:val="1"/>
      <w:numFmt w:val="decimal"/>
      <w:lvlText w:val="(%1)"/>
      <w:lvlJc w:val="left"/>
      <w:pPr>
        <w:ind w:left="1510" w:hanging="360"/>
        <w:jc w:val="left"/>
      </w:pPr>
      <w:rPr>
        <w:rFonts w:ascii="Calibri" w:eastAsia="Calibri" w:hAnsi="Calibri" w:cs="Calibri" w:hint="default"/>
        <w:b/>
        <w:bCs/>
        <w:spacing w:val="-20"/>
        <w:w w:val="100"/>
        <w:sz w:val="21"/>
        <w:szCs w:val="21"/>
        <w:lang w:val="zh-CN" w:eastAsia="zh-CN" w:bidi="zh-CN"/>
      </w:rPr>
    </w:lvl>
    <w:lvl w:ilvl="1">
      <w:start w:val="0"/>
      <w:numFmt w:val="bullet"/>
      <w:lvlText w:val="•"/>
      <w:lvlJc w:val="left"/>
      <w:pPr>
        <w:ind w:left="2592" w:hanging="360"/>
      </w:pPr>
      <w:rPr>
        <w:rFonts w:hint="default"/>
        <w:lang w:val="zh-CN" w:eastAsia="zh-CN" w:bidi="zh-CN"/>
      </w:rPr>
    </w:lvl>
    <w:lvl w:ilvl="2">
      <w:start w:val="0"/>
      <w:numFmt w:val="bullet"/>
      <w:lvlText w:val="•"/>
      <w:lvlJc w:val="left"/>
      <w:pPr>
        <w:ind w:left="3664" w:hanging="360"/>
      </w:pPr>
      <w:rPr>
        <w:rFonts w:hint="default"/>
        <w:lang w:val="zh-CN" w:eastAsia="zh-CN" w:bidi="zh-CN"/>
      </w:rPr>
    </w:lvl>
    <w:lvl w:ilvl="3">
      <w:start w:val="0"/>
      <w:numFmt w:val="bullet"/>
      <w:lvlText w:val="•"/>
      <w:lvlJc w:val="left"/>
      <w:pPr>
        <w:ind w:left="4736" w:hanging="360"/>
      </w:pPr>
      <w:rPr>
        <w:rFonts w:hint="default"/>
        <w:lang w:val="zh-CN" w:eastAsia="zh-CN" w:bidi="zh-CN"/>
      </w:rPr>
    </w:lvl>
    <w:lvl w:ilvl="4">
      <w:start w:val="0"/>
      <w:numFmt w:val="bullet"/>
      <w:lvlText w:val="•"/>
      <w:lvlJc w:val="left"/>
      <w:pPr>
        <w:ind w:left="5808" w:hanging="360"/>
      </w:pPr>
      <w:rPr>
        <w:rFonts w:hint="default"/>
        <w:lang w:val="zh-CN" w:eastAsia="zh-CN" w:bidi="zh-CN"/>
      </w:rPr>
    </w:lvl>
    <w:lvl w:ilvl="5">
      <w:start w:val="0"/>
      <w:numFmt w:val="bullet"/>
      <w:lvlText w:val="•"/>
      <w:lvlJc w:val="left"/>
      <w:pPr>
        <w:ind w:left="6880" w:hanging="360"/>
      </w:pPr>
      <w:rPr>
        <w:rFonts w:hint="default"/>
        <w:lang w:val="zh-CN" w:eastAsia="zh-CN" w:bidi="zh-CN"/>
      </w:rPr>
    </w:lvl>
    <w:lvl w:ilvl="6">
      <w:start w:val="0"/>
      <w:numFmt w:val="bullet"/>
      <w:lvlText w:val="•"/>
      <w:lvlJc w:val="left"/>
      <w:pPr>
        <w:ind w:left="7952" w:hanging="360"/>
      </w:pPr>
      <w:rPr>
        <w:rFonts w:hint="default"/>
        <w:lang w:val="zh-CN" w:eastAsia="zh-CN" w:bidi="zh-CN"/>
      </w:rPr>
    </w:lvl>
    <w:lvl w:ilvl="7">
      <w:start w:val="0"/>
      <w:numFmt w:val="bullet"/>
      <w:lvlText w:val="•"/>
      <w:lvlJc w:val="left"/>
      <w:pPr>
        <w:ind w:left="9024" w:hanging="360"/>
      </w:pPr>
      <w:rPr>
        <w:rFonts w:hint="default"/>
        <w:lang w:val="zh-CN" w:eastAsia="zh-CN" w:bidi="zh-CN"/>
      </w:rPr>
    </w:lvl>
    <w:lvl w:ilvl="8">
      <w:start w:val="0"/>
      <w:numFmt w:val="bullet"/>
      <w:lvlText w:val="•"/>
      <w:lvlJc w:val="left"/>
      <w:pPr>
        <w:ind w:left="10096" w:hanging="360"/>
      </w:pPr>
      <w:rPr>
        <w:rFonts w:hint="default"/>
        <w:lang w:val="zh-CN" w:eastAsia="zh-CN" w:bidi="zh-CN"/>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ind w:left="1151"/>
      <w:outlineLvl w:val="0"/>
    </w:pPr>
    <w:rPr>
      <w:rFonts w:ascii="Microsoft JhengHei" w:eastAsia="Microsoft JhengHei" w:hAnsi="Microsoft JhengHei" w:cs="Microsoft JhengHei"/>
      <w:b/>
      <w:bCs/>
      <w:sz w:val="32"/>
      <w:szCs w:val="32"/>
      <w:lang w:val="zh-CN" w:eastAsia="zh-CN" w:bidi="zh-CN"/>
    </w:rPr>
  </w:style>
  <w:style w:type="paragraph" w:styleId="Heading2">
    <w:name w:val="heading 2"/>
    <w:basedOn w:val="Normal"/>
    <w:uiPriority w:val="1"/>
    <w:qFormat/>
    <w:pPr>
      <w:spacing w:line="415" w:lineRule="exact"/>
      <w:ind w:left="1151"/>
      <w:outlineLvl w:val="1"/>
    </w:pPr>
    <w:rPr>
      <w:rFonts w:ascii="Microsoft JhengHei" w:eastAsia="Microsoft JhengHei" w:hAnsi="Microsoft JhengHei" w:cs="Microsoft JhengHei"/>
      <w:b/>
      <w:bCs/>
      <w:sz w:val="24"/>
      <w:szCs w:val="24"/>
      <w:lang w:val="zh-CN" w:eastAsia="zh-CN" w:bidi="zh-CN"/>
    </w:rPr>
  </w:style>
  <w:style w:type="paragraph" w:styleId="Heading3">
    <w:name w:val="heading 3"/>
    <w:basedOn w:val="Normal"/>
    <w:uiPriority w:val="1"/>
    <w:qFormat/>
    <w:pPr>
      <w:ind w:left="1151"/>
      <w:outlineLvl w:val="2"/>
    </w:pPr>
    <w:rPr>
      <w:rFonts w:ascii="Microsoft JhengHei" w:eastAsia="Microsoft JhengHei" w:hAnsi="Microsoft JhengHei" w:cs="Microsoft JhengHei"/>
      <w:b/>
      <w:bCs/>
      <w:sz w:val="22"/>
      <w:szCs w:val="22"/>
      <w:lang w:val="zh-CN" w:eastAsia="zh-CN" w:bidi="zh-CN"/>
    </w:rPr>
  </w:style>
  <w:style w:type="paragraph" w:styleId="Heading4">
    <w:name w:val="heading 4"/>
    <w:basedOn w:val="Normal"/>
    <w:uiPriority w:val="1"/>
    <w:qFormat/>
    <w:pPr>
      <w:spacing w:before="102"/>
      <w:ind w:left="1151"/>
      <w:outlineLvl w:val="3"/>
    </w:pPr>
    <w:rPr>
      <w:rFonts w:ascii="Microsoft JhengHei" w:eastAsia="Microsoft JhengHei" w:hAnsi="Microsoft JhengHei" w:cs="Microsoft JhengHei"/>
      <w:b/>
      <w:bCs/>
      <w:sz w:val="21"/>
      <w:szCs w:val="21"/>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427" w:lineRule="exact"/>
      <w:ind w:left="1161"/>
    </w:pPr>
    <w:rPr>
      <w:rFonts w:ascii="Microsoft JhengHei" w:eastAsia="Microsoft JhengHei" w:hAnsi="Microsoft JhengHei" w:cs="Microsoft JhengHei"/>
      <w:b/>
      <w:bCs/>
      <w:sz w:val="24"/>
      <w:szCs w:val="24"/>
      <w:lang w:val="zh-CN" w:eastAsia="zh-CN" w:bidi="zh-CN"/>
    </w:rPr>
  </w:style>
  <w:style w:type="paragraph" w:styleId="TOC2">
    <w:name w:val="toc 2"/>
    <w:basedOn w:val="Normal"/>
    <w:uiPriority w:val="1"/>
    <w:qFormat/>
    <w:pPr>
      <w:spacing w:before="103"/>
      <w:ind w:left="1161"/>
    </w:pPr>
    <w:rPr>
      <w:rFonts w:ascii="宋体" w:eastAsia="宋体" w:hAnsi="宋体" w:cs="宋体"/>
      <w:sz w:val="18"/>
      <w:szCs w:val="18"/>
      <w:lang w:val="zh-CN" w:eastAsia="zh-CN" w:bidi="zh-CN"/>
    </w:rPr>
  </w:style>
  <w:style w:type="paragraph" w:styleId="TOC3">
    <w:name w:val="toc 3"/>
    <w:basedOn w:val="Normal"/>
    <w:uiPriority w:val="1"/>
    <w:qFormat/>
    <w:pPr>
      <w:spacing w:before="5" w:line="439" w:lineRule="exact"/>
      <w:ind w:left="1160"/>
    </w:pPr>
    <w:rPr>
      <w:rFonts w:ascii="Malgun Gothic" w:eastAsia="Malgun Gothic" w:hAnsi="Malgun Gothic" w:cs="Malgun Gothic"/>
      <w:b/>
      <w:bCs/>
      <w:i/>
      <w:lang w:val="zh-CN" w:eastAsia="zh-CN" w:bidi="zh-CN"/>
    </w:r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ListParagraph">
    <w:name w:val="List Paragraph"/>
    <w:basedOn w:val="Normal"/>
    <w:uiPriority w:val="1"/>
    <w:qFormat/>
    <w:pPr>
      <w:spacing w:before="101"/>
      <w:ind w:left="1510" w:hanging="360"/>
    </w:pPr>
    <w:rPr>
      <w:rFonts w:ascii="宋体" w:eastAsia="宋体" w:hAnsi="宋体" w:cs="宋体"/>
      <w:lang w:val="zh-CN" w:eastAsia="zh-CN" w:bidi="zh-CN"/>
    </w:rPr>
  </w:style>
  <w:style w:type="paragraph" w:customStyle="1" w:styleId="TableParagraph">
    <w:name w:val="Table Paragraph"/>
    <w:basedOn w:val="Normal"/>
    <w:uiPriority w:val="1"/>
    <w:qFormat/>
    <w:pPr>
      <w:jc w:val="right"/>
    </w:pPr>
    <w:rPr>
      <w:rFonts w:ascii="Arial Narrow" w:eastAsia="Arial Narrow" w:hAnsi="Arial Narrow" w:cs="Arial Narrow"/>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38.xml" /><Relationship Id="rId101" Type="http://schemas.openxmlformats.org/officeDocument/2006/relationships/footer" Target="footer38.xml" /><Relationship Id="rId102" Type="http://schemas.openxmlformats.org/officeDocument/2006/relationships/image" Target="media/image21.png" /><Relationship Id="rId103" Type="http://schemas.openxmlformats.org/officeDocument/2006/relationships/image" Target="media/image22.png" /><Relationship Id="rId104" Type="http://schemas.openxmlformats.org/officeDocument/2006/relationships/image" Target="media/image23.png" /><Relationship Id="rId105" Type="http://schemas.openxmlformats.org/officeDocument/2006/relationships/image" Target="media/image24.png" /><Relationship Id="rId106" Type="http://schemas.openxmlformats.org/officeDocument/2006/relationships/image" Target="media/image25.png" /><Relationship Id="rId107" Type="http://schemas.openxmlformats.org/officeDocument/2006/relationships/image" Target="media/image26.png" /><Relationship Id="rId108" Type="http://schemas.openxmlformats.org/officeDocument/2006/relationships/image" Target="media/image27.png" /><Relationship Id="rId109" Type="http://schemas.openxmlformats.org/officeDocument/2006/relationships/image" Target="media/image28.png" /><Relationship Id="rId11" Type="http://schemas.openxmlformats.org/officeDocument/2006/relationships/header" Target="header4.xml" /><Relationship Id="rId110" Type="http://schemas.openxmlformats.org/officeDocument/2006/relationships/image" Target="media/image29.png" /><Relationship Id="rId111" Type="http://schemas.openxmlformats.org/officeDocument/2006/relationships/image" Target="media/image30.png" /><Relationship Id="rId112" Type="http://schemas.openxmlformats.org/officeDocument/2006/relationships/image" Target="media/image31.png" /><Relationship Id="rId113" Type="http://schemas.openxmlformats.org/officeDocument/2006/relationships/image" Target="media/image32.png" /><Relationship Id="rId114" Type="http://schemas.openxmlformats.org/officeDocument/2006/relationships/image" Target="media/image33.png" /><Relationship Id="rId115" Type="http://schemas.openxmlformats.org/officeDocument/2006/relationships/image" Target="media/image34.png" /><Relationship Id="rId116" Type="http://schemas.openxmlformats.org/officeDocument/2006/relationships/image" Target="media/image35.png" /><Relationship Id="rId117" Type="http://schemas.openxmlformats.org/officeDocument/2006/relationships/image" Target="media/image36.png" /><Relationship Id="rId118" Type="http://schemas.openxmlformats.org/officeDocument/2006/relationships/image" Target="media/image37.png" /><Relationship Id="rId119" Type="http://schemas.openxmlformats.org/officeDocument/2006/relationships/image" Target="media/image38.png" /><Relationship Id="rId12" Type="http://schemas.openxmlformats.org/officeDocument/2006/relationships/footer" Target="footer4.xml" /><Relationship Id="rId120" Type="http://schemas.openxmlformats.org/officeDocument/2006/relationships/header" Target="header39.xml" /><Relationship Id="rId121" Type="http://schemas.openxmlformats.org/officeDocument/2006/relationships/footer" Target="footer39.xml" /><Relationship Id="rId122" Type="http://schemas.openxmlformats.org/officeDocument/2006/relationships/header" Target="header40.xml" /><Relationship Id="rId123" Type="http://schemas.openxmlformats.org/officeDocument/2006/relationships/footer" Target="footer40.xml" /><Relationship Id="rId124" Type="http://schemas.openxmlformats.org/officeDocument/2006/relationships/header" Target="header41.xml" /><Relationship Id="rId125" Type="http://schemas.openxmlformats.org/officeDocument/2006/relationships/footer" Target="footer41.xml" /><Relationship Id="rId126" Type="http://schemas.openxmlformats.org/officeDocument/2006/relationships/header" Target="header42.xml" /><Relationship Id="rId127" Type="http://schemas.openxmlformats.org/officeDocument/2006/relationships/footer" Target="footer42.xml" /><Relationship Id="rId128" Type="http://schemas.openxmlformats.org/officeDocument/2006/relationships/header" Target="header43.xml" /><Relationship Id="rId129" Type="http://schemas.openxmlformats.org/officeDocument/2006/relationships/footer" Target="footer43.xml" /><Relationship Id="rId13" Type="http://schemas.openxmlformats.org/officeDocument/2006/relationships/header" Target="header5.xml" /><Relationship Id="rId130" Type="http://schemas.openxmlformats.org/officeDocument/2006/relationships/header" Target="header44.xml" /><Relationship Id="rId131" Type="http://schemas.openxmlformats.org/officeDocument/2006/relationships/footer" Target="footer44.xml" /><Relationship Id="rId132" Type="http://schemas.openxmlformats.org/officeDocument/2006/relationships/header" Target="header45.xml" /><Relationship Id="rId133" Type="http://schemas.openxmlformats.org/officeDocument/2006/relationships/footer" Target="footer45.xml" /><Relationship Id="rId134" Type="http://schemas.openxmlformats.org/officeDocument/2006/relationships/header" Target="header46.xml" /><Relationship Id="rId135" Type="http://schemas.openxmlformats.org/officeDocument/2006/relationships/footer" Target="footer46.xml" /><Relationship Id="rId136" Type="http://schemas.openxmlformats.org/officeDocument/2006/relationships/image" Target="media/image39.png" /><Relationship Id="rId137" Type="http://schemas.openxmlformats.org/officeDocument/2006/relationships/header" Target="header47.xml" /><Relationship Id="rId138" Type="http://schemas.openxmlformats.org/officeDocument/2006/relationships/footer" Target="footer47.xml" /><Relationship Id="rId139" Type="http://schemas.openxmlformats.org/officeDocument/2006/relationships/header" Target="header48.xml" /><Relationship Id="rId14" Type="http://schemas.openxmlformats.org/officeDocument/2006/relationships/footer" Target="footer5.xml" /><Relationship Id="rId140" Type="http://schemas.openxmlformats.org/officeDocument/2006/relationships/footer" Target="footer48.xml" /><Relationship Id="rId141" Type="http://schemas.openxmlformats.org/officeDocument/2006/relationships/image" Target="media/image40.jpeg" /><Relationship Id="rId142" Type="http://schemas.openxmlformats.org/officeDocument/2006/relationships/header" Target="header49.xml" /><Relationship Id="rId143" Type="http://schemas.openxmlformats.org/officeDocument/2006/relationships/footer" Target="footer49.xml" /><Relationship Id="rId144" Type="http://schemas.openxmlformats.org/officeDocument/2006/relationships/header" Target="header50.xml" /><Relationship Id="rId145" Type="http://schemas.openxmlformats.org/officeDocument/2006/relationships/footer" Target="footer50.xml" /><Relationship Id="rId146" Type="http://schemas.openxmlformats.org/officeDocument/2006/relationships/header" Target="header51.xml" /><Relationship Id="rId147" Type="http://schemas.openxmlformats.org/officeDocument/2006/relationships/footer" Target="footer51.xml" /><Relationship Id="rId148" Type="http://schemas.openxmlformats.org/officeDocument/2006/relationships/header" Target="header52.xml" /><Relationship Id="rId149" Type="http://schemas.openxmlformats.org/officeDocument/2006/relationships/footer" Target="footer52.xml" /><Relationship Id="rId15" Type="http://schemas.openxmlformats.org/officeDocument/2006/relationships/image" Target="media/image2.png" /><Relationship Id="rId150" Type="http://schemas.openxmlformats.org/officeDocument/2006/relationships/header" Target="header53.xml" /><Relationship Id="rId151" Type="http://schemas.openxmlformats.org/officeDocument/2006/relationships/footer" Target="footer53.xml" /><Relationship Id="rId152" Type="http://schemas.openxmlformats.org/officeDocument/2006/relationships/header" Target="header54.xml" /><Relationship Id="rId153" Type="http://schemas.openxmlformats.org/officeDocument/2006/relationships/footer" Target="footer54.xml" /><Relationship Id="rId154" Type="http://schemas.openxmlformats.org/officeDocument/2006/relationships/header" Target="header55.xml" /><Relationship Id="rId155" Type="http://schemas.openxmlformats.org/officeDocument/2006/relationships/footer" Target="footer55.xml" /><Relationship Id="rId156" Type="http://schemas.openxmlformats.org/officeDocument/2006/relationships/header" Target="header56.xml" /><Relationship Id="rId157" Type="http://schemas.openxmlformats.org/officeDocument/2006/relationships/footer" Target="footer56.xml" /><Relationship Id="rId158" Type="http://schemas.openxmlformats.org/officeDocument/2006/relationships/header" Target="header57.xml" /><Relationship Id="rId159" Type="http://schemas.openxmlformats.org/officeDocument/2006/relationships/footer" Target="footer57.xml" /><Relationship Id="rId16" Type="http://schemas.openxmlformats.org/officeDocument/2006/relationships/hyperlink" Target="mailto:bob.wen@bocomgroup.com" TargetMode="External" /><Relationship Id="rId160" Type="http://schemas.openxmlformats.org/officeDocument/2006/relationships/header" Target="header58.xml" /><Relationship Id="rId161" Type="http://schemas.openxmlformats.org/officeDocument/2006/relationships/footer" Target="footer58.xml" /><Relationship Id="rId162" Type="http://schemas.openxmlformats.org/officeDocument/2006/relationships/header" Target="header59.xml" /><Relationship Id="rId163" Type="http://schemas.openxmlformats.org/officeDocument/2006/relationships/footer" Target="footer59.xml" /><Relationship Id="rId164" Type="http://schemas.openxmlformats.org/officeDocument/2006/relationships/header" Target="header60.xml" /><Relationship Id="rId165" Type="http://schemas.openxmlformats.org/officeDocument/2006/relationships/footer" Target="footer60.xml" /><Relationship Id="rId166" Type="http://schemas.openxmlformats.org/officeDocument/2006/relationships/header" Target="header61.xml" /><Relationship Id="rId167" Type="http://schemas.openxmlformats.org/officeDocument/2006/relationships/footer" Target="footer61.xml" /><Relationship Id="rId168" Type="http://schemas.openxmlformats.org/officeDocument/2006/relationships/header" Target="header62.xml" /><Relationship Id="rId169" Type="http://schemas.openxmlformats.org/officeDocument/2006/relationships/footer" Target="footer62.xml" /><Relationship Id="rId17" Type="http://schemas.openxmlformats.org/officeDocument/2006/relationships/hyperlink" Target="mailto:wallace.cheng@bocomgroup.com" TargetMode="External" /><Relationship Id="rId170" Type="http://schemas.openxmlformats.org/officeDocument/2006/relationships/header" Target="header63.xml" /><Relationship Id="rId171" Type="http://schemas.openxmlformats.org/officeDocument/2006/relationships/footer" Target="footer63.xml" /><Relationship Id="rId172" Type="http://schemas.openxmlformats.org/officeDocument/2006/relationships/header" Target="header64.xml" /><Relationship Id="rId173" Type="http://schemas.openxmlformats.org/officeDocument/2006/relationships/footer" Target="footer64.xml" /><Relationship Id="rId174" Type="http://schemas.openxmlformats.org/officeDocument/2006/relationships/header" Target="header65.xml" /><Relationship Id="rId175" Type="http://schemas.openxmlformats.org/officeDocument/2006/relationships/footer" Target="footer65.xml" /><Relationship Id="rId176" Type="http://schemas.openxmlformats.org/officeDocument/2006/relationships/header" Target="header66.xml" /><Relationship Id="rId177" Type="http://schemas.openxmlformats.org/officeDocument/2006/relationships/footer" Target="footer66.xml" /><Relationship Id="rId178" Type="http://schemas.openxmlformats.org/officeDocument/2006/relationships/header" Target="header67.xml" /><Relationship Id="rId179" Type="http://schemas.openxmlformats.org/officeDocument/2006/relationships/footer" Target="footer67.xml" /><Relationship Id="rId18" Type="http://schemas.openxmlformats.org/officeDocument/2006/relationships/header" Target="header6.xml" /><Relationship Id="rId180" Type="http://schemas.openxmlformats.org/officeDocument/2006/relationships/header" Target="header68.xml" /><Relationship Id="rId181" Type="http://schemas.openxmlformats.org/officeDocument/2006/relationships/footer" Target="footer68.xml" /><Relationship Id="rId182" Type="http://schemas.openxmlformats.org/officeDocument/2006/relationships/image" Target="media/image41.jpeg" /><Relationship Id="rId183" Type="http://schemas.openxmlformats.org/officeDocument/2006/relationships/header" Target="header69.xml" /><Relationship Id="rId184" Type="http://schemas.openxmlformats.org/officeDocument/2006/relationships/footer" Target="footer69.xml" /><Relationship Id="rId185" Type="http://schemas.openxmlformats.org/officeDocument/2006/relationships/image" Target="media/image42.png" /><Relationship Id="rId186" Type="http://schemas.openxmlformats.org/officeDocument/2006/relationships/header" Target="header70.xml" /><Relationship Id="rId187" Type="http://schemas.openxmlformats.org/officeDocument/2006/relationships/footer" Target="footer70.xml" /><Relationship Id="rId188" Type="http://schemas.openxmlformats.org/officeDocument/2006/relationships/header" Target="header71.xml" /><Relationship Id="rId189" Type="http://schemas.openxmlformats.org/officeDocument/2006/relationships/footer" Target="footer71.xml" /><Relationship Id="rId19" Type="http://schemas.openxmlformats.org/officeDocument/2006/relationships/footer" Target="footer6.xml" /><Relationship Id="rId190" Type="http://schemas.openxmlformats.org/officeDocument/2006/relationships/header" Target="header72.xml" /><Relationship Id="rId191" Type="http://schemas.openxmlformats.org/officeDocument/2006/relationships/footer" Target="footer72.xml" /><Relationship Id="rId192" Type="http://schemas.openxmlformats.org/officeDocument/2006/relationships/image" Target="media/image43.jpeg" /><Relationship Id="rId193" Type="http://schemas.openxmlformats.org/officeDocument/2006/relationships/image" Target="media/image44.jpeg" /><Relationship Id="rId194" Type="http://schemas.openxmlformats.org/officeDocument/2006/relationships/image" Target="media/image45.jpeg" /><Relationship Id="rId195" Type="http://schemas.openxmlformats.org/officeDocument/2006/relationships/image" Target="media/image46.jpeg" /><Relationship Id="rId196" Type="http://schemas.openxmlformats.org/officeDocument/2006/relationships/header" Target="header73.xml" /><Relationship Id="rId197" Type="http://schemas.openxmlformats.org/officeDocument/2006/relationships/footer" Target="footer73.xml" /><Relationship Id="rId198" Type="http://schemas.openxmlformats.org/officeDocument/2006/relationships/header" Target="header74.xml" /><Relationship Id="rId199" Type="http://schemas.openxmlformats.org/officeDocument/2006/relationships/footer" Target="footer74.xml" /><Relationship Id="rId2" Type="http://schemas.openxmlformats.org/officeDocument/2006/relationships/webSettings" Target="webSettings.xml" /><Relationship Id="rId20" Type="http://schemas.openxmlformats.org/officeDocument/2006/relationships/header" Target="header7.xml" /><Relationship Id="rId200" Type="http://schemas.openxmlformats.org/officeDocument/2006/relationships/header" Target="header75.xml" /><Relationship Id="rId201" Type="http://schemas.openxmlformats.org/officeDocument/2006/relationships/footer" Target="footer75.xml" /><Relationship Id="rId202" Type="http://schemas.openxmlformats.org/officeDocument/2006/relationships/header" Target="header76.xml" /><Relationship Id="rId203" Type="http://schemas.openxmlformats.org/officeDocument/2006/relationships/footer" Target="footer76.xml" /><Relationship Id="rId204" Type="http://schemas.openxmlformats.org/officeDocument/2006/relationships/header" Target="header77.xml" /><Relationship Id="rId205" Type="http://schemas.openxmlformats.org/officeDocument/2006/relationships/footer" Target="footer77.xml" /><Relationship Id="rId206" Type="http://schemas.openxmlformats.org/officeDocument/2006/relationships/header" Target="header78.xml" /><Relationship Id="rId207" Type="http://schemas.openxmlformats.org/officeDocument/2006/relationships/footer" Target="footer78.xml" /><Relationship Id="rId208" Type="http://schemas.openxmlformats.org/officeDocument/2006/relationships/header" Target="header79.xml" /><Relationship Id="rId209" Type="http://schemas.openxmlformats.org/officeDocument/2006/relationships/footer" Target="footer79.xml" /><Relationship Id="rId21" Type="http://schemas.openxmlformats.org/officeDocument/2006/relationships/footer" Target="footer7.xml" /><Relationship Id="rId210" Type="http://schemas.openxmlformats.org/officeDocument/2006/relationships/header" Target="header80.xml" /><Relationship Id="rId211" Type="http://schemas.openxmlformats.org/officeDocument/2006/relationships/footer" Target="footer80.xml" /><Relationship Id="rId212" Type="http://schemas.openxmlformats.org/officeDocument/2006/relationships/header" Target="header81.xml" /><Relationship Id="rId213" Type="http://schemas.openxmlformats.org/officeDocument/2006/relationships/footer" Target="footer81.xml" /><Relationship Id="rId214" Type="http://schemas.openxmlformats.org/officeDocument/2006/relationships/header" Target="header82.xml" /><Relationship Id="rId215" Type="http://schemas.openxmlformats.org/officeDocument/2006/relationships/footer" Target="footer82.xml" /><Relationship Id="rId216" Type="http://schemas.openxmlformats.org/officeDocument/2006/relationships/header" Target="header83.xml" /><Relationship Id="rId217" Type="http://schemas.openxmlformats.org/officeDocument/2006/relationships/footer" Target="footer83.xml" /><Relationship Id="rId218" Type="http://schemas.openxmlformats.org/officeDocument/2006/relationships/header" Target="header84.xml" /><Relationship Id="rId219" Type="http://schemas.openxmlformats.org/officeDocument/2006/relationships/footer" Target="footer84.xml" /><Relationship Id="rId22" Type="http://schemas.openxmlformats.org/officeDocument/2006/relationships/header" Target="header8.xml" /><Relationship Id="rId220" Type="http://schemas.openxmlformats.org/officeDocument/2006/relationships/header" Target="header85.xml" /><Relationship Id="rId221" Type="http://schemas.openxmlformats.org/officeDocument/2006/relationships/footer" Target="footer85.xml" /><Relationship Id="rId222" Type="http://schemas.openxmlformats.org/officeDocument/2006/relationships/header" Target="header86.xml" /><Relationship Id="rId223" Type="http://schemas.openxmlformats.org/officeDocument/2006/relationships/footer" Target="footer86.xml" /><Relationship Id="rId224" Type="http://schemas.openxmlformats.org/officeDocument/2006/relationships/image" Target="media/image47.jpeg" /><Relationship Id="rId225" Type="http://schemas.openxmlformats.org/officeDocument/2006/relationships/image" Target="media/image48.jpeg" /><Relationship Id="rId226" Type="http://schemas.openxmlformats.org/officeDocument/2006/relationships/image" Target="media/image49.jpeg" /><Relationship Id="rId227" Type="http://schemas.openxmlformats.org/officeDocument/2006/relationships/image" Target="media/image50.jpeg" /><Relationship Id="rId228" Type="http://schemas.openxmlformats.org/officeDocument/2006/relationships/image" Target="media/image51.png" /><Relationship Id="rId229" Type="http://schemas.openxmlformats.org/officeDocument/2006/relationships/header" Target="header87.xml" /><Relationship Id="rId23" Type="http://schemas.openxmlformats.org/officeDocument/2006/relationships/footer" Target="footer8.xml" /><Relationship Id="rId230" Type="http://schemas.openxmlformats.org/officeDocument/2006/relationships/footer" Target="footer87.xml" /><Relationship Id="rId231" Type="http://schemas.openxmlformats.org/officeDocument/2006/relationships/header" Target="header88.xml" /><Relationship Id="rId232" Type="http://schemas.openxmlformats.org/officeDocument/2006/relationships/footer" Target="footer88.xml" /><Relationship Id="rId233" Type="http://schemas.openxmlformats.org/officeDocument/2006/relationships/header" Target="header89.xml" /><Relationship Id="rId234" Type="http://schemas.openxmlformats.org/officeDocument/2006/relationships/footer" Target="footer89.xml" /><Relationship Id="rId235" Type="http://schemas.openxmlformats.org/officeDocument/2006/relationships/header" Target="header90.xml" /><Relationship Id="rId236" Type="http://schemas.openxmlformats.org/officeDocument/2006/relationships/footer" Target="footer90.xml" /><Relationship Id="rId237" Type="http://schemas.openxmlformats.org/officeDocument/2006/relationships/hyperlink" Target="https://d.book118.com/146201130043010103" TargetMode="External" /><Relationship Id="rId238" Type="http://schemas.openxmlformats.org/officeDocument/2006/relationships/header" Target="header91.xml" /><Relationship Id="rId239" Type="http://schemas.openxmlformats.org/officeDocument/2006/relationships/footer" Target="footer91.xml" /><Relationship Id="rId24" Type="http://schemas.openxmlformats.org/officeDocument/2006/relationships/header" Target="header9.xml" /><Relationship Id="rId240" Type="http://schemas.openxmlformats.org/officeDocument/2006/relationships/theme" Target="theme/theme1.xml" /><Relationship Id="rId241" Type="http://schemas.openxmlformats.org/officeDocument/2006/relationships/numbering" Target="numbering.xml" /><Relationship Id="rId242" Type="http://schemas.openxmlformats.org/officeDocument/2006/relationships/styles" Target="styles.xml" /><Relationship Id="rId25" Type="http://schemas.openxmlformats.org/officeDocument/2006/relationships/footer" Target="footer9.xml" /><Relationship Id="rId26" Type="http://schemas.openxmlformats.org/officeDocument/2006/relationships/image" Target="media/image3.png" /><Relationship Id="rId27" Type="http://schemas.openxmlformats.org/officeDocument/2006/relationships/image" Target="media/image4.png"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image" Target="media/image6.png"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image" Target="media/image1.jpeg"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image" Target="media/image7.jpeg"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image" Target="media/image8.jpeg" /><Relationship Id="rId46" Type="http://schemas.openxmlformats.org/officeDocument/2006/relationships/header" Target="header17.xml" /><Relationship Id="rId47" Type="http://schemas.openxmlformats.org/officeDocument/2006/relationships/footer" Target="footer17.xml" /><Relationship Id="rId48" Type="http://schemas.openxmlformats.org/officeDocument/2006/relationships/image" Target="media/image9.png" /><Relationship Id="rId49" Type="http://schemas.openxmlformats.org/officeDocument/2006/relationships/image" Target="media/image10.png" /><Relationship Id="rId5" Type="http://schemas.openxmlformats.org/officeDocument/2006/relationships/header" Target="header1.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image" Target="media/image11.png" /><Relationship Id="rId53" Type="http://schemas.openxmlformats.org/officeDocument/2006/relationships/image" Target="media/image12.png" /><Relationship Id="rId54" Type="http://schemas.openxmlformats.org/officeDocument/2006/relationships/image" Target="media/image13.png" /><Relationship Id="rId55" Type="http://schemas.openxmlformats.org/officeDocument/2006/relationships/image" Target="media/image14.png" /><Relationship Id="rId56" Type="http://schemas.openxmlformats.org/officeDocument/2006/relationships/header" Target="header19.xml" /><Relationship Id="rId57" Type="http://schemas.openxmlformats.org/officeDocument/2006/relationships/footer" Target="footer19.xml" /><Relationship Id="rId58" Type="http://schemas.openxmlformats.org/officeDocument/2006/relationships/header" Target="header20.xml" /><Relationship Id="rId59" Type="http://schemas.openxmlformats.org/officeDocument/2006/relationships/footer" Target="footer20.xml" /><Relationship Id="rId6" Type="http://schemas.openxmlformats.org/officeDocument/2006/relationships/footer" Target="footer1.xml"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header" Target="header22.xml" /><Relationship Id="rId63" Type="http://schemas.openxmlformats.org/officeDocument/2006/relationships/footer" Target="footer22.xml" /><Relationship Id="rId64" Type="http://schemas.openxmlformats.org/officeDocument/2006/relationships/header" Target="header23.xml" /><Relationship Id="rId65" Type="http://schemas.openxmlformats.org/officeDocument/2006/relationships/footer" Target="footer23.xml"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header" Target="header25.xml" /><Relationship Id="rId69" Type="http://schemas.openxmlformats.org/officeDocument/2006/relationships/footer" Target="footer25.xml" /><Relationship Id="rId7" Type="http://schemas.openxmlformats.org/officeDocument/2006/relationships/header" Target="header2.xml" /><Relationship Id="rId70" Type="http://schemas.openxmlformats.org/officeDocument/2006/relationships/header" Target="header26.xml" /><Relationship Id="rId71" Type="http://schemas.openxmlformats.org/officeDocument/2006/relationships/footer" Target="footer26.xml" /><Relationship Id="rId72" Type="http://schemas.openxmlformats.org/officeDocument/2006/relationships/header" Target="header27.xml" /><Relationship Id="rId73" Type="http://schemas.openxmlformats.org/officeDocument/2006/relationships/footer" Target="footer27.xml" /><Relationship Id="rId74" Type="http://schemas.openxmlformats.org/officeDocument/2006/relationships/image" Target="media/image15.png" /><Relationship Id="rId75" Type="http://schemas.openxmlformats.org/officeDocument/2006/relationships/image" Target="media/image16.png" /><Relationship Id="rId76" Type="http://schemas.openxmlformats.org/officeDocument/2006/relationships/header" Target="header28.xml" /><Relationship Id="rId77" Type="http://schemas.openxmlformats.org/officeDocument/2006/relationships/footer" Target="footer28.xml" /><Relationship Id="rId78" Type="http://schemas.openxmlformats.org/officeDocument/2006/relationships/header" Target="header29.xml" /><Relationship Id="rId79" Type="http://schemas.openxmlformats.org/officeDocument/2006/relationships/footer" Target="footer29.xml" /><Relationship Id="rId8" Type="http://schemas.openxmlformats.org/officeDocument/2006/relationships/footer" Target="footer2.xml" /><Relationship Id="rId80" Type="http://schemas.openxmlformats.org/officeDocument/2006/relationships/header" Target="header30.xml" /><Relationship Id="rId81" Type="http://schemas.openxmlformats.org/officeDocument/2006/relationships/footer" Target="footer30.xml" /><Relationship Id="rId82" Type="http://schemas.openxmlformats.org/officeDocument/2006/relationships/header" Target="header31.xml" /><Relationship Id="rId83" Type="http://schemas.openxmlformats.org/officeDocument/2006/relationships/footer" Target="footer31.xml" /><Relationship Id="rId84" Type="http://schemas.openxmlformats.org/officeDocument/2006/relationships/header" Target="header32.xml" /><Relationship Id="rId85" Type="http://schemas.openxmlformats.org/officeDocument/2006/relationships/footer" Target="footer32.xml" /><Relationship Id="rId86" Type="http://schemas.openxmlformats.org/officeDocument/2006/relationships/header" Target="header33.xml" /><Relationship Id="rId87" Type="http://schemas.openxmlformats.org/officeDocument/2006/relationships/footer" Target="footer33.xml" /><Relationship Id="rId88" Type="http://schemas.openxmlformats.org/officeDocument/2006/relationships/header" Target="header34.xml" /><Relationship Id="rId89" Type="http://schemas.openxmlformats.org/officeDocument/2006/relationships/footer" Target="footer34.xml" /><Relationship Id="rId9" Type="http://schemas.openxmlformats.org/officeDocument/2006/relationships/header" Target="header3.xml" /><Relationship Id="rId90" Type="http://schemas.openxmlformats.org/officeDocument/2006/relationships/header" Target="header35.xml" /><Relationship Id="rId91" Type="http://schemas.openxmlformats.org/officeDocument/2006/relationships/footer" Target="footer35.xml" /><Relationship Id="rId92" Type="http://schemas.openxmlformats.org/officeDocument/2006/relationships/header" Target="header36.xml" /><Relationship Id="rId93" Type="http://schemas.openxmlformats.org/officeDocument/2006/relationships/footer" Target="footer36.xml" /><Relationship Id="rId94" Type="http://schemas.openxmlformats.org/officeDocument/2006/relationships/image" Target="media/image17.png" /><Relationship Id="rId95" Type="http://schemas.openxmlformats.org/officeDocument/2006/relationships/image" Target="media/image18.jpeg" /><Relationship Id="rId96" Type="http://schemas.openxmlformats.org/officeDocument/2006/relationships/header" Target="header37.xml" /><Relationship Id="rId97" Type="http://schemas.openxmlformats.org/officeDocument/2006/relationships/footer" Target="footer37.xml" /><Relationship Id="rId98" Type="http://schemas.openxmlformats.org/officeDocument/2006/relationships/image" Target="media/image19.jpeg" /><Relationship Id="rId99" Type="http://schemas.openxmlformats.org/officeDocument/2006/relationships/image" Target="media/image2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2024-03-19T05:28:53Z</dcterms:created>
  <dcterms:modified xsi:type="dcterms:W3CDTF">2024-03-19T05:28:53Z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2024-03-19T00:00:00Z</vt:filetime>
  </property>
</Properties>
</file>