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pStyle w:val="BodyText"/>
        <w:ind w:left="0"/>
        <w:rPr>
          <w:rFonts w:ascii="Times New Roman"/>
          <w:sz w:val="20"/>
        </w:rPr>
      </w:pPr>
    </w:p>
    <w:p>
      <w:pPr>
        <w:pStyle w:val="BodyText"/>
        <w:ind w:left="0"/>
        <w:rPr>
          <w:rFonts w:ascii="Times New Roman"/>
          <w:sz w:val="20"/>
        </w:rPr>
      </w:pPr>
    </w:p>
    <w:p>
      <w:pPr>
        <w:pStyle w:val="BodyText"/>
        <w:ind w:left="0"/>
        <w:rPr>
          <w:rFonts w:ascii="Times New Roman"/>
          <w:sz w:val="20"/>
        </w:rPr>
      </w:pPr>
    </w:p>
    <w:p>
      <w:pPr>
        <w:pStyle w:val="BodyText"/>
        <w:ind w:left="0"/>
        <w:rPr>
          <w:rFonts w:ascii="Times New Roman"/>
          <w:sz w:val="20"/>
        </w:rPr>
      </w:pPr>
    </w:p>
    <w:p>
      <w:pPr>
        <w:pStyle w:val="BodyText"/>
        <w:ind w:left="0"/>
        <w:rPr>
          <w:rFonts w:ascii="Times New Roman"/>
          <w:sz w:val="20"/>
        </w:rPr>
      </w:pPr>
    </w:p>
    <w:p>
      <w:pPr>
        <w:pStyle w:val="BodyText"/>
        <w:ind w:left="0"/>
        <w:rPr>
          <w:rFonts w:ascii="Times New Roman"/>
          <w:sz w:val="20"/>
        </w:rPr>
      </w:pPr>
    </w:p>
    <w:p>
      <w:pPr>
        <w:pStyle w:val="BodyText"/>
        <w:ind w:left="0"/>
        <w:rPr>
          <w:rFonts w:ascii="Times New Roman"/>
          <w:sz w:val="20"/>
        </w:rPr>
      </w:pPr>
    </w:p>
    <w:p>
      <w:pPr>
        <w:pStyle w:val="BodyText"/>
        <w:ind w:left="0"/>
        <w:rPr>
          <w:rFonts w:ascii="Times New Roman"/>
          <w:sz w:val="20"/>
        </w:rPr>
      </w:pPr>
    </w:p>
    <w:p>
      <w:pPr>
        <w:pStyle w:val="BodyText"/>
        <w:ind w:left="0"/>
        <w:rPr>
          <w:rFonts w:ascii="Times New Roman"/>
          <w:sz w:val="20"/>
        </w:rPr>
      </w:pPr>
    </w:p>
    <w:p>
      <w:pPr>
        <w:pStyle w:val="BodyText"/>
        <w:ind w:left="0"/>
        <w:rPr>
          <w:rFonts w:ascii="Times New Roman"/>
          <w:sz w:val="20"/>
        </w:rPr>
      </w:pPr>
    </w:p>
    <w:p>
      <w:pPr>
        <w:pStyle w:val="BodyText"/>
        <w:ind w:left="0"/>
        <w:rPr>
          <w:rFonts w:ascii="Times New Roman"/>
          <w:sz w:val="20"/>
        </w:rPr>
      </w:pPr>
    </w:p>
    <w:p>
      <w:pPr>
        <w:pStyle w:val="BodyText"/>
        <w:spacing w:before="6"/>
        <w:ind w:left="0"/>
        <w:rPr>
          <w:rFonts w:ascii="Times New Roman"/>
          <w:sz w:val="20"/>
        </w:rPr>
      </w:pPr>
    </w:p>
    <w:p>
      <w:pPr>
        <w:pStyle w:val="Title"/>
      </w:pPr>
      <w:r>
        <w:rPr>
          <w:rFonts w:ascii="Times New Roman" w:eastAsia="Times New Roman"/>
        </w:rPr>
        <w:t xml:space="preserve">XX </w:t>
      </w:r>
      <w:r>
        <w:t>选址研究报告</w:t>
      </w:r>
    </w:p>
    <w:p>
      <w:pPr>
        <w:pStyle w:val="BodyText"/>
        <w:ind w:left="0"/>
        <w:rPr>
          <w:rFonts w:ascii="幼圆"/>
          <w:b/>
          <w:sz w:val="84"/>
        </w:rPr>
      </w:pPr>
    </w:p>
    <w:p>
      <w:pPr>
        <w:pStyle w:val="BodyText"/>
        <w:ind w:left="0"/>
        <w:rPr>
          <w:rFonts w:ascii="幼圆"/>
          <w:b/>
          <w:sz w:val="84"/>
        </w:rPr>
      </w:pPr>
    </w:p>
    <w:p>
      <w:pPr>
        <w:pStyle w:val="BodyText"/>
        <w:ind w:left="0"/>
        <w:rPr>
          <w:rFonts w:ascii="幼圆"/>
          <w:b/>
          <w:sz w:val="84"/>
        </w:rPr>
      </w:pPr>
    </w:p>
    <w:p>
      <w:pPr>
        <w:pStyle w:val="BodyText"/>
        <w:ind w:left="0"/>
        <w:rPr>
          <w:rFonts w:ascii="幼圆"/>
          <w:b/>
          <w:sz w:val="84"/>
        </w:rPr>
      </w:pPr>
    </w:p>
    <w:p>
      <w:pPr>
        <w:pStyle w:val="BodyText"/>
        <w:ind w:left="0"/>
        <w:rPr>
          <w:rFonts w:ascii="幼圆"/>
          <w:b/>
          <w:sz w:val="84"/>
        </w:rPr>
      </w:pPr>
    </w:p>
    <w:p>
      <w:pPr>
        <w:pStyle w:val="BodyText"/>
        <w:ind w:left="0"/>
        <w:rPr>
          <w:rFonts w:ascii="幼圆"/>
          <w:b/>
          <w:sz w:val="84"/>
        </w:rPr>
      </w:pPr>
    </w:p>
    <w:p>
      <w:pPr>
        <w:pStyle w:val="BodyText"/>
        <w:ind w:left="0"/>
        <w:rPr>
          <w:rFonts w:ascii="幼圆"/>
          <w:b/>
          <w:sz w:val="84"/>
        </w:rPr>
      </w:pPr>
    </w:p>
    <w:p>
      <w:pPr>
        <w:pStyle w:val="BodyText"/>
        <w:ind w:left="0"/>
        <w:rPr>
          <w:rFonts w:ascii="幼圆"/>
          <w:b/>
          <w:sz w:val="84"/>
        </w:rPr>
      </w:pPr>
    </w:p>
    <w:p>
      <w:pPr>
        <w:pStyle w:val="BodyText"/>
        <w:spacing w:before="11"/>
        <w:ind w:left="0"/>
        <w:rPr>
          <w:rFonts w:ascii="幼圆"/>
          <w:b/>
          <w:sz w:val="96"/>
        </w:rPr>
      </w:pPr>
    </w:p>
    <w:p>
      <w:pPr>
        <w:pStyle w:val="Heading1"/>
        <w:spacing w:line="465" w:lineRule="auto"/>
        <w:ind w:left="5505" w:right="5697" w:hanging="22"/>
        <w:jc w:val="center"/>
        <w:rPr>
          <w:rFonts w:ascii="Times New Roman"/>
        </w:rPr>
      </w:pPr>
      <w:r>
        <w:rPr>
          <w:rFonts w:ascii="Times New Roman"/>
        </w:rPr>
        <w:t>XXX 2011-2-28</w:t>
      </w:r>
    </w:p>
    <w:p>
      <w:pPr>
        <w:spacing w:after="0" w:line="465" w:lineRule="auto"/>
        <w:jc w:val="center"/>
        <w:rPr>
          <w:rFonts w:ascii="Times New Roman"/>
        </w:rPr>
        <w:sectPr>
          <w:type w:val="continuous"/>
          <w:pgSz w:w="17860" w:h="25260"/>
          <w:pgMar w:top="2420" w:right="2340" w:bottom="280" w:left="2560" w:header="708" w:footer="708"/>
          <w:cols w:space="708"/>
        </w:sectPr>
      </w:pPr>
    </w:p>
    <w:p>
      <w:pPr>
        <w:pStyle w:val="BodyText"/>
        <w:ind w:left="0"/>
        <w:rPr>
          <w:rFonts w:ascii="Times New Roman"/>
          <w:b/>
          <w:sz w:val="20"/>
        </w:rPr>
      </w:pPr>
    </w:p>
    <w:p>
      <w:pPr>
        <w:pStyle w:val="BodyText"/>
        <w:spacing w:before="5"/>
        <w:ind w:left="0"/>
        <w:rPr>
          <w:rFonts w:ascii="Times New Roman"/>
          <w:b/>
          <w:sz w:val="19"/>
        </w:rPr>
      </w:pPr>
    </w:p>
    <w:p>
      <w:pPr>
        <w:tabs>
          <w:tab w:val="left" w:pos="2696"/>
        </w:tabs>
        <w:spacing w:before="43" w:line="417" w:lineRule="auto"/>
        <w:ind w:left="137" w:right="8997" w:firstLine="0"/>
        <w:jc w:val="left"/>
        <w:rPr>
          <w:b/>
          <w:sz w:val="42"/>
        </w:rPr>
      </w:pPr>
      <w:r>
        <w:rPr>
          <w:b/>
          <w:sz w:val="42"/>
        </w:rPr>
        <w:t>项目负责人：浩日乐参编人员：</w:t>
        <w:tab/>
      </w:r>
      <w:r>
        <w:rPr>
          <w:b/>
          <w:w w:val="95"/>
          <w:sz w:val="42"/>
        </w:rPr>
        <w:t>黄满</w:t>
      </w:r>
      <w:r>
        <w:rPr>
          <w:b/>
          <w:spacing w:val="-17"/>
          <w:w w:val="95"/>
          <w:sz w:val="42"/>
        </w:rPr>
        <w:t>春</w:t>
      </w:r>
    </w:p>
    <w:p>
      <w:pPr>
        <w:pStyle w:val="Heading1"/>
        <w:spacing w:line="537" w:lineRule="exact"/>
        <w:ind w:left="2837"/>
      </w:pPr>
      <w:r>
        <w:rPr>
          <w:w w:val="95"/>
        </w:rPr>
        <w:t>毕书华</w:t>
      </w:r>
    </w:p>
    <w:p>
      <w:pPr>
        <w:spacing w:after="0" w:line="537" w:lineRule="exact"/>
        <w:sectPr>
          <w:pgSz w:w="17860" w:h="25260"/>
          <w:pgMar w:top="2420" w:right="2340" w:bottom="280" w:left="2560" w:header="708" w:footer="708"/>
          <w:pgNumType w:start="2"/>
          <w:cols w:space="708"/>
        </w:sectPr>
      </w:pPr>
    </w:p>
    <w:p>
      <w:pPr>
        <w:pStyle w:val="BodyText"/>
        <w:tabs>
          <w:tab w:val="left" w:pos="853"/>
        </w:tabs>
        <w:spacing w:before="28"/>
        <w:ind w:left="0" w:right="218"/>
        <w:jc w:val="center"/>
      </w:pPr>
      <w:r>
        <w:t>目</w:t>
        <w:tab/>
        <w:t>录</w:t>
      </w:r>
    </w:p>
    <w:p>
      <w:pPr>
        <w:tabs>
          <w:tab w:val="left" w:leader="dot" w:pos="9012"/>
        </w:tabs>
        <w:spacing w:before="308"/>
        <w:ind w:left="144" w:right="0" w:firstLine="0"/>
        <w:jc w:val="left"/>
        <w:rPr>
          <w:rFonts w:ascii="黑体" w:eastAsia="黑体" w:hint="eastAsia"/>
          <w:b/>
          <w:sz w:val="42"/>
        </w:rPr>
      </w:pPr>
      <w:r>
        <w:rPr>
          <w:sz w:val="42"/>
        </w:rPr>
        <w:t>一、项目概况</w:t>
        <w:tab/>
      </w:r>
      <w:r>
        <w:rPr>
          <w:rFonts w:ascii="黑体" w:eastAsia="黑体" w:hint="eastAsia"/>
          <w:b/>
          <w:w w:val="95"/>
          <w:sz w:val="42"/>
        </w:rPr>
        <w:t>错误!未定义书签。</w:t>
      </w:r>
    </w:p>
    <w:p>
      <w:pPr>
        <w:tabs>
          <w:tab w:val="left" w:leader="dot" w:pos="9516"/>
        </w:tabs>
        <w:spacing w:before="233"/>
        <w:ind w:left="766" w:right="0" w:firstLine="0"/>
        <w:jc w:val="left"/>
        <w:rPr>
          <w:rFonts w:ascii="黑体" w:eastAsia="黑体" w:hint="eastAsia"/>
          <w:b/>
          <w:sz w:val="36"/>
        </w:rPr>
      </w:pPr>
      <w:r>
        <w:rPr>
          <w:rFonts w:ascii="Calibri" w:eastAsia="Calibri"/>
          <w:sz w:val="36"/>
        </w:rPr>
        <w:t>1</w:t>
      </w:r>
      <w:r>
        <w:rPr>
          <w:sz w:val="36"/>
        </w:rPr>
        <w:t>、项目建设背景</w:t>
        <w:tab/>
      </w:r>
      <w:r>
        <w:rPr>
          <w:rFonts w:ascii="黑体" w:eastAsia="黑体" w:hint="eastAsia"/>
          <w:b/>
          <w:spacing w:val="3"/>
          <w:w w:val="95"/>
          <w:sz w:val="36"/>
        </w:rPr>
        <w:t>错</w:t>
      </w:r>
      <w:r>
        <w:rPr>
          <w:rFonts w:ascii="黑体" w:eastAsia="黑体" w:hint="eastAsia"/>
          <w:b/>
          <w:w w:val="95"/>
          <w:sz w:val="36"/>
        </w:rPr>
        <w:t>误</w:t>
      </w:r>
      <w:r>
        <w:rPr>
          <w:rFonts w:ascii="黑体" w:eastAsia="黑体" w:hint="eastAsia"/>
          <w:b/>
          <w:spacing w:val="3"/>
          <w:w w:val="95"/>
          <w:sz w:val="36"/>
        </w:rPr>
        <w:t>!</w:t>
      </w:r>
      <w:r>
        <w:rPr>
          <w:rFonts w:ascii="黑体" w:eastAsia="黑体" w:hint="eastAsia"/>
          <w:b/>
          <w:w w:val="95"/>
          <w:sz w:val="36"/>
        </w:rPr>
        <w:t>未定义书签。</w:t>
      </w:r>
    </w:p>
    <w:p>
      <w:pPr>
        <w:tabs>
          <w:tab w:val="left" w:leader="dot" w:pos="9516"/>
        </w:tabs>
        <w:spacing w:before="201"/>
        <w:ind w:left="766" w:right="0" w:firstLine="0"/>
        <w:jc w:val="left"/>
        <w:rPr>
          <w:rFonts w:ascii="黑体" w:eastAsia="黑体" w:hint="eastAsia"/>
          <w:b/>
          <w:sz w:val="36"/>
        </w:rPr>
      </w:pPr>
      <w:r>
        <w:rPr>
          <w:rFonts w:ascii="Calibri" w:eastAsia="Calibri"/>
          <w:sz w:val="36"/>
        </w:rPr>
        <w:t>2</w:t>
      </w:r>
      <w:r>
        <w:rPr>
          <w:sz w:val="36"/>
        </w:rPr>
        <w:t>、项目建设的必要性</w:t>
        <w:tab/>
      </w:r>
      <w:r>
        <w:rPr>
          <w:rFonts w:ascii="黑体" w:eastAsia="黑体" w:hint="eastAsia"/>
          <w:b/>
          <w:spacing w:val="3"/>
          <w:w w:val="95"/>
          <w:sz w:val="36"/>
        </w:rPr>
        <w:t>错</w:t>
      </w:r>
      <w:r>
        <w:rPr>
          <w:rFonts w:ascii="黑体" w:eastAsia="黑体" w:hint="eastAsia"/>
          <w:b/>
          <w:w w:val="95"/>
          <w:sz w:val="36"/>
        </w:rPr>
        <w:t>误</w:t>
      </w:r>
      <w:r>
        <w:rPr>
          <w:rFonts w:ascii="黑体" w:eastAsia="黑体" w:hint="eastAsia"/>
          <w:b/>
          <w:spacing w:val="3"/>
          <w:w w:val="95"/>
          <w:sz w:val="36"/>
        </w:rPr>
        <w:t>!</w:t>
      </w:r>
      <w:r>
        <w:rPr>
          <w:rFonts w:ascii="黑体" w:eastAsia="黑体" w:hint="eastAsia"/>
          <w:b/>
          <w:w w:val="95"/>
          <w:sz w:val="36"/>
        </w:rPr>
        <w:t>未定义书签。</w:t>
      </w:r>
    </w:p>
    <w:p>
      <w:pPr>
        <w:tabs>
          <w:tab w:val="left" w:leader="dot" w:pos="9516"/>
        </w:tabs>
        <w:spacing w:before="198"/>
        <w:ind w:left="766" w:right="0" w:firstLine="0"/>
        <w:jc w:val="left"/>
        <w:rPr>
          <w:rFonts w:ascii="黑体" w:eastAsia="黑体" w:hint="eastAsia"/>
          <w:b/>
          <w:sz w:val="36"/>
        </w:rPr>
      </w:pPr>
      <w:r>
        <w:rPr>
          <w:rFonts w:ascii="Calibri" w:eastAsia="Calibri"/>
          <w:sz w:val="36"/>
        </w:rPr>
        <w:t>3</w:t>
      </w:r>
      <w:r>
        <w:rPr>
          <w:sz w:val="36"/>
        </w:rPr>
        <w:t>、项目选址的依据</w:t>
        <w:tab/>
      </w:r>
      <w:r>
        <w:rPr>
          <w:rFonts w:ascii="黑体" w:eastAsia="黑体" w:hint="eastAsia"/>
          <w:b/>
          <w:spacing w:val="3"/>
          <w:w w:val="95"/>
          <w:sz w:val="36"/>
        </w:rPr>
        <w:t>错</w:t>
      </w:r>
      <w:r>
        <w:rPr>
          <w:rFonts w:ascii="黑体" w:eastAsia="黑体" w:hint="eastAsia"/>
          <w:b/>
          <w:w w:val="95"/>
          <w:sz w:val="36"/>
        </w:rPr>
        <w:t>误</w:t>
      </w:r>
      <w:r>
        <w:rPr>
          <w:rFonts w:ascii="黑体" w:eastAsia="黑体" w:hint="eastAsia"/>
          <w:b/>
          <w:spacing w:val="3"/>
          <w:w w:val="95"/>
          <w:sz w:val="36"/>
        </w:rPr>
        <w:t>!</w:t>
      </w:r>
      <w:r>
        <w:rPr>
          <w:rFonts w:ascii="黑体" w:eastAsia="黑体" w:hint="eastAsia"/>
          <w:b/>
          <w:w w:val="95"/>
          <w:sz w:val="36"/>
        </w:rPr>
        <w:t>未定义书签。</w:t>
      </w:r>
    </w:p>
    <w:p>
      <w:pPr>
        <w:tabs>
          <w:tab w:val="left" w:leader="dot" w:pos="9516"/>
        </w:tabs>
        <w:spacing w:before="197"/>
        <w:ind w:left="766" w:right="0" w:firstLine="0"/>
        <w:jc w:val="left"/>
        <w:rPr>
          <w:rFonts w:ascii="黑体" w:eastAsia="黑体" w:hint="eastAsia"/>
          <w:b/>
          <w:sz w:val="36"/>
        </w:rPr>
      </w:pPr>
      <w:r>
        <w:rPr>
          <w:rFonts w:ascii="Calibri" w:eastAsia="Calibri"/>
          <w:sz w:val="36"/>
        </w:rPr>
        <w:t>4</w:t>
      </w:r>
      <w:r>
        <w:rPr>
          <w:sz w:val="36"/>
        </w:rPr>
        <w:t>、项目选址的原则</w:t>
        <w:tab/>
      </w:r>
      <w:r>
        <w:rPr>
          <w:rFonts w:ascii="黑体" w:eastAsia="黑体" w:hint="eastAsia"/>
          <w:b/>
          <w:spacing w:val="3"/>
          <w:w w:val="95"/>
          <w:sz w:val="36"/>
        </w:rPr>
        <w:t>错</w:t>
      </w:r>
      <w:r>
        <w:rPr>
          <w:rFonts w:ascii="黑体" w:eastAsia="黑体" w:hint="eastAsia"/>
          <w:b/>
          <w:w w:val="95"/>
          <w:sz w:val="36"/>
        </w:rPr>
        <w:t>误</w:t>
      </w:r>
      <w:r>
        <w:rPr>
          <w:rFonts w:ascii="黑体" w:eastAsia="黑体" w:hint="eastAsia"/>
          <w:b/>
          <w:spacing w:val="3"/>
          <w:w w:val="95"/>
          <w:sz w:val="36"/>
        </w:rPr>
        <w:t>!</w:t>
      </w:r>
      <w:r>
        <w:rPr>
          <w:rFonts w:ascii="黑体" w:eastAsia="黑体" w:hint="eastAsia"/>
          <w:b/>
          <w:w w:val="95"/>
          <w:sz w:val="36"/>
        </w:rPr>
        <w:t>未定义书签。</w:t>
      </w:r>
    </w:p>
    <w:p>
      <w:pPr>
        <w:tabs>
          <w:tab w:val="left" w:leader="dot" w:pos="9516"/>
        </w:tabs>
        <w:spacing w:before="202"/>
        <w:ind w:left="766" w:right="0" w:firstLine="0"/>
        <w:jc w:val="left"/>
        <w:rPr>
          <w:rFonts w:ascii="黑体" w:eastAsia="黑体" w:hint="eastAsia"/>
          <w:b/>
          <w:sz w:val="36"/>
        </w:rPr>
      </w:pPr>
      <w:r>
        <w:rPr>
          <w:rFonts w:ascii="Calibri" w:eastAsia="Calibri"/>
          <w:sz w:val="36"/>
        </w:rPr>
        <w:t>5</w:t>
      </w:r>
      <w:r>
        <w:rPr>
          <w:sz w:val="36"/>
        </w:rPr>
        <w:t>、项目建设的基本情况</w:t>
        <w:tab/>
      </w:r>
      <w:r>
        <w:rPr>
          <w:rFonts w:ascii="黑体" w:eastAsia="黑体" w:hint="eastAsia"/>
          <w:b/>
          <w:spacing w:val="3"/>
          <w:w w:val="95"/>
          <w:sz w:val="36"/>
        </w:rPr>
        <w:t>错</w:t>
      </w:r>
      <w:r>
        <w:rPr>
          <w:rFonts w:ascii="黑体" w:eastAsia="黑体" w:hint="eastAsia"/>
          <w:b/>
          <w:w w:val="95"/>
          <w:sz w:val="36"/>
        </w:rPr>
        <w:t>误</w:t>
      </w:r>
      <w:r>
        <w:rPr>
          <w:rFonts w:ascii="黑体" w:eastAsia="黑体" w:hint="eastAsia"/>
          <w:b/>
          <w:spacing w:val="3"/>
          <w:w w:val="95"/>
          <w:sz w:val="36"/>
        </w:rPr>
        <w:t>!</w:t>
      </w:r>
      <w:r>
        <w:rPr>
          <w:rFonts w:ascii="黑体" w:eastAsia="黑体" w:hint="eastAsia"/>
          <w:b/>
          <w:w w:val="95"/>
          <w:sz w:val="36"/>
        </w:rPr>
        <w:t>未定义书签。</w:t>
      </w:r>
    </w:p>
    <w:p>
      <w:pPr>
        <w:tabs>
          <w:tab w:val="left" w:leader="dot" w:pos="8868"/>
        </w:tabs>
        <w:spacing w:before="86"/>
        <w:ind w:left="0" w:right="218" w:firstLine="0"/>
        <w:jc w:val="center"/>
        <w:rPr>
          <w:rFonts w:ascii="黑体" w:eastAsia="黑体" w:hint="eastAsia"/>
          <w:b/>
          <w:sz w:val="42"/>
        </w:rPr>
      </w:pPr>
      <w:r>
        <w:rPr>
          <w:sz w:val="42"/>
        </w:rPr>
        <w:t>二、项目建设区域概况</w:t>
        <w:tab/>
      </w:r>
      <w:r>
        <w:rPr>
          <w:rFonts w:ascii="黑体" w:eastAsia="黑体" w:hint="eastAsia"/>
          <w:b/>
          <w:w w:val="95"/>
          <w:sz w:val="42"/>
        </w:rPr>
        <w:t>错误!未定义书签。</w:t>
      </w:r>
    </w:p>
    <w:p>
      <w:pPr>
        <w:tabs>
          <w:tab w:val="left" w:leader="dot" w:pos="9516"/>
        </w:tabs>
        <w:spacing w:before="233"/>
        <w:ind w:left="766" w:right="0" w:firstLine="0"/>
        <w:jc w:val="left"/>
        <w:rPr>
          <w:rFonts w:ascii="黑体" w:eastAsia="黑体" w:hint="eastAsia"/>
          <w:b/>
          <w:sz w:val="36"/>
        </w:rPr>
      </w:pPr>
      <w:r>
        <w:rPr>
          <w:rFonts w:ascii="Calibri" w:eastAsia="Calibri"/>
          <w:sz w:val="36"/>
        </w:rPr>
        <w:t>1</w:t>
      </w:r>
      <w:r>
        <w:rPr>
          <w:sz w:val="36"/>
        </w:rPr>
        <w:t>、东胜区概况</w:t>
        <w:tab/>
      </w:r>
      <w:r>
        <w:rPr>
          <w:rFonts w:ascii="黑体" w:eastAsia="黑体" w:hint="eastAsia"/>
          <w:b/>
          <w:spacing w:val="3"/>
          <w:w w:val="95"/>
          <w:sz w:val="36"/>
        </w:rPr>
        <w:t>错</w:t>
      </w:r>
      <w:r>
        <w:rPr>
          <w:rFonts w:ascii="黑体" w:eastAsia="黑体" w:hint="eastAsia"/>
          <w:b/>
          <w:w w:val="95"/>
          <w:sz w:val="36"/>
        </w:rPr>
        <w:t>误</w:t>
      </w:r>
      <w:r>
        <w:rPr>
          <w:rFonts w:ascii="黑体" w:eastAsia="黑体" w:hint="eastAsia"/>
          <w:b/>
          <w:spacing w:val="3"/>
          <w:w w:val="95"/>
          <w:sz w:val="36"/>
        </w:rPr>
        <w:t>!</w:t>
      </w:r>
      <w:r>
        <w:rPr>
          <w:rFonts w:ascii="黑体" w:eastAsia="黑体" w:hint="eastAsia"/>
          <w:b/>
          <w:w w:val="95"/>
          <w:sz w:val="36"/>
        </w:rPr>
        <w:t>未定义书签。</w:t>
      </w:r>
    </w:p>
    <w:p>
      <w:pPr>
        <w:tabs>
          <w:tab w:val="left" w:leader="dot" w:pos="9516"/>
        </w:tabs>
        <w:spacing w:before="201"/>
        <w:ind w:left="766" w:right="0" w:firstLine="0"/>
        <w:jc w:val="left"/>
        <w:rPr>
          <w:rFonts w:ascii="黑体" w:eastAsia="黑体" w:hint="eastAsia"/>
          <w:b/>
          <w:sz w:val="36"/>
        </w:rPr>
      </w:pPr>
      <w:r>
        <w:rPr>
          <w:rFonts w:ascii="Calibri" w:eastAsia="Calibri"/>
          <w:sz w:val="36"/>
        </w:rPr>
        <w:t>2</w:t>
      </w:r>
      <w:r>
        <w:rPr>
          <w:sz w:val="36"/>
        </w:rPr>
        <w:t>、伊金霍洛旗概况</w:t>
        <w:tab/>
      </w:r>
      <w:r>
        <w:rPr>
          <w:rFonts w:ascii="黑体" w:eastAsia="黑体" w:hint="eastAsia"/>
          <w:b/>
          <w:spacing w:val="3"/>
          <w:w w:val="95"/>
          <w:sz w:val="36"/>
        </w:rPr>
        <w:t>错</w:t>
      </w:r>
      <w:r>
        <w:rPr>
          <w:rFonts w:ascii="黑体" w:eastAsia="黑体" w:hint="eastAsia"/>
          <w:b/>
          <w:w w:val="95"/>
          <w:sz w:val="36"/>
        </w:rPr>
        <w:t>误</w:t>
      </w:r>
      <w:r>
        <w:rPr>
          <w:rFonts w:ascii="黑体" w:eastAsia="黑体" w:hint="eastAsia"/>
          <w:b/>
          <w:spacing w:val="3"/>
          <w:w w:val="95"/>
          <w:sz w:val="36"/>
        </w:rPr>
        <w:t>!</w:t>
      </w:r>
      <w:r>
        <w:rPr>
          <w:rFonts w:ascii="黑体" w:eastAsia="黑体" w:hint="eastAsia"/>
          <w:b/>
          <w:w w:val="95"/>
          <w:sz w:val="36"/>
        </w:rPr>
        <w:t>未定义书签。</w:t>
      </w:r>
    </w:p>
    <w:p>
      <w:pPr>
        <w:tabs>
          <w:tab w:val="left" w:leader="dot" w:pos="8868"/>
        </w:tabs>
        <w:spacing w:before="85"/>
        <w:ind w:left="0" w:right="218" w:firstLine="0"/>
        <w:jc w:val="center"/>
        <w:rPr>
          <w:rFonts w:ascii="黑体" w:eastAsia="黑体" w:hint="eastAsia"/>
          <w:b/>
          <w:sz w:val="42"/>
        </w:rPr>
      </w:pPr>
      <w:r>
        <w:rPr>
          <w:sz w:val="42"/>
        </w:rPr>
        <w:t>三、项目建设区域的城乡规划概况</w:t>
        <w:tab/>
      </w:r>
      <w:r>
        <w:rPr>
          <w:rFonts w:ascii="黑体" w:eastAsia="黑体" w:hint="eastAsia"/>
          <w:b/>
          <w:w w:val="95"/>
          <w:sz w:val="42"/>
        </w:rPr>
        <w:t>错误!未定义书签。</w:t>
      </w:r>
    </w:p>
    <w:p>
      <w:pPr>
        <w:tabs>
          <w:tab w:val="left" w:leader="dot" w:pos="9516"/>
        </w:tabs>
        <w:spacing w:before="233"/>
        <w:ind w:left="766" w:right="0" w:firstLine="0"/>
        <w:jc w:val="left"/>
        <w:rPr>
          <w:rFonts w:ascii="黑体" w:eastAsia="黑体" w:hint="eastAsia"/>
          <w:b/>
          <w:sz w:val="36"/>
        </w:rPr>
      </w:pPr>
      <w:r>
        <w:rPr>
          <w:rFonts w:ascii="Calibri" w:eastAsia="Calibri"/>
          <w:sz w:val="36"/>
        </w:rPr>
        <w:t>1</w:t>
      </w:r>
      <w:r>
        <w:rPr>
          <w:sz w:val="36"/>
        </w:rPr>
        <w:t>、鄂尔多斯市城市总体规划</w:t>
        <w:tab/>
      </w:r>
      <w:r>
        <w:rPr>
          <w:rFonts w:ascii="黑体" w:eastAsia="黑体" w:hint="eastAsia"/>
          <w:b/>
          <w:spacing w:val="3"/>
          <w:w w:val="95"/>
          <w:sz w:val="36"/>
        </w:rPr>
        <w:t>错</w:t>
      </w:r>
      <w:r>
        <w:rPr>
          <w:rFonts w:ascii="黑体" w:eastAsia="黑体" w:hint="eastAsia"/>
          <w:b/>
          <w:w w:val="95"/>
          <w:sz w:val="36"/>
        </w:rPr>
        <w:t>误</w:t>
      </w:r>
      <w:r>
        <w:rPr>
          <w:rFonts w:ascii="黑体" w:eastAsia="黑体" w:hint="eastAsia"/>
          <w:b/>
          <w:spacing w:val="3"/>
          <w:w w:val="95"/>
          <w:sz w:val="36"/>
        </w:rPr>
        <w:t>!</w:t>
      </w:r>
      <w:r>
        <w:rPr>
          <w:rFonts w:ascii="黑体" w:eastAsia="黑体" w:hint="eastAsia"/>
          <w:b/>
          <w:w w:val="95"/>
          <w:sz w:val="36"/>
        </w:rPr>
        <w:t>未定义书签。</w:t>
      </w:r>
    </w:p>
    <w:p>
      <w:pPr>
        <w:tabs>
          <w:tab w:val="left" w:leader="dot" w:pos="9012"/>
        </w:tabs>
        <w:spacing w:before="89"/>
        <w:ind w:left="144" w:right="0" w:firstLine="0"/>
        <w:jc w:val="left"/>
        <w:rPr>
          <w:rFonts w:ascii="黑体" w:eastAsia="黑体" w:hint="eastAsia"/>
          <w:b/>
          <w:sz w:val="42"/>
        </w:rPr>
      </w:pPr>
      <w:r>
        <w:rPr>
          <w:sz w:val="42"/>
        </w:rPr>
        <w:t>四、项目选址方案</w:t>
        <w:tab/>
      </w:r>
      <w:r>
        <w:rPr>
          <w:rFonts w:ascii="黑体" w:eastAsia="黑体" w:hint="eastAsia"/>
          <w:b/>
          <w:w w:val="95"/>
          <w:sz w:val="42"/>
        </w:rPr>
        <w:t>错误!未定义书签。</w:t>
      </w:r>
    </w:p>
    <w:p>
      <w:pPr>
        <w:tabs>
          <w:tab w:val="left" w:leader="dot" w:pos="9516"/>
        </w:tabs>
        <w:spacing w:before="233"/>
        <w:ind w:left="766" w:right="0" w:firstLine="0"/>
        <w:jc w:val="left"/>
        <w:rPr>
          <w:rFonts w:ascii="黑体" w:eastAsia="黑体" w:hint="eastAsia"/>
          <w:b/>
          <w:sz w:val="36"/>
        </w:rPr>
      </w:pPr>
      <w:r>
        <w:rPr>
          <w:rFonts w:ascii="Calibri" w:eastAsia="Calibri"/>
          <w:sz w:val="36"/>
        </w:rPr>
        <w:t>1</w:t>
      </w:r>
      <w:r>
        <w:rPr>
          <w:sz w:val="36"/>
        </w:rPr>
        <w:t>、布线原则</w:t>
        <w:tab/>
      </w:r>
      <w:r>
        <w:rPr>
          <w:rFonts w:ascii="黑体" w:eastAsia="黑体" w:hint="eastAsia"/>
          <w:b/>
          <w:spacing w:val="3"/>
          <w:w w:val="95"/>
          <w:sz w:val="36"/>
        </w:rPr>
        <w:t>错</w:t>
      </w:r>
      <w:r>
        <w:rPr>
          <w:rFonts w:ascii="黑体" w:eastAsia="黑体" w:hint="eastAsia"/>
          <w:b/>
          <w:w w:val="95"/>
          <w:sz w:val="36"/>
        </w:rPr>
        <w:t>误</w:t>
      </w:r>
      <w:r>
        <w:rPr>
          <w:rFonts w:ascii="黑体" w:eastAsia="黑体" w:hint="eastAsia"/>
          <w:b/>
          <w:spacing w:val="3"/>
          <w:w w:val="95"/>
          <w:sz w:val="36"/>
        </w:rPr>
        <w:t>!</w:t>
      </w:r>
      <w:r>
        <w:rPr>
          <w:rFonts w:ascii="黑体" w:eastAsia="黑体" w:hint="eastAsia"/>
          <w:b/>
          <w:w w:val="95"/>
          <w:sz w:val="36"/>
        </w:rPr>
        <w:t>未定义书签。</w:t>
      </w:r>
    </w:p>
    <w:p>
      <w:pPr>
        <w:tabs>
          <w:tab w:val="left" w:leader="dot" w:pos="9516"/>
        </w:tabs>
        <w:spacing w:before="197"/>
        <w:ind w:left="766" w:right="0" w:firstLine="0"/>
        <w:jc w:val="left"/>
        <w:rPr>
          <w:rFonts w:ascii="黑体" w:eastAsia="黑体" w:hint="eastAsia"/>
          <w:b/>
          <w:sz w:val="36"/>
        </w:rPr>
      </w:pPr>
      <w:r>
        <w:rPr>
          <w:rFonts w:ascii="Calibri" w:eastAsia="Calibri"/>
          <w:sz w:val="36"/>
        </w:rPr>
        <w:t>2</w:t>
      </w:r>
      <w:r>
        <w:rPr>
          <w:sz w:val="36"/>
        </w:rPr>
        <w:t>、选址方案</w:t>
        <w:tab/>
      </w:r>
      <w:r>
        <w:rPr>
          <w:rFonts w:ascii="黑体" w:eastAsia="黑体" w:hint="eastAsia"/>
          <w:b/>
          <w:spacing w:val="3"/>
          <w:w w:val="95"/>
          <w:sz w:val="36"/>
        </w:rPr>
        <w:t>错</w:t>
      </w:r>
      <w:r>
        <w:rPr>
          <w:rFonts w:ascii="黑体" w:eastAsia="黑体" w:hint="eastAsia"/>
          <w:b/>
          <w:w w:val="95"/>
          <w:sz w:val="36"/>
        </w:rPr>
        <w:t>误</w:t>
      </w:r>
      <w:r>
        <w:rPr>
          <w:rFonts w:ascii="黑体" w:eastAsia="黑体" w:hint="eastAsia"/>
          <w:b/>
          <w:spacing w:val="3"/>
          <w:w w:val="95"/>
          <w:sz w:val="36"/>
        </w:rPr>
        <w:t>!</w:t>
      </w:r>
      <w:r>
        <w:rPr>
          <w:rFonts w:ascii="黑体" w:eastAsia="黑体" w:hint="eastAsia"/>
          <w:b/>
          <w:w w:val="95"/>
          <w:sz w:val="36"/>
        </w:rPr>
        <w:t>未定义书签。</w:t>
      </w:r>
    </w:p>
    <w:p>
      <w:pPr>
        <w:tabs>
          <w:tab w:val="left" w:leader="dot" w:pos="9516"/>
        </w:tabs>
        <w:spacing w:before="202"/>
        <w:ind w:left="766" w:right="0" w:firstLine="0"/>
        <w:jc w:val="left"/>
        <w:rPr>
          <w:rFonts w:ascii="黑体" w:eastAsia="黑体" w:hint="eastAsia"/>
          <w:b/>
          <w:sz w:val="36"/>
        </w:rPr>
      </w:pPr>
      <w:r>
        <w:rPr>
          <w:rFonts w:ascii="Calibri" w:eastAsia="Calibri"/>
          <w:sz w:val="36"/>
        </w:rPr>
        <w:t>3</w:t>
      </w:r>
      <w:r>
        <w:rPr>
          <w:sz w:val="36"/>
        </w:rPr>
        <w:t>、选址方案基本情况</w:t>
        <w:tab/>
      </w:r>
      <w:r>
        <w:rPr>
          <w:rFonts w:ascii="黑体" w:eastAsia="黑体" w:hint="eastAsia"/>
          <w:b/>
          <w:spacing w:val="3"/>
          <w:w w:val="95"/>
          <w:sz w:val="36"/>
        </w:rPr>
        <w:t>错</w:t>
      </w:r>
      <w:r>
        <w:rPr>
          <w:rFonts w:ascii="黑体" w:eastAsia="黑体" w:hint="eastAsia"/>
          <w:b/>
          <w:w w:val="95"/>
          <w:sz w:val="36"/>
        </w:rPr>
        <w:t>误</w:t>
      </w:r>
      <w:r>
        <w:rPr>
          <w:rFonts w:ascii="黑体" w:eastAsia="黑体" w:hint="eastAsia"/>
          <w:b/>
          <w:spacing w:val="3"/>
          <w:w w:val="95"/>
          <w:sz w:val="36"/>
        </w:rPr>
        <w:t>!</w:t>
      </w:r>
      <w:r>
        <w:rPr>
          <w:rFonts w:ascii="黑体" w:eastAsia="黑体" w:hint="eastAsia"/>
          <w:b/>
          <w:w w:val="95"/>
          <w:sz w:val="36"/>
        </w:rPr>
        <w:t>未定义书签。</w:t>
      </w:r>
    </w:p>
    <w:p>
      <w:pPr>
        <w:tabs>
          <w:tab w:val="left" w:leader="dot" w:pos="8868"/>
        </w:tabs>
        <w:spacing w:before="85"/>
        <w:ind w:left="0" w:right="218" w:firstLine="0"/>
        <w:jc w:val="center"/>
        <w:rPr>
          <w:rFonts w:ascii="黑体" w:eastAsia="黑体" w:hint="eastAsia"/>
          <w:b/>
          <w:sz w:val="42"/>
        </w:rPr>
      </w:pPr>
      <w:r>
        <w:rPr>
          <w:sz w:val="42"/>
        </w:rPr>
        <w:t>五、项目选址方案分析</w:t>
        <w:tab/>
      </w:r>
      <w:r>
        <w:rPr>
          <w:rFonts w:ascii="黑体" w:eastAsia="黑体" w:hint="eastAsia"/>
          <w:b/>
          <w:w w:val="95"/>
          <w:sz w:val="42"/>
        </w:rPr>
        <w:t>错误!未定义书签。</w:t>
      </w:r>
    </w:p>
    <w:p>
      <w:pPr>
        <w:tabs>
          <w:tab w:val="left" w:leader="dot" w:pos="9516"/>
        </w:tabs>
        <w:spacing w:before="233"/>
        <w:ind w:left="766" w:right="0" w:firstLine="0"/>
        <w:jc w:val="left"/>
        <w:rPr>
          <w:rFonts w:ascii="黑体" w:eastAsia="黑体" w:hint="eastAsia"/>
          <w:b/>
          <w:sz w:val="36"/>
        </w:rPr>
      </w:pPr>
      <w:r>
        <w:rPr>
          <w:rFonts w:ascii="Calibri" w:eastAsia="Calibri"/>
          <w:sz w:val="36"/>
        </w:rPr>
        <w:t>1</w:t>
      </w:r>
      <w:r>
        <w:rPr>
          <w:sz w:val="36"/>
        </w:rPr>
        <w:t>、宏观影响性分析</w:t>
        <w:tab/>
      </w:r>
      <w:r>
        <w:rPr>
          <w:rFonts w:ascii="黑体" w:eastAsia="黑体" w:hint="eastAsia"/>
          <w:b/>
          <w:spacing w:val="3"/>
          <w:w w:val="95"/>
          <w:sz w:val="36"/>
        </w:rPr>
        <w:t>错</w:t>
      </w:r>
      <w:r>
        <w:rPr>
          <w:rFonts w:ascii="黑体" w:eastAsia="黑体" w:hint="eastAsia"/>
          <w:b/>
          <w:w w:val="95"/>
          <w:sz w:val="36"/>
        </w:rPr>
        <w:t>误</w:t>
      </w:r>
      <w:r>
        <w:rPr>
          <w:rFonts w:ascii="黑体" w:eastAsia="黑体" w:hint="eastAsia"/>
          <w:b/>
          <w:spacing w:val="3"/>
          <w:w w:val="95"/>
          <w:sz w:val="36"/>
        </w:rPr>
        <w:t>!</w:t>
      </w:r>
      <w:r>
        <w:rPr>
          <w:rFonts w:ascii="黑体" w:eastAsia="黑体" w:hint="eastAsia"/>
          <w:b/>
          <w:w w:val="95"/>
          <w:sz w:val="36"/>
        </w:rPr>
        <w:t>未定义书签。</w:t>
      </w:r>
    </w:p>
    <w:p>
      <w:pPr>
        <w:tabs>
          <w:tab w:val="left" w:leader="dot" w:pos="9516"/>
        </w:tabs>
        <w:spacing w:before="202"/>
        <w:ind w:left="766" w:right="0" w:firstLine="0"/>
        <w:jc w:val="left"/>
        <w:rPr>
          <w:rFonts w:ascii="黑体" w:eastAsia="黑体" w:hint="eastAsia"/>
          <w:b/>
          <w:sz w:val="36"/>
        </w:rPr>
      </w:pPr>
      <w:r>
        <w:rPr>
          <w:rFonts w:ascii="Calibri" w:eastAsia="Calibri"/>
          <w:sz w:val="36"/>
        </w:rPr>
        <w:t>2</w:t>
      </w:r>
      <w:r>
        <w:rPr>
          <w:sz w:val="36"/>
        </w:rPr>
        <w:t>、规划符合性分析</w:t>
        <w:tab/>
      </w:r>
      <w:r>
        <w:rPr>
          <w:rFonts w:ascii="黑体" w:eastAsia="黑体" w:hint="eastAsia"/>
          <w:b/>
          <w:spacing w:val="3"/>
          <w:w w:val="95"/>
          <w:sz w:val="36"/>
        </w:rPr>
        <w:t>错</w:t>
      </w:r>
      <w:r>
        <w:rPr>
          <w:rFonts w:ascii="黑体" w:eastAsia="黑体" w:hint="eastAsia"/>
          <w:b/>
          <w:w w:val="95"/>
          <w:sz w:val="36"/>
        </w:rPr>
        <w:t>误</w:t>
      </w:r>
      <w:r>
        <w:rPr>
          <w:rFonts w:ascii="黑体" w:eastAsia="黑体" w:hint="eastAsia"/>
          <w:b/>
          <w:spacing w:val="3"/>
          <w:w w:val="95"/>
          <w:sz w:val="36"/>
        </w:rPr>
        <w:t>!</w:t>
      </w:r>
      <w:r>
        <w:rPr>
          <w:rFonts w:ascii="黑体" w:eastAsia="黑体" w:hint="eastAsia"/>
          <w:b/>
          <w:w w:val="95"/>
          <w:sz w:val="36"/>
        </w:rPr>
        <w:t>未定义书签。</w:t>
      </w:r>
    </w:p>
    <w:p>
      <w:pPr>
        <w:tabs>
          <w:tab w:val="left" w:leader="dot" w:pos="9516"/>
        </w:tabs>
        <w:spacing w:before="197"/>
        <w:ind w:left="766" w:right="0" w:firstLine="0"/>
        <w:jc w:val="left"/>
        <w:rPr>
          <w:rFonts w:ascii="黑体" w:eastAsia="黑体" w:hint="eastAsia"/>
          <w:b/>
          <w:sz w:val="36"/>
        </w:rPr>
      </w:pPr>
      <w:r>
        <w:rPr>
          <w:rFonts w:ascii="Calibri" w:eastAsia="Calibri"/>
          <w:sz w:val="36"/>
        </w:rPr>
        <w:t>3</w:t>
      </w:r>
      <w:r>
        <w:rPr>
          <w:sz w:val="36"/>
        </w:rPr>
        <w:t>、场地条件分析</w:t>
        <w:tab/>
      </w:r>
      <w:r>
        <w:rPr>
          <w:rFonts w:ascii="黑体" w:eastAsia="黑体" w:hint="eastAsia"/>
          <w:b/>
          <w:spacing w:val="3"/>
          <w:w w:val="95"/>
          <w:sz w:val="36"/>
        </w:rPr>
        <w:t>错</w:t>
      </w:r>
      <w:r>
        <w:rPr>
          <w:rFonts w:ascii="黑体" w:eastAsia="黑体" w:hint="eastAsia"/>
          <w:b/>
          <w:w w:val="95"/>
          <w:sz w:val="36"/>
        </w:rPr>
        <w:t>误</w:t>
      </w:r>
      <w:r>
        <w:rPr>
          <w:rFonts w:ascii="黑体" w:eastAsia="黑体" w:hint="eastAsia"/>
          <w:b/>
          <w:spacing w:val="3"/>
          <w:w w:val="95"/>
          <w:sz w:val="36"/>
        </w:rPr>
        <w:t>!</w:t>
      </w:r>
      <w:r>
        <w:rPr>
          <w:rFonts w:ascii="黑体" w:eastAsia="黑体" w:hint="eastAsia"/>
          <w:b/>
          <w:w w:val="95"/>
          <w:sz w:val="36"/>
        </w:rPr>
        <w:t>未定义书签。</w:t>
      </w:r>
    </w:p>
    <w:p>
      <w:pPr>
        <w:tabs>
          <w:tab w:val="left" w:leader="dot" w:pos="9516"/>
        </w:tabs>
        <w:spacing w:before="198"/>
        <w:ind w:left="766" w:right="0" w:firstLine="0"/>
        <w:jc w:val="left"/>
        <w:rPr>
          <w:rFonts w:ascii="黑体" w:eastAsia="黑体" w:hint="eastAsia"/>
          <w:b/>
          <w:sz w:val="36"/>
        </w:rPr>
      </w:pPr>
      <w:r>
        <w:rPr>
          <w:rFonts w:ascii="Calibri" w:eastAsia="Calibri"/>
          <w:sz w:val="36"/>
        </w:rPr>
        <w:t>4</w:t>
      </w:r>
      <w:r>
        <w:rPr>
          <w:sz w:val="36"/>
        </w:rPr>
        <w:t>、外部条件分析</w:t>
        <w:tab/>
      </w:r>
      <w:r>
        <w:rPr>
          <w:rFonts w:ascii="黑体" w:eastAsia="黑体" w:hint="eastAsia"/>
          <w:b/>
          <w:spacing w:val="3"/>
          <w:w w:val="95"/>
          <w:sz w:val="36"/>
        </w:rPr>
        <w:t>错</w:t>
      </w:r>
      <w:r>
        <w:rPr>
          <w:rFonts w:ascii="黑体" w:eastAsia="黑体" w:hint="eastAsia"/>
          <w:b/>
          <w:w w:val="95"/>
          <w:sz w:val="36"/>
        </w:rPr>
        <w:t>误</w:t>
      </w:r>
      <w:r>
        <w:rPr>
          <w:rFonts w:ascii="黑体" w:eastAsia="黑体" w:hint="eastAsia"/>
          <w:b/>
          <w:spacing w:val="3"/>
          <w:w w:val="95"/>
          <w:sz w:val="36"/>
        </w:rPr>
        <w:t>!</w:t>
      </w:r>
      <w:r>
        <w:rPr>
          <w:rFonts w:ascii="黑体" w:eastAsia="黑体" w:hint="eastAsia"/>
          <w:b/>
          <w:w w:val="95"/>
          <w:sz w:val="36"/>
        </w:rPr>
        <w:t>未定义书签。</w:t>
      </w:r>
    </w:p>
    <w:p>
      <w:pPr>
        <w:tabs>
          <w:tab w:val="left" w:leader="dot" w:pos="9516"/>
        </w:tabs>
        <w:spacing w:before="201"/>
        <w:ind w:left="766" w:right="0" w:firstLine="0"/>
        <w:jc w:val="left"/>
        <w:rPr>
          <w:rFonts w:ascii="黑体" w:eastAsia="黑体" w:hint="eastAsia"/>
          <w:b/>
          <w:sz w:val="36"/>
        </w:rPr>
      </w:pPr>
      <w:r>
        <w:rPr>
          <w:rFonts w:ascii="Calibri" w:eastAsia="Calibri"/>
          <w:sz w:val="36"/>
        </w:rPr>
        <w:t>5</w:t>
      </w:r>
      <w:r>
        <w:rPr>
          <w:sz w:val="36"/>
        </w:rPr>
        <w:t>、公众影响性分析</w:t>
        <w:tab/>
      </w:r>
      <w:r>
        <w:rPr>
          <w:rFonts w:ascii="黑体" w:eastAsia="黑体" w:hint="eastAsia"/>
          <w:b/>
          <w:spacing w:val="3"/>
          <w:w w:val="95"/>
          <w:sz w:val="36"/>
        </w:rPr>
        <w:t>错</w:t>
      </w:r>
      <w:r>
        <w:rPr>
          <w:rFonts w:ascii="黑体" w:eastAsia="黑体" w:hint="eastAsia"/>
          <w:b/>
          <w:w w:val="95"/>
          <w:sz w:val="36"/>
        </w:rPr>
        <w:t>误</w:t>
      </w:r>
      <w:r>
        <w:rPr>
          <w:rFonts w:ascii="黑体" w:eastAsia="黑体" w:hint="eastAsia"/>
          <w:b/>
          <w:spacing w:val="3"/>
          <w:w w:val="95"/>
          <w:sz w:val="36"/>
        </w:rPr>
        <w:t>!</w:t>
      </w:r>
      <w:r>
        <w:rPr>
          <w:rFonts w:ascii="黑体" w:eastAsia="黑体" w:hint="eastAsia"/>
          <w:b/>
          <w:w w:val="95"/>
          <w:sz w:val="36"/>
        </w:rPr>
        <w:t>未定义书签。</w:t>
      </w:r>
    </w:p>
    <w:p>
      <w:pPr>
        <w:tabs>
          <w:tab w:val="left" w:leader="dot" w:pos="9516"/>
        </w:tabs>
        <w:spacing w:before="197"/>
        <w:ind w:left="766" w:right="0" w:firstLine="0"/>
        <w:jc w:val="left"/>
        <w:rPr>
          <w:rFonts w:ascii="黑体" w:eastAsia="黑体" w:hint="eastAsia"/>
          <w:b/>
          <w:sz w:val="36"/>
        </w:rPr>
      </w:pPr>
      <w:r>
        <w:rPr>
          <w:rFonts w:ascii="Calibri" w:eastAsia="Calibri"/>
          <w:sz w:val="36"/>
        </w:rPr>
        <w:t>6</w:t>
      </w:r>
      <w:r>
        <w:rPr>
          <w:sz w:val="36"/>
        </w:rPr>
        <w:t>、环境影响性分析</w:t>
        <w:tab/>
      </w:r>
      <w:r>
        <w:rPr>
          <w:rFonts w:ascii="黑体" w:eastAsia="黑体" w:hint="eastAsia"/>
          <w:b/>
          <w:spacing w:val="3"/>
          <w:w w:val="95"/>
          <w:sz w:val="36"/>
        </w:rPr>
        <w:t>错</w:t>
      </w:r>
      <w:r>
        <w:rPr>
          <w:rFonts w:ascii="黑体" w:eastAsia="黑体" w:hint="eastAsia"/>
          <w:b/>
          <w:w w:val="95"/>
          <w:sz w:val="36"/>
        </w:rPr>
        <w:t>误</w:t>
      </w:r>
      <w:r>
        <w:rPr>
          <w:rFonts w:ascii="黑体" w:eastAsia="黑体" w:hint="eastAsia"/>
          <w:b/>
          <w:spacing w:val="3"/>
          <w:w w:val="95"/>
          <w:sz w:val="36"/>
        </w:rPr>
        <w:t>!</w:t>
      </w:r>
      <w:r>
        <w:rPr>
          <w:rFonts w:ascii="黑体" w:eastAsia="黑体" w:hint="eastAsia"/>
          <w:b/>
          <w:w w:val="95"/>
          <w:sz w:val="36"/>
        </w:rPr>
        <w:t>未定义书签。</w:t>
      </w:r>
    </w:p>
    <w:p>
      <w:pPr>
        <w:tabs>
          <w:tab w:val="left" w:leader="dot" w:pos="9012"/>
        </w:tabs>
        <w:spacing w:before="85"/>
        <w:ind w:left="144" w:right="0" w:firstLine="0"/>
        <w:jc w:val="left"/>
        <w:rPr>
          <w:rFonts w:ascii="黑体" w:eastAsia="黑体" w:hint="eastAsia"/>
          <w:b/>
          <w:sz w:val="42"/>
        </w:rPr>
      </w:pPr>
      <w:r>
        <w:rPr>
          <w:sz w:val="42"/>
        </w:rPr>
        <w:t>六、结论与建议</w:t>
        <w:tab/>
      </w:r>
      <w:r>
        <w:rPr>
          <w:rFonts w:ascii="黑体" w:eastAsia="黑体" w:hint="eastAsia"/>
          <w:b/>
          <w:w w:val="95"/>
          <w:sz w:val="42"/>
        </w:rPr>
        <w:t>错误!未定义书签。</w:t>
      </w:r>
    </w:p>
    <w:p>
      <w:pPr>
        <w:tabs>
          <w:tab w:val="left" w:leader="dot" w:pos="9516"/>
        </w:tabs>
        <w:spacing w:before="238"/>
        <w:ind w:left="766" w:right="0" w:firstLine="0"/>
        <w:jc w:val="left"/>
        <w:rPr>
          <w:rFonts w:ascii="黑体" w:eastAsia="黑体" w:hint="eastAsia"/>
          <w:b/>
          <w:sz w:val="36"/>
        </w:rPr>
      </w:pPr>
      <w:r>
        <w:rPr>
          <w:rFonts w:ascii="Calibri" w:eastAsia="Calibri"/>
          <w:sz w:val="36"/>
        </w:rPr>
        <w:t>1</w:t>
      </w:r>
      <w:r>
        <w:rPr>
          <w:sz w:val="36"/>
        </w:rPr>
        <w:t>、结论</w:t>
        <w:tab/>
      </w:r>
      <w:r>
        <w:rPr>
          <w:rFonts w:ascii="黑体" w:eastAsia="黑体" w:hint="eastAsia"/>
          <w:b/>
          <w:spacing w:val="3"/>
          <w:w w:val="95"/>
          <w:sz w:val="36"/>
        </w:rPr>
        <w:t>错</w:t>
      </w:r>
      <w:r>
        <w:rPr>
          <w:rFonts w:ascii="黑体" w:eastAsia="黑体" w:hint="eastAsia"/>
          <w:b/>
          <w:w w:val="95"/>
          <w:sz w:val="36"/>
        </w:rPr>
        <w:t>误</w:t>
      </w:r>
      <w:r>
        <w:rPr>
          <w:rFonts w:ascii="黑体" w:eastAsia="黑体" w:hint="eastAsia"/>
          <w:b/>
          <w:spacing w:val="3"/>
          <w:w w:val="95"/>
          <w:sz w:val="36"/>
        </w:rPr>
        <w:t>!</w:t>
      </w:r>
      <w:r>
        <w:rPr>
          <w:rFonts w:ascii="黑体" w:eastAsia="黑体" w:hint="eastAsia"/>
          <w:b/>
          <w:w w:val="95"/>
          <w:sz w:val="36"/>
        </w:rPr>
        <w:t>未定义书签。</w:t>
      </w:r>
    </w:p>
    <w:p>
      <w:pPr>
        <w:tabs>
          <w:tab w:val="left" w:leader="dot" w:pos="9516"/>
        </w:tabs>
        <w:spacing w:before="198"/>
        <w:ind w:left="766" w:right="0" w:firstLine="0"/>
        <w:jc w:val="left"/>
        <w:rPr>
          <w:rFonts w:ascii="黑体" w:eastAsia="黑体" w:hint="eastAsia"/>
          <w:b/>
          <w:sz w:val="36"/>
        </w:rPr>
      </w:pPr>
      <w:r>
        <w:rPr>
          <w:rFonts w:ascii="Calibri" w:eastAsia="Calibri"/>
          <w:sz w:val="36"/>
        </w:rPr>
        <w:t>2</w:t>
      </w:r>
      <w:r>
        <w:rPr>
          <w:sz w:val="36"/>
        </w:rPr>
        <w:t>、建议</w:t>
        <w:tab/>
      </w:r>
      <w:r>
        <w:rPr>
          <w:rFonts w:ascii="黑体" w:eastAsia="黑体" w:hint="eastAsia"/>
          <w:b/>
          <w:spacing w:val="3"/>
          <w:w w:val="95"/>
          <w:sz w:val="36"/>
        </w:rPr>
        <w:t>错</w:t>
      </w:r>
      <w:r>
        <w:rPr>
          <w:rFonts w:ascii="黑体" w:eastAsia="黑体" w:hint="eastAsia"/>
          <w:b/>
          <w:w w:val="95"/>
          <w:sz w:val="36"/>
        </w:rPr>
        <w:t>误</w:t>
      </w:r>
      <w:r>
        <w:rPr>
          <w:rFonts w:ascii="黑体" w:eastAsia="黑体" w:hint="eastAsia"/>
          <w:b/>
          <w:spacing w:val="3"/>
          <w:w w:val="95"/>
          <w:sz w:val="36"/>
        </w:rPr>
        <w:t>!</w:t>
      </w:r>
      <w:r>
        <w:rPr>
          <w:rFonts w:ascii="黑体" w:eastAsia="黑体" w:hint="eastAsia"/>
          <w:b/>
          <w:w w:val="95"/>
          <w:sz w:val="36"/>
        </w:rPr>
        <w:t>未定义书签。</w:t>
      </w:r>
    </w:p>
    <w:p>
      <w:pPr>
        <w:pStyle w:val="BodyText"/>
        <w:spacing w:before="85"/>
      </w:pPr>
      <w:r>
        <w:t>七、附图</w:t>
      </w:r>
    </w:p>
    <w:p>
      <w:pPr>
        <w:spacing w:before="237"/>
        <w:ind w:left="856" w:right="0" w:firstLine="0"/>
        <w:jc w:val="left"/>
        <w:rPr>
          <w:sz w:val="36"/>
        </w:rPr>
      </w:pPr>
      <w:r>
        <w:rPr>
          <w:rFonts w:ascii="Calibri" w:eastAsia="Calibri"/>
          <w:sz w:val="36"/>
        </w:rPr>
        <w:t>1</w:t>
      </w:r>
      <w:r>
        <w:rPr>
          <w:sz w:val="36"/>
        </w:rPr>
        <w:t>、</w:t>
      </w:r>
      <w:r>
        <w:rPr>
          <w:rFonts w:ascii="Calibri" w:eastAsia="Calibri"/>
          <w:sz w:val="36"/>
        </w:rPr>
        <w:t xml:space="preserve">XX </w:t>
      </w:r>
      <w:r>
        <w:rPr>
          <w:sz w:val="36"/>
        </w:rPr>
        <w:t>地理位置图</w:t>
      </w:r>
    </w:p>
    <w:p>
      <w:pPr>
        <w:spacing w:before="197"/>
        <w:ind w:left="856" w:right="0" w:firstLine="0"/>
        <w:jc w:val="left"/>
        <w:rPr>
          <w:sz w:val="36"/>
        </w:rPr>
      </w:pPr>
      <w:r>
        <w:rPr>
          <w:rFonts w:ascii="Calibri" w:eastAsia="Calibri"/>
          <w:sz w:val="36"/>
        </w:rPr>
        <w:t>2</w:t>
      </w:r>
      <w:r>
        <w:rPr>
          <w:sz w:val="36"/>
        </w:rPr>
        <w:t>、推荐线路在总体规划中的位置示意图</w:t>
      </w:r>
    </w:p>
    <w:p>
      <w:pPr>
        <w:spacing w:before="197"/>
        <w:ind w:left="856" w:right="0" w:firstLine="0"/>
        <w:jc w:val="left"/>
        <w:rPr>
          <w:sz w:val="36"/>
        </w:rPr>
      </w:pPr>
      <w:r>
        <w:rPr>
          <w:rFonts w:ascii="Calibri" w:eastAsia="Calibri"/>
          <w:sz w:val="36"/>
        </w:rPr>
        <w:t>3</w:t>
      </w:r>
      <w:r>
        <w:rPr>
          <w:sz w:val="36"/>
        </w:rPr>
        <w:t>、</w:t>
      </w:r>
      <w:r>
        <w:rPr>
          <w:rFonts w:ascii="Calibri" w:eastAsia="Calibri"/>
          <w:sz w:val="36"/>
        </w:rPr>
        <w:t xml:space="preserve">XX </w:t>
      </w:r>
      <w:r>
        <w:rPr>
          <w:sz w:val="36"/>
        </w:rPr>
        <w:t>推荐线路走向位置示意图</w:t>
      </w:r>
    </w:p>
    <w:p>
      <w:pPr>
        <w:spacing w:after="0"/>
        <w:jc w:val="left"/>
        <w:rPr>
          <w:sz w:val="36"/>
        </w:rPr>
        <w:sectPr>
          <w:pgSz w:w="17860" w:h="25260"/>
          <w:pgMar w:top="2420" w:right="2340" w:bottom="280" w:left="2560" w:header="708" w:footer="708"/>
          <w:pgNumType w:start="3"/>
          <w:cols w:space="708"/>
        </w:sectPr>
      </w:pPr>
    </w:p>
    <w:p>
      <w:pPr>
        <w:pStyle w:val="Heading1"/>
        <w:spacing w:before="20"/>
      </w:pPr>
      <w:r>
        <w:t>一、项目概况</w:t>
      </w:r>
    </w:p>
    <w:p>
      <w:pPr>
        <w:pStyle w:val="BodyText"/>
        <w:spacing w:before="1"/>
        <w:ind w:left="0"/>
        <w:rPr>
          <w:b/>
          <w:sz w:val="31"/>
        </w:rPr>
      </w:pPr>
    </w:p>
    <w:p>
      <w:pPr>
        <w:pStyle w:val="BodyText"/>
      </w:pPr>
      <w:r>
        <w:rPr>
          <w:rFonts w:ascii="Calibri" w:eastAsia="Calibri"/>
        </w:rPr>
        <w:t>1</w:t>
      </w:r>
      <w:r>
        <w:t>、项目建设背景</w:t>
      </w:r>
    </w:p>
    <w:p>
      <w:pPr>
        <w:pStyle w:val="BodyText"/>
        <w:spacing w:before="398" w:line="417" w:lineRule="auto"/>
        <w:ind w:right="508" w:firstLine="719"/>
        <w:jc w:val="both"/>
      </w:pPr>
      <w:r>
        <w:rPr>
          <w:rFonts w:ascii="Calibri" w:eastAsia="Calibri" w:hAnsi="Calibri"/>
        </w:rPr>
        <w:t xml:space="preserve">2004 </w:t>
      </w:r>
      <w:r>
        <w:t>年青春山经济技术开发区更名为康巴什新区，并把其确定为鄂尔多斯市的政治、经济和文化中心。因此，康巴什新区成为了全市重点建设的地区之一。随着鄂尔多斯市经济的高速发展，康巴什新区的城市面貌日新月异，各项城市基础设施也日渐完善，康巴什新区的人口也在逐年增长。特别是市级行政办公单位和一些中小学的迁入，使东胜区与康巴什新区间唯一的一条快速通道——东康快线交通日渐拥堵。</w:t>
      </w:r>
    </w:p>
    <w:p>
      <w:pPr>
        <w:pStyle w:val="BodyText"/>
        <w:spacing w:line="417" w:lineRule="auto"/>
        <w:ind w:right="294" w:firstLine="719"/>
      </w:pPr>
      <w:r>
        <w:rPr>
          <w:spacing w:val="-23"/>
        </w:rPr>
        <w:t>此外，根据《鄂尔多斯伊金霍洛机场改扩建工程可行性研究报告》</w:t>
      </w:r>
      <w:r>
        <w:rPr>
          <w:spacing w:val="-17"/>
        </w:rPr>
        <w:t xml:space="preserve">的研究成果，鄂尔多斯机场至 </w:t>
      </w:r>
      <w:r>
        <w:rPr>
          <w:rFonts w:ascii="Calibri" w:eastAsia="Calibri"/>
        </w:rPr>
        <w:t xml:space="preserve">2015 </w:t>
      </w:r>
      <w:r>
        <w:rPr>
          <w:spacing w:val="-12"/>
        </w:rPr>
        <w:t xml:space="preserve">年其客运量将达到 </w:t>
      </w:r>
      <w:r>
        <w:rPr>
          <w:rFonts w:ascii="Calibri" w:eastAsia="Calibri"/>
        </w:rPr>
        <w:t xml:space="preserve">272471 </w:t>
      </w:r>
      <w:r>
        <w:t>人次</w:t>
      </w:r>
      <w:r>
        <w:rPr>
          <w:rFonts w:ascii="Calibri" w:eastAsia="Calibri"/>
        </w:rPr>
        <w:t xml:space="preserve">/ </w:t>
      </w:r>
      <w:r>
        <w:rPr>
          <w:spacing w:val="-15"/>
        </w:rPr>
        <w:t xml:space="preserve">年，货运吞吐量为 </w:t>
      </w:r>
      <w:r>
        <w:rPr>
          <w:rFonts w:ascii="Calibri" w:eastAsia="Calibri"/>
        </w:rPr>
        <w:t xml:space="preserve">2442 </w:t>
      </w:r>
      <w:r>
        <w:t>吨</w:t>
      </w:r>
      <w:r>
        <w:rPr>
          <w:rFonts w:ascii="Calibri" w:eastAsia="Calibri"/>
        </w:rPr>
        <w:t>/</w:t>
      </w:r>
      <w:r>
        <w:rPr>
          <w:spacing w:val="-16"/>
        </w:rPr>
        <w:t xml:space="preserve">年，年飞行架次 </w:t>
      </w:r>
      <w:r>
        <w:rPr>
          <w:rFonts w:ascii="Calibri" w:eastAsia="Calibri"/>
        </w:rPr>
        <w:t xml:space="preserve">4469 </w:t>
      </w:r>
      <w:r>
        <w:t>次。届时，东胜区与机场间的联系将会更加的紧密。一条东康快线已无法满足其交通量日益增长的需求。因此，本工程项目的修建已成为解决东胜区与康巴什新间、东胜区与机场间交通拥堵问题的必然之举。</w:t>
      </w:r>
    </w:p>
    <w:p>
      <w:pPr>
        <w:pStyle w:val="BodyText"/>
        <w:spacing w:line="537" w:lineRule="exact"/>
      </w:pPr>
      <w:r>
        <w:rPr>
          <w:rFonts w:ascii="Calibri" w:eastAsia="Calibri"/>
        </w:rPr>
        <w:t>2</w:t>
      </w:r>
      <w:r>
        <w:t>、项目建设的必要性</w:t>
      </w:r>
    </w:p>
    <w:p>
      <w:pPr>
        <w:pStyle w:val="ListParagraph"/>
        <w:numPr>
          <w:ilvl w:val="0"/>
          <w:numId w:val="10"/>
        </w:numPr>
        <w:tabs>
          <w:tab w:val="left" w:pos="1193"/>
        </w:tabs>
        <w:spacing w:before="396" w:after="0" w:line="240" w:lineRule="auto"/>
        <w:ind w:left="1192" w:right="0" w:hanging="1056"/>
        <w:jc w:val="left"/>
        <w:rPr>
          <w:sz w:val="42"/>
        </w:rPr>
      </w:pPr>
      <w:r>
        <w:rPr>
          <w:sz w:val="42"/>
        </w:rPr>
        <w:t>是国家实施西部大开发战略的需要</w:t>
      </w:r>
    </w:p>
    <w:p>
      <w:pPr>
        <w:pStyle w:val="BodyText"/>
        <w:spacing w:before="398" w:line="417" w:lineRule="auto"/>
        <w:ind w:right="605" w:firstLine="838"/>
        <w:jc w:val="both"/>
      </w:pPr>
      <w:r>
        <w:t>实施西部大开发战略、加快西部地区发展，是党中央在我国社会、经济改革和建设发展到一个新阶段的形势下，面向新世纪作出的重大决策，也是我国经济建设第三步战略的重要组成部分，具有重要的现实意义和深远的历史意义。</w:t>
      </w:r>
    </w:p>
    <w:p>
      <w:pPr>
        <w:pStyle w:val="BodyText"/>
        <w:spacing w:line="538" w:lineRule="exact"/>
        <w:ind w:left="975"/>
      </w:pPr>
      <w:r>
        <w:t>对于西部大开发，党中央强调首先要进一步加快基础设施建设，</w:t>
      </w:r>
    </w:p>
    <w:p>
      <w:pPr>
        <w:spacing w:after="0" w:line="538" w:lineRule="exact"/>
        <w:sectPr>
          <w:pgSz w:w="17860" w:h="25260"/>
          <w:pgMar w:top="1960" w:right="2340" w:bottom="280" w:left="2560" w:header="708" w:footer="708"/>
          <w:pgNumType w:start="4"/>
          <w:cols w:space="708"/>
        </w:sectPr>
      </w:pPr>
    </w:p>
    <w:p>
      <w:pPr>
        <w:pStyle w:val="BodyText"/>
        <w:spacing w:before="20" w:line="417" w:lineRule="auto"/>
        <w:ind w:right="299"/>
      </w:pPr>
      <w:r>
        <w:t>这是西部大开发的基础。长期以来，由于客观的多种原因，西部交通基础设施严重落后，成为制约西部经济社会发展的一个“瓶颈</w:t>
      </w:r>
      <w:r>
        <w:rPr>
          <w:spacing w:val="-124"/>
        </w:rPr>
        <w:t xml:space="preserve">”。因此，中央在做出西部大开发的重大举措时，提出“交通先行，适当超前”的方针。并把交通建设放在西部大开发重中之重的优先地位。西部地区要实现快速持续的发展，就必须加大交通基础设施建设的力度，这是西部大开发的重要保障。在所有交通运输设施中， </w:t>
      </w:r>
      <w:r>
        <w:rPr>
          <w:spacing w:val="-45"/>
        </w:rPr>
        <w:t>公路建设则是重点，公路是西部地区最为重要和最直接的运输方式。</w:t>
      </w:r>
    </w:p>
    <w:p>
      <w:pPr>
        <w:pStyle w:val="BodyText"/>
        <w:spacing w:line="417" w:lineRule="auto"/>
        <w:ind w:right="376" w:firstLine="838"/>
      </w:pPr>
      <w:r>
        <w:t>实施西部大开发以来，我国交通事业进入了历史上发展最快最</w:t>
      </w:r>
      <w:r>
        <w:rPr>
          <w:spacing w:val="2"/>
        </w:rPr>
        <w:t>好的时期，公路、水路基础设施建设取得新的重大进展。截止</w:t>
      </w:r>
      <w:r>
        <w:rPr>
          <w:rFonts w:ascii="Calibri" w:eastAsia="Calibri"/>
        </w:rPr>
        <w:t xml:space="preserve">2008 </w:t>
      </w:r>
      <w:r>
        <w:rPr>
          <w:spacing w:val="-8"/>
        </w:rPr>
        <w:t xml:space="preserve">年底，全区公路里程总计 </w:t>
      </w:r>
      <w:r>
        <w:rPr>
          <w:rFonts w:ascii="Calibri" w:eastAsia="Calibri"/>
        </w:rPr>
        <w:t xml:space="preserve">147288 </w:t>
      </w:r>
      <w:r>
        <w:rPr>
          <w:spacing w:val="-9"/>
        </w:rPr>
        <w:t xml:space="preserve">公里，其中高速公路 </w:t>
      </w:r>
      <w:r>
        <w:rPr>
          <w:rFonts w:ascii="Calibri" w:eastAsia="Calibri"/>
        </w:rPr>
        <w:t xml:space="preserve">1879 </w:t>
      </w:r>
      <w:r>
        <w:t xml:space="preserve">公里， </w:t>
      </w:r>
      <w:r>
        <w:rPr>
          <w:spacing w:val="-21"/>
        </w:rPr>
        <w:t xml:space="preserve">一级公路 </w:t>
      </w:r>
      <w:r>
        <w:rPr>
          <w:rFonts w:ascii="Calibri" w:eastAsia="Calibri"/>
        </w:rPr>
        <w:t xml:space="preserve">2888 </w:t>
      </w:r>
      <w:r>
        <w:rPr>
          <w:spacing w:val="-14"/>
        </w:rPr>
        <w:t xml:space="preserve">公里，二级公路 </w:t>
      </w:r>
      <w:r>
        <w:rPr>
          <w:rFonts w:ascii="Calibri" w:eastAsia="Calibri"/>
        </w:rPr>
        <w:t xml:space="preserve">11582 </w:t>
      </w:r>
      <w:r>
        <w:rPr>
          <w:spacing w:val="-14"/>
        </w:rPr>
        <w:t xml:space="preserve">公里，三级公路 </w:t>
      </w:r>
      <w:r>
        <w:rPr>
          <w:rFonts w:ascii="Calibri" w:eastAsia="Calibri"/>
        </w:rPr>
        <w:t xml:space="preserve">21542 </w:t>
      </w:r>
      <w:r>
        <w:t xml:space="preserve">公里， </w:t>
      </w:r>
      <w:r>
        <w:rPr>
          <w:spacing w:val="-22"/>
        </w:rPr>
        <w:t xml:space="preserve">四级公路 </w:t>
      </w:r>
      <w:r>
        <w:rPr>
          <w:rFonts w:ascii="Calibri" w:eastAsia="Calibri"/>
        </w:rPr>
        <w:t xml:space="preserve">71754 </w:t>
      </w:r>
      <w:r>
        <w:rPr>
          <w:spacing w:val="-14"/>
        </w:rPr>
        <w:t xml:space="preserve">公里，等外公路 </w:t>
      </w:r>
      <w:r>
        <w:rPr>
          <w:rFonts w:ascii="Calibri" w:eastAsia="Calibri"/>
        </w:rPr>
        <w:t xml:space="preserve">37643 </w:t>
      </w:r>
      <w:r>
        <w:t>公里。</w:t>
      </w:r>
    </w:p>
    <w:p>
      <w:pPr>
        <w:pStyle w:val="BodyText"/>
        <w:spacing w:line="417" w:lineRule="auto"/>
        <w:ind w:right="300" w:firstLine="838"/>
      </w:pPr>
      <w:r>
        <w:t>鄂尔多斯作为我区西部的一个重要盟市，近些年凭借其资源等</w:t>
      </w:r>
      <w:r>
        <w:rPr>
          <w:spacing w:val="-12"/>
        </w:rPr>
        <w:t>优势取得了较快的发展，对全区的经济发展起到了很好的带动作用。</w:t>
      </w:r>
      <w:r>
        <w:t>但由于历史等原因先区域内的路网通达深度及技术等级的搭接均存在一定的问题，公路的建设速度远远低于其经济发展的发展速度。拟建项目的实施有利于促进鄂尔多斯的资源开发及社会经济的全面发展，为我国西部大开发战略的有效实施提供强有力的交通运输保证。</w:t>
      </w:r>
    </w:p>
    <w:p>
      <w:pPr>
        <w:pStyle w:val="ListParagraph"/>
        <w:numPr>
          <w:ilvl w:val="0"/>
          <w:numId w:val="10"/>
        </w:numPr>
        <w:tabs>
          <w:tab w:val="left" w:pos="1193"/>
        </w:tabs>
        <w:spacing w:before="0" w:after="0" w:line="537" w:lineRule="exact"/>
        <w:ind w:left="1192" w:right="0" w:hanging="1056"/>
        <w:jc w:val="left"/>
        <w:rPr>
          <w:sz w:val="42"/>
        </w:rPr>
      </w:pPr>
      <w:r>
        <w:rPr>
          <w:sz w:val="42"/>
        </w:rPr>
        <w:t>是鄂尔多斯机场建设的需要</w:t>
      </w:r>
    </w:p>
    <w:p>
      <w:pPr>
        <w:pStyle w:val="BodyText"/>
        <w:spacing w:before="395" w:line="417" w:lineRule="auto"/>
        <w:ind w:right="526" w:firstLine="838"/>
      </w:pPr>
      <w:r>
        <w:rPr>
          <w:spacing w:val="-4"/>
        </w:rPr>
        <w:t xml:space="preserve">鄂尔多斯机场位于伊金霍洛旗布尔台格乡西北 </w:t>
      </w:r>
      <w:r>
        <w:rPr>
          <w:rFonts w:ascii="Calibri" w:eastAsia="Calibri"/>
        </w:rPr>
        <w:t>3</w:t>
      </w:r>
      <w:r>
        <w:rPr>
          <w:rFonts w:ascii="Calibri" w:eastAsia="Calibri"/>
          <w:spacing w:val="83"/>
        </w:rPr>
        <w:t xml:space="preserve"> </w:t>
      </w:r>
      <w:r>
        <w:rPr>
          <w:spacing w:val="-4"/>
        </w:rPr>
        <w:t>公里处，距东</w:t>
      </w:r>
      <w:r>
        <w:rPr>
          <w:spacing w:val="-31"/>
        </w:rPr>
        <w:t xml:space="preserve">胜区 </w:t>
      </w:r>
      <w:r>
        <w:rPr>
          <w:rFonts w:ascii="Calibri" w:eastAsia="Calibri"/>
        </w:rPr>
        <w:t xml:space="preserve">45 </w:t>
      </w:r>
      <w:r>
        <w:rPr>
          <w:spacing w:val="-13"/>
        </w:rPr>
        <w:t>公里。鄂尔多斯民用机场性质为国内支线机场，主要承担鄂</w:t>
      </w:r>
    </w:p>
    <w:p>
      <w:pPr>
        <w:spacing w:after="0" w:line="417" w:lineRule="auto"/>
        <w:sectPr>
          <w:pgSz w:w="17860" w:h="25260"/>
          <w:pgMar w:top="1960" w:right="2340" w:bottom="280" w:left="2560" w:header="708" w:footer="708"/>
          <w:pgNumType w:start="5"/>
          <w:cols w:space="708"/>
        </w:sectPr>
      </w:pPr>
    </w:p>
    <w:p>
      <w:pPr>
        <w:pStyle w:val="BodyText"/>
        <w:spacing w:before="20" w:line="417" w:lineRule="auto"/>
        <w:ind w:right="511"/>
        <w:jc w:val="both"/>
      </w:pPr>
      <w:r>
        <w:t>尔多斯的航空运输任务，并辐射晋西北和陕东北的部分地区。鄂尔多斯场址从地理位置和气象条件来说均较优越</w:t>
      </w:r>
      <w:r>
        <w:rPr>
          <w:spacing w:val="-37"/>
        </w:rPr>
        <w:t xml:space="preserve">，其距离呼和浩特 </w:t>
      </w:r>
      <w:r>
        <w:rPr>
          <w:rFonts w:ascii="Calibri" w:eastAsia="Calibri"/>
        </w:rPr>
        <w:t xml:space="preserve">277 </w:t>
      </w:r>
      <w:r>
        <w:rPr>
          <w:spacing w:val="-14"/>
        </w:rPr>
        <w:t xml:space="preserve">公里、包头 </w:t>
      </w:r>
      <w:r>
        <w:rPr>
          <w:rFonts w:ascii="Calibri" w:eastAsia="Calibri"/>
        </w:rPr>
        <w:t xml:space="preserve">119 </w:t>
      </w:r>
      <w:r>
        <w:rPr>
          <w:spacing w:val="-13"/>
        </w:rPr>
        <w:t xml:space="preserve">公里、银川 </w:t>
      </w:r>
      <w:r>
        <w:rPr>
          <w:rFonts w:ascii="Calibri" w:eastAsia="Calibri"/>
        </w:rPr>
        <w:t xml:space="preserve">327 </w:t>
      </w:r>
      <w:r>
        <w:rPr>
          <w:spacing w:val="-1"/>
        </w:rPr>
        <w:t>公里等，是邻近机场和专业飞行理</w:t>
      </w:r>
      <w:r>
        <w:t>想的备降场，并且相关事宜已在商谈中。</w:t>
      </w:r>
    </w:p>
    <w:p>
      <w:pPr>
        <w:pStyle w:val="BodyText"/>
        <w:spacing w:line="417" w:lineRule="auto"/>
        <w:ind w:right="519" w:firstLine="838"/>
      </w:pPr>
      <w:r>
        <w:t>随着国家深化投资体制改革的进行和产业结构调整的力度加 大，鄂市与东南沿海经济发达省份之间联系日益紧密，为了开通与</w:t>
      </w:r>
      <w:r>
        <w:rPr>
          <w:spacing w:val="-17"/>
        </w:rPr>
        <w:t xml:space="preserve">沿海发达地区的航线，原批复所确定的 </w:t>
      </w:r>
      <w:r>
        <w:rPr>
          <w:rFonts w:ascii="Calibri" w:eastAsia="Calibri"/>
        </w:rPr>
        <w:t>2400</w:t>
      </w:r>
      <w:r>
        <w:rPr>
          <w:rFonts w:ascii="Calibri" w:eastAsia="Calibri"/>
          <w:spacing w:val="24"/>
        </w:rPr>
        <w:t xml:space="preserve"> </w:t>
      </w:r>
      <w:r>
        <w:t>米长跑道已经不能满足使用需要。为此，鄂市各级领导以高瞻远瞩的战略性眼光、本着立足现有规模充分利用现有资源的想法，提出了有关机场跑道延长及</w:t>
      </w:r>
      <w:r>
        <w:rPr>
          <w:spacing w:val="-19"/>
        </w:rPr>
        <w:t xml:space="preserve">相应规模扩建的要求，并于 </w:t>
      </w:r>
      <w:r>
        <w:rPr>
          <w:rFonts w:ascii="Calibri" w:eastAsia="Calibri"/>
        </w:rPr>
        <w:t>2007</w:t>
      </w:r>
      <w:r>
        <w:rPr>
          <w:rFonts w:ascii="Calibri" w:eastAsia="Calibri"/>
          <w:spacing w:val="5"/>
        </w:rPr>
        <w:t xml:space="preserve"> </w:t>
      </w:r>
      <w:r>
        <w:rPr>
          <w:spacing w:val="-50"/>
        </w:rPr>
        <w:t xml:space="preserve">年 </w:t>
      </w:r>
      <w:r>
        <w:rPr>
          <w:rFonts w:ascii="Calibri" w:eastAsia="Calibri"/>
        </w:rPr>
        <w:t>3</w:t>
      </w:r>
      <w:r>
        <w:rPr>
          <w:rFonts w:ascii="Calibri" w:eastAsia="Calibri"/>
          <w:spacing w:val="23"/>
        </w:rPr>
        <w:t xml:space="preserve"> </w:t>
      </w:r>
      <w:r>
        <w:rPr>
          <w:spacing w:val="-1"/>
        </w:rPr>
        <w:t>月开始了可行性研究报告的编</w:t>
      </w:r>
      <w:r>
        <w:t>制工作。</w:t>
      </w:r>
    </w:p>
    <w:p>
      <w:pPr>
        <w:pStyle w:val="BodyText"/>
        <w:spacing w:line="417" w:lineRule="auto"/>
        <w:ind w:right="315" w:firstLine="838"/>
      </w:pPr>
      <w:r>
        <w:t>根据《鄂尔多斯伊金霍洛机场改扩建工程可行性研究报告》的</w:t>
      </w:r>
      <w:r>
        <w:rPr>
          <w:spacing w:val="-28"/>
        </w:rPr>
        <w:t xml:space="preserve">研究成果，鄂尔多斯机场至 </w:t>
      </w:r>
      <w:r>
        <w:rPr>
          <w:rFonts w:ascii="Calibri" w:eastAsia="Calibri"/>
        </w:rPr>
        <w:t xml:space="preserve">2015 </w:t>
      </w:r>
      <w:r>
        <w:rPr>
          <w:spacing w:val="-13"/>
        </w:rPr>
        <w:t xml:space="preserve">年其客运量将达到 </w:t>
      </w:r>
      <w:r>
        <w:rPr>
          <w:rFonts w:ascii="Calibri" w:eastAsia="Calibri"/>
        </w:rPr>
        <w:t xml:space="preserve">272471 </w:t>
      </w:r>
      <w:r>
        <w:t>人次</w:t>
      </w:r>
      <w:r>
        <w:rPr>
          <w:rFonts w:ascii="Calibri" w:eastAsia="Calibri"/>
        </w:rPr>
        <w:t>/</w:t>
      </w:r>
      <w:r>
        <w:rPr>
          <w:spacing w:val="-6"/>
        </w:rPr>
        <w:t xml:space="preserve">年， </w:t>
      </w:r>
      <w:r>
        <w:rPr>
          <w:spacing w:val="-15"/>
        </w:rPr>
        <w:t xml:space="preserve">货运吞吐量为 </w:t>
      </w:r>
      <w:r>
        <w:rPr>
          <w:rFonts w:ascii="Calibri" w:eastAsia="Calibri"/>
        </w:rPr>
        <w:t xml:space="preserve">2442 </w:t>
      </w:r>
      <w:r>
        <w:t>吨</w:t>
      </w:r>
      <w:r>
        <w:rPr>
          <w:rFonts w:ascii="Calibri" w:eastAsia="Calibri"/>
        </w:rPr>
        <w:t>/</w:t>
      </w:r>
      <w:r>
        <w:rPr>
          <w:spacing w:val="7"/>
        </w:rPr>
        <w:t>年，年飞行架次</w:t>
      </w:r>
      <w:r>
        <w:rPr>
          <w:rFonts w:ascii="Calibri" w:eastAsia="Calibri"/>
        </w:rPr>
        <w:t xml:space="preserve">4469 </w:t>
      </w:r>
      <w:r>
        <w:t>次。航空运输最大的优势就是快捷，这也是人们选择此种出行方式最主要的原因。目前东</w:t>
      </w:r>
      <w:r>
        <w:rPr>
          <w:spacing w:val="-18"/>
        </w:rPr>
        <w:t xml:space="preserve">胜区前往机场的出行路线有两条，一是通过 </w:t>
      </w:r>
      <w:r>
        <w:rPr>
          <w:rFonts w:ascii="Calibri" w:eastAsia="Calibri"/>
        </w:rPr>
        <w:t xml:space="preserve">G210 </w:t>
      </w:r>
      <w:r>
        <w:t>高速公路及阿大线到达机场；二是经由现有的东康快速路及阿大线前往东胜机场。从东胜区及机场的区位来看，这两条出行路线均属绕行，增加车辆运营成本的同时也对航空运输快捷的功能优势产生不利的影响，随着鄂尔多斯机场扩建工程的实施，其机场的客货运量将明显提升，本项目的建设有利于减少东胜区居民前往机场的地面出行时间，对节约车辆运输成本及促进机场的快速发展均具有重要的现实意义。</w:t>
      </w:r>
    </w:p>
    <w:p>
      <w:pPr>
        <w:spacing w:after="0" w:line="417" w:lineRule="auto"/>
        <w:sectPr>
          <w:pgSz w:w="17860" w:h="25260"/>
          <w:pgMar w:top="1960" w:right="2340" w:bottom="280" w:left="2560" w:header="708" w:footer="708"/>
          <w:pgNumType w:start="6"/>
          <w:cols w:space="708"/>
        </w:sectPr>
      </w:pPr>
    </w:p>
    <w:p>
      <w:pPr>
        <w:pStyle w:val="ListParagraph"/>
        <w:numPr>
          <w:ilvl w:val="0"/>
          <w:numId w:val="10"/>
        </w:numPr>
        <w:tabs>
          <w:tab w:val="left" w:pos="1193"/>
        </w:tabs>
        <w:spacing w:before="20" w:after="0" w:line="240" w:lineRule="auto"/>
        <w:ind w:left="1192" w:right="0" w:hanging="1056"/>
        <w:jc w:val="left"/>
        <w:rPr>
          <w:sz w:val="42"/>
        </w:rPr>
      </w:pPr>
      <w:r>
        <w:rPr>
          <w:sz w:val="42"/>
        </w:rPr>
        <w:t>是适应鄂尔多斯市社会经济快速发展的需要</w:t>
      </w:r>
    </w:p>
    <w:p>
      <w:pPr>
        <w:pStyle w:val="BodyText"/>
        <w:spacing w:before="398" w:line="417" w:lineRule="auto"/>
        <w:ind w:right="516" w:firstLine="838"/>
        <w:jc w:val="both"/>
      </w:pPr>
      <w:r>
        <w:t>近几年鄂尔多斯经济快速发展，与沿海城市的经济、文化交往</w:t>
      </w:r>
      <w:r>
        <w:rPr>
          <w:spacing w:val="-36"/>
          <w:w w:val="100"/>
        </w:rPr>
        <w:t>愈发紧密，</w:t>
      </w:r>
      <w:r>
        <w:rPr>
          <w:rFonts w:ascii="Calibri" w:eastAsia="Calibri"/>
          <w:spacing w:val="-1"/>
          <w:w w:val="100"/>
        </w:rPr>
        <w:t>200</w:t>
      </w:r>
      <w:r>
        <w:rPr>
          <w:rFonts w:ascii="Calibri" w:eastAsia="Calibri"/>
          <w:w w:val="100"/>
        </w:rPr>
        <w:t>9</w:t>
      </w:r>
      <w:r>
        <w:rPr>
          <w:rFonts w:ascii="Calibri" w:eastAsia="Calibri"/>
        </w:rPr>
        <w:t xml:space="preserve"> </w:t>
      </w:r>
      <w:r>
        <w:rPr>
          <w:w w:val="100"/>
        </w:rPr>
        <w:t>年</w:t>
      </w:r>
      <w:r>
        <w:rPr>
          <w:spacing w:val="-105"/>
        </w:rPr>
        <w:t xml:space="preserve"> </w:t>
      </w:r>
      <w:r>
        <w:rPr>
          <w:rFonts w:ascii="Calibri" w:eastAsia="Calibri"/>
          <w:w w:val="100"/>
        </w:rPr>
        <w:t>1</w:t>
      </w:r>
      <w:r>
        <w:rPr>
          <w:rFonts w:ascii="Calibri" w:eastAsia="Calibri"/>
        </w:rPr>
        <w:t xml:space="preserve"> </w:t>
      </w:r>
      <w:r>
        <w:rPr>
          <w:w w:val="100"/>
        </w:rPr>
        <w:t>至</w:t>
      </w:r>
      <w:r>
        <w:rPr>
          <w:spacing w:val="-106"/>
        </w:rPr>
        <w:t xml:space="preserve"> </w:t>
      </w:r>
      <w:r>
        <w:rPr>
          <w:rFonts w:ascii="Calibri" w:eastAsia="Calibri"/>
          <w:w w:val="100"/>
        </w:rPr>
        <w:t>6</w:t>
      </w:r>
      <w:r>
        <w:rPr>
          <w:rFonts w:ascii="Calibri" w:eastAsia="Calibri"/>
        </w:rPr>
        <w:t xml:space="preserve"> </w:t>
      </w:r>
      <w:r>
        <w:rPr>
          <w:spacing w:val="-14"/>
          <w:w w:val="100"/>
        </w:rPr>
        <w:t>月份，鄂尔多斯市地方财政总收入完成</w:t>
      </w:r>
      <w:r>
        <w:rPr>
          <w:spacing w:val="-119"/>
        </w:rPr>
        <w:t xml:space="preserve"> </w:t>
      </w:r>
      <w:r>
        <w:rPr>
          <w:rFonts w:ascii="Calibri" w:eastAsia="Calibri"/>
          <w:spacing w:val="-1"/>
          <w:w w:val="100"/>
        </w:rPr>
        <w:t>184</w:t>
      </w:r>
      <w:r>
        <w:rPr>
          <w:spacing w:val="3"/>
        </w:rPr>
        <w:t xml:space="preserve">亿元，同比增长 </w:t>
      </w:r>
      <w:r>
        <w:rPr>
          <w:rFonts w:ascii="Calibri" w:eastAsia="Calibri"/>
        </w:rPr>
        <w:t>60%</w:t>
      </w:r>
      <w:r>
        <w:rPr>
          <w:spacing w:val="-1"/>
        </w:rPr>
        <w:t>，总量位列整个内蒙古自治区各盟市之首。随</w:t>
      </w:r>
      <w:r>
        <w:t>着经济的快速增长，工业产品、原材料、设备和零配件将会大量运进运出，城乡居民的消费需求将大幅增加。</w:t>
      </w:r>
    </w:p>
    <w:p>
      <w:pPr>
        <w:pStyle w:val="BodyText"/>
        <w:spacing w:line="417" w:lineRule="auto"/>
        <w:ind w:right="528" w:firstLine="838"/>
        <w:jc w:val="both"/>
      </w:pPr>
      <w:r>
        <w:t>经济的快速发展必然会促进项目所在区域出行量的增加，进而对公路运输等基础设施提出了更高的要求，公路等基础设施的进一步完善又必然会拉动沿线经济的发展，两者具有相互促进的作用。近年鄂尔多斯凭借其资源等优势经济快速发展。其高速的经济增长率必然对鄂尔多斯的公路建设提出更高的要求，目前东胜至康巴什</w:t>
      </w:r>
      <w:r>
        <w:rPr>
          <w:spacing w:val="-13"/>
        </w:rPr>
        <w:t xml:space="preserve">新区之间的出行主要通过东康快速路，该段公路于 </w:t>
      </w:r>
      <w:r>
        <w:rPr>
          <w:rFonts w:ascii="Calibri" w:eastAsia="Calibri"/>
        </w:rPr>
        <w:t xml:space="preserve">2005 </w:t>
      </w:r>
      <w:r>
        <w:rPr>
          <w:spacing w:val="-3"/>
        </w:rPr>
        <w:t>年建成目前</w:t>
      </w:r>
      <w:r>
        <w:t>已经十分拥堵；而东胜去往机场则主要绕行包茂高速及阿大线，出行不便。本项目建成后在东胜区、康巴什新区及鄂尔多斯机场之间形成一条直达的快速通道，促进鄂尔多斯市的基础设施建设，使公路等基础设施能更好的适应鄂尔多斯经济的快速发展。</w:t>
      </w:r>
    </w:p>
    <w:p>
      <w:pPr>
        <w:pStyle w:val="ListParagraph"/>
        <w:numPr>
          <w:ilvl w:val="0"/>
          <w:numId w:val="10"/>
        </w:numPr>
        <w:tabs>
          <w:tab w:val="left" w:pos="1193"/>
        </w:tabs>
        <w:spacing w:before="0" w:after="0" w:line="535" w:lineRule="exact"/>
        <w:ind w:left="1192" w:right="0" w:hanging="1056"/>
        <w:jc w:val="left"/>
        <w:rPr>
          <w:sz w:val="42"/>
        </w:rPr>
      </w:pPr>
      <w:r>
        <w:rPr>
          <w:sz w:val="42"/>
        </w:rPr>
        <w:t>是康巴什、阿镇物流中心建设的需要</w:t>
      </w:r>
    </w:p>
    <w:p>
      <w:pPr>
        <w:pStyle w:val="BodyText"/>
        <w:spacing w:before="397" w:line="417" w:lineRule="auto"/>
        <w:ind w:right="521" w:firstLine="838"/>
        <w:jc w:val="both"/>
      </w:pPr>
      <w:r>
        <w:t>康巴什物流园区位于康巴什与阿镇之间，拟按一级货运站标准</w:t>
      </w:r>
      <w:r>
        <w:rPr>
          <w:spacing w:val="-10"/>
        </w:rPr>
        <w:t xml:space="preserve">建设，占地面积 </w:t>
      </w:r>
      <w:r>
        <w:rPr>
          <w:rFonts w:ascii="Calibri" w:eastAsia="Calibri"/>
        </w:rPr>
        <w:t>50</w:t>
      </w:r>
      <w:r>
        <w:rPr>
          <w:rFonts w:ascii="Calibri" w:eastAsia="Calibri"/>
          <w:spacing w:val="54"/>
        </w:rPr>
        <w:t xml:space="preserve"> </w:t>
      </w:r>
      <w:r>
        <w:rPr>
          <w:spacing w:val="-7"/>
        </w:rPr>
        <w:t xml:space="preserve">万平方米，设计能力为 </w:t>
      </w:r>
      <w:r>
        <w:rPr>
          <w:rFonts w:ascii="Calibri" w:eastAsia="Calibri"/>
        </w:rPr>
        <w:t>600</w:t>
      </w:r>
      <w:r>
        <w:rPr>
          <w:rFonts w:ascii="Calibri" w:eastAsia="Calibri"/>
          <w:spacing w:val="54"/>
        </w:rPr>
        <w:t xml:space="preserve"> </w:t>
      </w:r>
      <w:r>
        <w:t>万吨</w:t>
      </w:r>
      <w:r>
        <w:rPr>
          <w:rFonts w:ascii="Calibri" w:eastAsia="Calibri"/>
        </w:rPr>
        <w:t>/</w:t>
      </w:r>
      <w:r>
        <w:rPr>
          <w:spacing w:val="-3"/>
        </w:rPr>
        <w:t>年，定位为物</w:t>
      </w:r>
      <w:r>
        <w:t>流中心，以商贸、机械制造物流为主，其他产品为辅。中心设有仓储区、包装加工区、交易区、信息发布和展示区、配送区、商务办公区、其它配套服务区。服务于康巴什新区的货物集散。</w:t>
      </w:r>
    </w:p>
    <w:p>
      <w:pPr>
        <w:spacing w:after="0" w:line="417" w:lineRule="auto"/>
        <w:jc w:val="both"/>
        <w:sectPr>
          <w:pgSz w:w="17860" w:h="25260"/>
          <w:pgMar w:top="1960" w:right="2340" w:bottom="280" w:left="2560" w:header="708" w:footer="708"/>
          <w:pgNumType w:start="7"/>
          <w:cols w:space="708"/>
        </w:sectPr>
      </w:pPr>
    </w:p>
    <w:p>
      <w:pPr>
        <w:pStyle w:val="BodyText"/>
        <w:spacing w:before="20" w:line="417" w:lineRule="auto"/>
        <w:ind w:right="416" w:firstLine="838"/>
        <w:jc w:val="both"/>
      </w:pPr>
      <w:r>
        <w:rPr>
          <w:spacing w:val="-1"/>
        </w:rPr>
        <w:t>阿镇物流园区位于阿勒腾席热镇以东，</w:t>
      </w:r>
      <w:r>
        <w:rPr>
          <w:rFonts w:ascii="Calibri" w:eastAsia="Calibri"/>
          <w:spacing w:val="-12"/>
        </w:rPr>
        <w:t xml:space="preserve">G210 </w:t>
      </w:r>
      <w:r>
        <w:t>线以西，拟按一级</w:t>
      </w:r>
      <w:r>
        <w:rPr>
          <w:spacing w:val="-7"/>
        </w:rPr>
        <w:t xml:space="preserve">货运站标准建设，占地面积 </w:t>
      </w:r>
      <w:r>
        <w:rPr>
          <w:rFonts w:ascii="Calibri" w:eastAsia="Calibri"/>
        </w:rPr>
        <w:t>35</w:t>
      </w:r>
      <w:r>
        <w:rPr>
          <w:rFonts w:ascii="Calibri" w:eastAsia="Calibri"/>
          <w:spacing w:val="54"/>
        </w:rPr>
        <w:t xml:space="preserve"> </w:t>
      </w:r>
      <w:r>
        <w:rPr>
          <w:spacing w:val="-7"/>
        </w:rPr>
        <w:t xml:space="preserve">万平方米，设计生产能力 </w:t>
      </w:r>
      <w:r>
        <w:rPr>
          <w:rFonts w:ascii="Calibri" w:eastAsia="Calibri"/>
        </w:rPr>
        <w:t>400</w:t>
      </w:r>
      <w:r>
        <w:rPr>
          <w:rFonts w:ascii="Calibri" w:eastAsia="Calibri"/>
          <w:spacing w:val="53"/>
        </w:rPr>
        <w:t xml:space="preserve"> </w:t>
      </w:r>
      <w:r>
        <w:t>万吨</w:t>
      </w:r>
      <w:r>
        <w:rPr>
          <w:rFonts w:ascii="Calibri" w:eastAsia="Calibri"/>
        </w:rPr>
        <w:t xml:space="preserve">/ </w:t>
      </w:r>
      <w:r>
        <w:t>年；其定位为物流中心，主要为阿镇的日常生活物资和生产材料提供集散、中转、仓储等物流服务同时为阿镇南部的工业区提供物流</w:t>
      </w:r>
      <w:r>
        <w:rPr>
          <w:spacing w:val="-5"/>
        </w:rPr>
        <w:t xml:space="preserve">业的服务，由于鄂尔多斯机场位于阿镇物流中心东侧的 </w:t>
      </w:r>
      <w:r>
        <w:rPr>
          <w:rFonts w:ascii="Calibri" w:eastAsia="Calibri"/>
        </w:rPr>
        <w:t xml:space="preserve">15 </w:t>
      </w:r>
      <w:r>
        <w:rPr>
          <w:spacing w:val="-4"/>
        </w:rPr>
        <w:t xml:space="preserve">公里处， </w:t>
      </w:r>
      <w:r>
        <w:t>因此阿镇物流中心可以与鄂尔多斯机场形成联运。</w:t>
      </w:r>
    </w:p>
    <w:p>
      <w:pPr>
        <w:pStyle w:val="BodyText"/>
        <w:spacing w:line="417" w:lineRule="auto"/>
        <w:ind w:right="526" w:firstLine="838"/>
        <w:jc w:val="both"/>
      </w:pPr>
      <w:r>
        <w:rPr>
          <w:spacing w:val="-7"/>
        </w:rPr>
        <w:t xml:space="preserve">上述两个物流中心年设计能力将达到 </w:t>
      </w:r>
      <w:r>
        <w:rPr>
          <w:rFonts w:ascii="Calibri" w:eastAsia="Calibri"/>
        </w:rPr>
        <w:t xml:space="preserve">1000 </w:t>
      </w:r>
      <w:r>
        <w:rPr>
          <w:spacing w:val="-16"/>
        </w:rPr>
        <w:t>万吨，拟建项目实施</w:t>
      </w:r>
      <w:r>
        <w:t>后可将上述两个物流中心的重要对外通道，可有效满足园区工业产品、原材料、设备和零配件大量的运进运出，增大物流园区的辐射范围，对促进两物流园区的快速发展具有重要的意义。</w:t>
      </w:r>
    </w:p>
    <w:p>
      <w:pPr>
        <w:pStyle w:val="ListParagraph"/>
        <w:numPr>
          <w:ilvl w:val="0"/>
          <w:numId w:val="10"/>
        </w:numPr>
        <w:tabs>
          <w:tab w:val="left" w:pos="1193"/>
        </w:tabs>
        <w:spacing w:before="0" w:after="0" w:line="537" w:lineRule="exact"/>
        <w:ind w:left="1192" w:right="0" w:hanging="1056"/>
        <w:jc w:val="left"/>
        <w:rPr>
          <w:sz w:val="42"/>
        </w:rPr>
      </w:pPr>
      <w:r>
        <w:rPr>
          <w:sz w:val="42"/>
        </w:rPr>
        <w:t>是鄂尔多斯旅游业发展的需要</w:t>
      </w:r>
    </w:p>
    <w:p>
      <w:pPr>
        <w:pStyle w:val="BodyText"/>
        <w:spacing w:before="397" w:line="417" w:lineRule="auto"/>
        <w:ind w:right="485" w:firstLine="838"/>
        <w:jc w:val="both"/>
      </w:pPr>
      <w:r>
        <w:t>鄂尔多斯市虽是一个以能源为主的地区，但做大做强旅游业对于鄂尔多斯市今后持续发展意义重大。全市围绕“天骄圣地、大漠风光”两大主题，依托成吉思汗文化、鄂尔多斯民族歌舞、沙漠、草原等优势资源，开发的各类景区（点）如成吉思汗陵旅游区、恩格贝沙漠生态旅游区、响沙湾沙漠娱乐旅游区等精品旅游区，黄河峡谷、阿尔寨石窟、百眼井、七星湖、萨拉乌素、秦直道遗址、神东、万家寨、四季青等各类旅游项目合计达</w:t>
      </w:r>
      <w:r>
        <w:rPr>
          <w:rFonts w:ascii="Calibri" w:eastAsia="Calibri" w:hAnsi="Calibri"/>
        </w:rPr>
        <w:t xml:space="preserve">32 </w:t>
      </w:r>
      <w:r>
        <w:rPr>
          <w:spacing w:val="-2"/>
        </w:rPr>
        <w:t>处。各类旅游服务设</w:t>
      </w:r>
      <w:r>
        <w:rPr>
          <w:spacing w:val="-14"/>
        </w:rPr>
        <w:t xml:space="preserve">施不断完善，全市现拥有星级饭店达 </w:t>
      </w:r>
      <w:r>
        <w:rPr>
          <w:rFonts w:ascii="Calibri" w:eastAsia="Calibri" w:hAnsi="Calibri"/>
        </w:rPr>
        <w:t xml:space="preserve">25 </w:t>
      </w:r>
      <w:r>
        <w:rPr>
          <w:spacing w:val="-8"/>
        </w:rPr>
        <w:t>家。可以说现在的鄂尔多斯已经初步具备了旅游业大发展的软硬件基础。</w:t>
      </w:r>
    </w:p>
    <w:p>
      <w:pPr>
        <w:pStyle w:val="BodyText"/>
        <w:spacing w:line="417" w:lineRule="auto"/>
        <w:ind w:right="605" w:firstLine="838"/>
      </w:pPr>
      <w:r>
        <w:t>鄂市政府“十一五”规划中业明确表示，正在努力把城市创建为中国优秀旅游城市，打造成世界知名旅游目的地，以期形成规模</w:t>
      </w:r>
    </w:p>
    <w:p>
      <w:pPr>
        <w:spacing w:after="0" w:line="417" w:lineRule="auto"/>
        <w:sectPr>
          <w:pgSz w:w="17860" w:h="25260"/>
          <w:pgMar w:top="1960" w:right="2340" w:bottom="280" w:left="2560" w:header="708" w:footer="708"/>
          <w:pgNumType w:start="8"/>
          <w:cols w:space="708"/>
        </w:sectPr>
      </w:pPr>
    </w:p>
    <w:p>
      <w:pPr>
        <w:pStyle w:val="BodyText"/>
        <w:spacing w:before="20" w:line="417" w:lineRule="auto"/>
        <w:ind w:right="496"/>
        <w:jc w:val="both"/>
      </w:pPr>
      <w:r>
        <w:t>联动的旅游产业体系，并以旅游业的大发展推动全市经济和社会各</w:t>
      </w:r>
      <w:r>
        <w:rPr>
          <w:spacing w:val="-1"/>
        </w:rPr>
        <w:t>项事业持续、快速、健康发展。预计到</w:t>
      </w:r>
      <w:r>
        <w:rPr>
          <w:rFonts w:ascii="Calibri" w:eastAsia="Calibri"/>
        </w:rPr>
        <w:t>2010</w:t>
      </w:r>
      <w:r>
        <w:rPr>
          <w:rFonts w:ascii="Calibri" w:eastAsia="Calibri"/>
          <w:spacing w:val="32"/>
        </w:rPr>
        <w:t xml:space="preserve"> </w:t>
      </w:r>
      <w:r>
        <w:rPr>
          <w:spacing w:val="-2"/>
        </w:rPr>
        <w:t>年，全市年接待游客突</w:t>
      </w:r>
      <w:r>
        <w:rPr>
          <w:spacing w:val="-49"/>
        </w:rPr>
        <w:t xml:space="preserve">破 </w:t>
      </w:r>
      <w:r>
        <w:rPr>
          <w:rFonts w:ascii="Calibri" w:eastAsia="Calibri"/>
        </w:rPr>
        <w:t>500</w:t>
      </w:r>
      <w:r>
        <w:rPr>
          <w:rFonts w:ascii="Calibri" w:eastAsia="Calibri"/>
          <w:spacing w:val="21"/>
        </w:rPr>
        <w:t xml:space="preserve"> </w:t>
      </w:r>
      <w:r>
        <w:rPr>
          <w:spacing w:val="-14"/>
        </w:rPr>
        <w:t xml:space="preserve">万人次，旅游业总收入相当于地区生产总值的 </w:t>
      </w:r>
      <w:r>
        <w:rPr>
          <w:rFonts w:ascii="Calibri" w:eastAsia="Calibri"/>
          <w:spacing w:val="-4"/>
        </w:rPr>
        <w:t>6%</w:t>
      </w:r>
      <w:r>
        <w:rPr>
          <w:spacing w:val="-12"/>
        </w:rPr>
        <w:t>以上，将旅游业发展成为鄂尔多斯市国民经济新的增长点和第三产业的支柱， 实现由旅游资源大市向旅游大市的战略性跨越。因此可以毫不夸张的说，鄂市旅游业正处于一个全面大发展时期，当地的各项政策和资源都已经向旅游业做出了有利倾斜。</w:t>
      </w:r>
    </w:p>
    <w:p>
      <w:pPr>
        <w:pStyle w:val="BodyText"/>
        <w:spacing w:line="417" w:lineRule="auto"/>
        <w:ind w:right="304" w:firstLine="838"/>
      </w:pPr>
      <w:r>
        <w:rPr>
          <w:spacing w:val="-5"/>
          <w:w w:val="100"/>
        </w:rPr>
        <w:t>在现在这个生活节奏越来越快、消费观念日益更新的时代</w:t>
      </w:r>
      <w:r>
        <w:rPr>
          <w:spacing w:val="-93"/>
          <w:w w:val="100"/>
        </w:rPr>
        <w:t>，“周</w:t>
      </w:r>
      <w:r>
        <w:rPr>
          <w:spacing w:val="-72"/>
        </w:rPr>
        <w:t xml:space="preserve">末 </w:t>
      </w:r>
      <w:r>
        <w:rPr>
          <w:rFonts w:ascii="Calibri" w:eastAsia="Calibri" w:hAnsi="Calibri"/>
        </w:rPr>
        <w:t>2</w:t>
      </w:r>
      <w:r>
        <w:rPr>
          <w:rFonts w:ascii="Calibri" w:eastAsia="Calibri" w:hAnsi="Calibri"/>
          <w:spacing w:val="77"/>
        </w:rPr>
        <w:t xml:space="preserve"> </w:t>
      </w:r>
      <w:r>
        <w:rPr>
          <w:spacing w:val="-37"/>
        </w:rPr>
        <w:t>日游”、“快节奏”、“体验经济”等休闲关键词在国内一些经济</w:t>
      </w:r>
      <w:r>
        <w:rPr>
          <w:spacing w:val="-26"/>
        </w:rPr>
        <w:t>发达地区已经不再是一种时尚，而是逐渐成为一种主流的生活方式。</w:t>
      </w:r>
      <w:r>
        <w:t>鄂尔多斯作为一个拥有雄厚旅游资源的城市要实现旅游业的大发</w:t>
      </w:r>
    </w:p>
    <w:p>
      <w:pPr>
        <w:pStyle w:val="BodyText"/>
        <w:spacing w:line="417" w:lineRule="auto"/>
        <w:ind w:right="605"/>
        <w:jc w:val="both"/>
      </w:pPr>
      <w:r>
        <w:t>展，各种运输方式必须优先发展，拟建项目的建设将与鄂尔多斯机场共同发挥效用，吸引更多的客源，促进鄂尔多斯旅游业及相关产业的快速发展。</w:t>
      </w:r>
    </w:p>
    <w:p>
      <w:pPr>
        <w:pStyle w:val="ListParagraph"/>
        <w:numPr>
          <w:ilvl w:val="0"/>
          <w:numId w:val="10"/>
        </w:numPr>
        <w:tabs>
          <w:tab w:val="left" w:pos="1193"/>
        </w:tabs>
        <w:spacing w:before="0" w:after="0" w:line="538" w:lineRule="exact"/>
        <w:ind w:left="1192" w:right="0" w:hanging="1056"/>
        <w:jc w:val="left"/>
        <w:rPr>
          <w:sz w:val="42"/>
        </w:rPr>
      </w:pPr>
      <w:r>
        <w:rPr>
          <w:sz w:val="42"/>
        </w:rPr>
        <w:t>有利于促进民族团结</w:t>
      </w:r>
    </w:p>
    <w:p>
      <w:pPr>
        <w:pStyle w:val="BodyText"/>
        <w:spacing w:before="395" w:line="417" w:lineRule="auto"/>
        <w:ind w:right="184" w:firstLine="838"/>
      </w:pPr>
      <w:r>
        <w:t xml:space="preserve">内蒙古自治区是我国成立最早的少数民族自治区，是一个以蒙 </w:t>
      </w:r>
      <w:r>
        <w:rPr>
          <w:spacing w:val="-2"/>
        </w:rPr>
        <w:t>古族为主体、汉族占多数、各民族聚居的少数民族地区。</w:t>
      </w:r>
      <w:r>
        <w:rPr>
          <w:rFonts w:ascii="Calibri" w:eastAsia="Calibri"/>
        </w:rPr>
        <w:t>2007</w:t>
      </w:r>
      <w:r>
        <w:rPr>
          <w:rFonts w:ascii="Calibri" w:eastAsia="Calibri"/>
          <w:spacing w:val="9"/>
        </w:rPr>
        <w:t xml:space="preserve"> </w:t>
      </w:r>
      <w:r>
        <w:t>年全</w:t>
      </w:r>
      <w:r>
        <w:rPr>
          <w:spacing w:val="-2"/>
        </w:rPr>
        <w:t xml:space="preserve">区蒙古族人口万人，占总人口的％；满族人口万人，占总人口的％； </w:t>
      </w:r>
      <w:r>
        <w:rPr>
          <w:spacing w:val="-4"/>
        </w:rPr>
        <w:t xml:space="preserve">回族人口万人，占总人口的％；其他少数民族人口 </w:t>
      </w:r>
      <w:r>
        <w:rPr>
          <w:rFonts w:ascii="Calibri" w:eastAsia="Calibri"/>
        </w:rPr>
        <w:t>1</w:t>
      </w:r>
      <w:r>
        <w:rPr>
          <w:rFonts w:ascii="Calibri" w:eastAsia="Calibri"/>
          <w:spacing w:val="75"/>
        </w:rPr>
        <w:t xml:space="preserve"> </w:t>
      </w:r>
      <w:r>
        <w:t>万人。少数民</w:t>
      </w:r>
    </w:p>
    <w:p>
      <w:pPr>
        <w:pStyle w:val="BodyText"/>
        <w:tabs>
          <w:tab w:val="left" w:pos="12008"/>
        </w:tabs>
        <w:spacing w:line="417" w:lineRule="auto"/>
        <w:ind w:right="527"/>
      </w:pPr>
      <w:r>
        <w:t>族人口增长较快，少数民族人口占自治区总人口的比例由</w:t>
      </w:r>
      <w:r>
        <w:rPr>
          <w:spacing w:val="74"/>
        </w:rPr>
        <w:t xml:space="preserve"> </w:t>
      </w:r>
      <w:r>
        <w:rPr>
          <w:rFonts w:ascii="Calibri" w:eastAsia="Calibri"/>
        </w:rPr>
        <w:t>1985</w:t>
        <w:tab/>
      </w:r>
      <w:r>
        <w:rPr>
          <w:spacing w:val="-17"/>
        </w:rPr>
        <w:t>年</w:t>
      </w:r>
      <w:r>
        <w:t>的</w:t>
      </w:r>
      <w:r>
        <w:rPr>
          <w:rFonts w:ascii="Calibri" w:eastAsia="Calibri"/>
        </w:rPr>
        <w:t>%</w:t>
      </w:r>
      <w:r>
        <w:t>增长到现在</w:t>
      </w:r>
      <w:r>
        <w:rPr>
          <w:spacing w:val="-7"/>
        </w:rPr>
        <w:t>的</w:t>
      </w:r>
      <w:r>
        <w:rPr>
          <w:rFonts w:ascii="Calibri" w:eastAsia="Calibri"/>
          <w:spacing w:val="-3"/>
        </w:rPr>
        <w:t>%</w:t>
      </w:r>
      <w:r>
        <w:t>。</w:t>
      </w:r>
    </w:p>
    <w:p>
      <w:pPr>
        <w:pStyle w:val="BodyText"/>
        <w:spacing w:line="537" w:lineRule="exact"/>
        <w:ind w:left="975"/>
      </w:pPr>
      <w:r>
        <w:t>少数民族地区由于原有基础薄弱，在一段时期内，同发达地区</w:t>
      </w:r>
    </w:p>
    <w:p>
      <w:pPr>
        <w:spacing w:after="0" w:line="537" w:lineRule="exact"/>
        <w:sectPr>
          <w:pgSz w:w="17860" w:h="25260"/>
          <w:pgMar w:top="1960" w:right="2340" w:bottom="280" w:left="2560" w:header="708" w:footer="708"/>
          <w:pgNumType w:start="9"/>
          <w:cols w:space="708"/>
        </w:sectPr>
      </w:pPr>
    </w:p>
    <w:p>
      <w:pPr>
        <w:pStyle w:val="BodyText"/>
        <w:spacing w:before="20" w:line="417" w:lineRule="auto"/>
        <w:ind w:right="605"/>
        <w:jc w:val="right"/>
      </w:pPr>
      <w:r>
        <w:t>的发展差距还可能有拉大的趋势。缩小这一差距的根本办法就是加快少数民族地区的经济发展，而公路等基础设施建设又是经济发展的先决条件，因此必须加快少数民族地区的公路等基础设施建设。本项目的建设，对改善沿线各族人民的出行条件，进一步增进</w:t>
      </w:r>
    </w:p>
    <w:p>
      <w:pPr>
        <w:pStyle w:val="BodyText"/>
        <w:spacing w:line="417" w:lineRule="auto"/>
        <w:ind w:right="605"/>
      </w:pPr>
      <w:r>
        <w:t>边疆地区少数民族与其它各兄弟民族的交往和交流，促进各民族的团结和进步，保持社会安定都有重要意义。</w:t>
      </w:r>
    </w:p>
    <w:p>
      <w:pPr>
        <w:pStyle w:val="BodyText"/>
      </w:pPr>
      <w:r>
        <w:rPr>
          <w:rFonts w:ascii="Calibri" w:eastAsia="Calibri"/>
        </w:rPr>
        <w:t>3</w:t>
      </w:r>
      <w:r>
        <w:t>、项目选址的依据</w:t>
      </w:r>
    </w:p>
    <w:p>
      <w:pPr>
        <w:pStyle w:val="ListParagraph"/>
        <w:numPr>
          <w:ilvl w:val="0"/>
          <w:numId w:val="9"/>
        </w:numPr>
        <w:tabs>
          <w:tab w:val="left" w:pos="1193"/>
        </w:tabs>
        <w:spacing w:before="397" w:after="0" w:line="240" w:lineRule="auto"/>
        <w:ind w:left="1192" w:right="0" w:hanging="1056"/>
        <w:jc w:val="left"/>
        <w:rPr>
          <w:sz w:val="42"/>
        </w:rPr>
      </w:pPr>
      <w:r>
        <w:rPr>
          <w:sz w:val="42"/>
        </w:rPr>
        <w:t>《中华人民共和国城乡规划法</w:t>
      </w:r>
      <w:r>
        <w:rPr>
          <w:spacing w:val="-228"/>
          <w:sz w:val="42"/>
        </w:rPr>
        <w:t>》</w:t>
      </w:r>
      <w:r>
        <w:rPr>
          <w:sz w:val="42"/>
        </w:rPr>
        <w:t>（</w:t>
      </w:r>
      <w:r>
        <w:rPr>
          <w:rFonts w:ascii="Calibri" w:eastAsia="Calibri"/>
          <w:sz w:val="42"/>
        </w:rPr>
        <w:t>2008</w:t>
      </w:r>
      <w:r>
        <w:rPr>
          <w:rFonts w:ascii="Calibri" w:eastAsia="Calibri"/>
          <w:spacing w:val="5"/>
          <w:sz w:val="42"/>
        </w:rPr>
        <w:t xml:space="preserve"> </w:t>
      </w:r>
      <w:r>
        <w:rPr>
          <w:spacing w:val="-51"/>
          <w:sz w:val="42"/>
        </w:rPr>
        <w:t xml:space="preserve">年 </w:t>
      </w:r>
      <w:r>
        <w:rPr>
          <w:rFonts w:ascii="Calibri" w:eastAsia="Calibri"/>
          <w:sz w:val="42"/>
        </w:rPr>
        <w:t>1</w:t>
      </w:r>
      <w:r>
        <w:rPr>
          <w:rFonts w:ascii="Calibri" w:eastAsia="Calibri"/>
          <w:spacing w:val="12"/>
          <w:sz w:val="42"/>
        </w:rPr>
        <w:t xml:space="preserve"> </w:t>
      </w:r>
      <w:r>
        <w:rPr>
          <w:spacing w:val="-53"/>
          <w:sz w:val="42"/>
        </w:rPr>
        <w:t xml:space="preserve">月 </w:t>
      </w:r>
      <w:r>
        <w:rPr>
          <w:rFonts w:ascii="Calibri" w:eastAsia="Calibri"/>
          <w:sz w:val="42"/>
        </w:rPr>
        <w:t>1</w:t>
      </w:r>
      <w:r>
        <w:rPr>
          <w:rFonts w:ascii="Calibri" w:eastAsia="Calibri"/>
          <w:spacing w:val="13"/>
          <w:sz w:val="42"/>
        </w:rPr>
        <w:t xml:space="preserve"> </w:t>
      </w:r>
      <w:r>
        <w:rPr>
          <w:sz w:val="42"/>
        </w:rPr>
        <w:t>日）</w:t>
      </w:r>
    </w:p>
    <w:p>
      <w:pPr>
        <w:pStyle w:val="ListParagraph"/>
        <w:numPr>
          <w:ilvl w:val="0"/>
          <w:numId w:val="9"/>
        </w:numPr>
        <w:tabs>
          <w:tab w:val="left" w:pos="1193"/>
        </w:tabs>
        <w:spacing w:before="398" w:after="0" w:line="240" w:lineRule="auto"/>
        <w:ind w:left="1192" w:right="0" w:hanging="1056"/>
        <w:jc w:val="left"/>
        <w:rPr>
          <w:sz w:val="42"/>
        </w:rPr>
      </w:pPr>
      <w:r>
        <w:rPr>
          <w:spacing w:val="-25"/>
          <w:sz w:val="42"/>
        </w:rPr>
        <w:t>《城市规划编制法》</w:t>
      </w:r>
      <w:r>
        <w:rPr>
          <w:sz w:val="42"/>
        </w:rPr>
        <w:t>（</w:t>
      </w:r>
      <w:r>
        <w:rPr>
          <w:rFonts w:ascii="Calibri" w:eastAsia="Calibri"/>
          <w:sz w:val="42"/>
        </w:rPr>
        <w:t>2006</w:t>
      </w:r>
      <w:r>
        <w:rPr>
          <w:rFonts w:ascii="Calibri" w:eastAsia="Calibri"/>
          <w:spacing w:val="5"/>
          <w:sz w:val="42"/>
        </w:rPr>
        <w:t xml:space="preserve"> </w:t>
      </w:r>
      <w:r>
        <w:rPr>
          <w:spacing w:val="-53"/>
          <w:sz w:val="42"/>
        </w:rPr>
        <w:t xml:space="preserve">年 </w:t>
      </w:r>
      <w:r>
        <w:rPr>
          <w:rFonts w:ascii="Calibri" w:eastAsia="Calibri"/>
          <w:sz w:val="42"/>
        </w:rPr>
        <w:t>4</w:t>
      </w:r>
      <w:r>
        <w:rPr>
          <w:rFonts w:ascii="Calibri" w:eastAsia="Calibri"/>
          <w:spacing w:val="16"/>
          <w:sz w:val="42"/>
        </w:rPr>
        <w:t xml:space="preserve"> </w:t>
      </w:r>
      <w:r>
        <w:rPr>
          <w:spacing w:val="-53"/>
          <w:sz w:val="42"/>
        </w:rPr>
        <w:t xml:space="preserve">月 </w:t>
      </w:r>
      <w:r>
        <w:rPr>
          <w:rFonts w:ascii="Calibri" w:eastAsia="Calibri"/>
          <w:sz w:val="42"/>
        </w:rPr>
        <w:t>1</w:t>
      </w:r>
      <w:r>
        <w:rPr>
          <w:rFonts w:ascii="Calibri" w:eastAsia="Calibri"/>
          <w:spacing w:val="11"/>
          <w:sz w:val="42"/>
        </w:rPr>
        <w:t xml:space="preserve"> </w:t>
      </w:r>
      <w:r>
        <w:rPr>
          <w:sz w:val="42"/>
        </w:rPr>
        <w:t>日）</w:t>
      </w:r>
    </w:p>
    <w:p>
      <w:pPr>
        <w:pStyle w:val="ListParagraph"/>
        <w:numPr>
          <w:ilvl w:val="0"/>
          <w:numId w:val="9"/>
        </w:numPr>
        <w:tabs>
          <w:tab w:val="left" w:pos="1193"/>
        </w:tabs>
        <w:spacing w:before="398" w:after="0" w:line="240" w:lineRule="auto"/>
        <w:ind w:left="1192" w:right="0" w:hanging="1056"/>
        <w:jc w:val="left"/>
        <w:rPr>
          <w:sz w:val="42"/>
        </w:rPr>
      </w:pPr>
      <w:r>
        <w:rPr>
          <w:sz w:val="42"/>
        </w:rPr>
        <w:t>《内蒙古自治区建设项目选址研究报告编制导则》</w:t>
      </w:r>
    </w:p>
    <w:p>
      <w:pPr>
        <w:pStyle w:val="ListParagraph"/>
        <w:numPr>
          <w:ilvl w:val="0"/>
          <w:numId w:val="9"/>
        </w:numPr>
        <w:tabs>
          <w:tab w:val="left" w:pos="1193"/>
        </w:tabs>
        <w:spacing w:before="397" w:after="0" w:line="240" w:lineRule="auto"/>
        <w:ind w:left="1192" w:right="0" w:hanging="1056"/>
        <w:jc w:val="left"/>
        <w:rPr>
          <w:sz w:val="42"/>
        </w:rPr>
      </w:pPr>
      <w:r>
        <w:rPr>
          <w:sz w:val="42"/>
        </w:rPr>
        <w:t>《中华人民共和国环境保护法</w:t>
      </w:r>
      <w:r>
        <w:rPr>
          <w:spacing w:val="-228"/>
          <w:sz w:val="42"/>
        </w:rPr>
        <w:t>》</w:t>
      </w:r>
      <w:r>
        <w:rPr>
          <w:sz w:val="42"/>
        </w:rPr>
        <w:t>（</w:t>
      </w:r>
      <w:r>
        <w:rPr>
          <w:rFonts w:ascii="Calibri" w:eastAsia="Calibri"/>
          <w:sz w:val="42"/>
        </w:rPr>
        <w:t>1989</w:t>
      </w:r>
      <w:r>
        <w:rPr>
          <w:rFonts w:ascii="Calibri" w:eastAsia="Calibri"/>
          <w:spacing w:val="9"/>
          <w:sz w:val="42"/>
        </w:rPr>
        <w:t xml:space="preserve"> </w:t>
      </w:r>
      <w:r>
        <w:rPr>
          <w:spacing w:val="-53"/>
          <w:sz w:val="42"/>
        </w:rPr>
        <w:t xml:space="preserve">年 </w:t>
      </w:r>
      <w:r>
        <w:rPr>
          <w:rFonts w:ascii="Calibri" w:eastAsia="Calibri"/>
          <w:sz w:val="42"/>
        </w:rPr>
        <w:t>12</w:t>
      </w:r>
      <w:r>
        <w:rPr>
          <w:rFonts w:ascii="Calibri" w:eastAsia="Calibri"/>
          <w:spacing w:val="12"/>
          <w:sz w:val="42"/>
        </w:rPr>
        <w:t xml:space="preserve"> </w:t>
      </w:r>
      <w:r>
        <w:rPr>
          <w:spacing w:val="-51"/>
          <w:sz w:val="42"/>
        </w:rPr>
        <w:t xml:space="preserve">月 </w:t>
      </w:r>
      <w:r>
        <w:rPr>
          <w:rFonts w:ascii="Calibri" w:eastAsia="Calibri"/>
          <w:sz w:val="42"/>
        </w:rPr>
        <w:t>26</w:t>
      </w:r>
      <w:r>
        <w:rPr>
          <w:rFonts w:ascii="Calibri" w:eastAsia="Calibri"/>
          <w:spacing w:val="8"/>
          <w:sz w:val="42"/>
        </w:rPr>
        <w:t xml:space="preserve"> </w:t>
      </w:r>
      <w:r>
        <w:rPr>
          <w:sz w:val="42"/>
        </w:rPr>
        <w:t>日）</w:t>
      </w:r>
    </w:p>
    <w:p>
      <w:pPr>
        <w:pStyle w:val="ListParagraph"/>
        <w:numPr>
          <w:ilvl w:val="0"/>
          <w:numId w:val="9"/>
        </w:numPr>
        <w:tabs>
          <w:tab w:val="left" w:pos="1193"/>
        </w:tabs>
        <w:spacing w:before="398" w:after="0" w:line="240" w:lineRule="auto"/>
        <w:ind w:left="1192" w:right="0" w:hanging="1056"/>
        <w:jc w:val="left"/>
        <w:rPr>
          <w:sz w:val="42"/>
        </w:rPr>
      </w:pPr>
      <w:r>
        <w:rPr>
          <w:spacing w:val="-17"/>
          <w:sz w:val="42"/>
        </w:rPr>
        <w:t>《中华人民共和国土地管理法》</w:t>
      </w:r>
      <w:r>
        <w:rPr>
          <w:sz w:val="42"/>
        </w:rPr>
        <w:t>（</w:t>
      </w:r>
      <w:r>
        <w:rPr>
          <w:rFonts w:ascii="Calibri" w:eastAsia="Calibri"/>
          <w:sz w:val="42"/>
        </w:rPr>
        <w:t>1998</w:t>
      </w:r>
      <w:r>
        <w:rPr>
          <w:sz w:val="42"/>
        </w:rPr>
        <w:t>）</w:t>
      </w:r>
    </w:p>
    <w:p>
      <w:pPr>
        <w:pStyle w:val="ListParagraph"/>
        <w:numPr>
          <w:ilvl w:val="0"/>
          <w:numId w:val="9"/>
        </w:numPr>
        <w:tabs>
          <w:tab w:val="left" w:pos="1193"/>
        </w:tabs>
        <w:spacing w:before="399" w:after="0" w:line="240" w:lineRule="auto"/>
        <w:ind w:left="1192" w:right="0" w:hanging="1056"/>
        <w:jc w:val="left"/>
        <w:rPr>
          <w:sz w:val="42"/>
        </w:rPr>
      </w:pPr>
      <w:r>
        <w:rPr>
          <w:spacing w:val="-23"/>
          <w:sz w:val="42"/>
        </w:rPr>
        <w:t>《公路工程技术标准》</w:t>
      </w:r>
      <w:r>
        <w:rPr>
          <w:sz w:val="42"/>
        </w:rPr>
        <w:t>（</w:t>
      </w:r>
      <w:r>
        <w:rPr>
          <w:rFonts w:ascii="Calibri" w:eastAsia="Calibri" w:hAnsi="Calibri"/>
          <w:sz w:val="42"/>
        </w:rPr>
        <w:t>JTG</w:t>
      </w:r>
      <w:r>
        <w:rPr>
          <w:rFonts w:ascii="Calibri" w:eastAsia="Calibri" w:hAnsi="Calibri"/>
          <w:spacing w:val="-1"/>
          <w:sz w:val="42"/>
        </w:rPr>
        <w:t xml:space="preserve"> </w:t>
      </w:r>
      <w:r>
        <w:rPr>
          <w:rFonts w:ascii="Calibri" w:eastAsia="Calibri" w:hAnsi="Calibri"/>
          <w:spacing w:val="-4"/>
          <w:sz w:val="42"/>
        </w:rPr>
        <w:t>B01</w:t>
      </w:r>
      <w:r>
        <w:rPr>
          <w:spacing w:val="-4"/>
          <w:sz w:val="42"/>
        </w:rPr>
        <w:t>—</w:t>
      </w:r>
      <w:r>
        <w:rPr>
          <w:rFonts w:ascii="Calibri" w:eastAsia="Calibri" w:hAnsi="Calibri"/>
          <w:spacing w:val="-4"/>
          <w:sz w:val="42"/>
        </w:rPr>
        <w:t>2003</w:t>
      </w:r>
      <w:r>
        <w:rPr>
          <w:spacing w:val="-4"/>
          <w:sz w:val="42"/>
        </w:rPr>
        <w:t>）</w:t>
      </w:r>
    </w:p>
    <w:p>
      <w:pPr>
        <w:pStyle w:val="ListParagraph"/>
        <w:numPr>
          <w:ilvl w:val="0"/>
          <w:numId w:val="9"/>
        </w:numPr>
        <w:tabs>
          <w:tab w:val="left" w:pos="1193"/>
        </w:tabs>
        <w:spacing w:before="398" w:after="0" w:line="240" w:lineRule="auto"/>
        <w:ind w:left="1192" w:right="0" w:hanging="1056"/>
        <w:jc w:val="left"/>
        <w:rPr>
          <w:sz w:val="42"/>
        </w:rPr>
      </w:pPr>
      <w:r>
        <w:rPr>
          <w:w w:val="100"/>
          <w:sz w:val="42"/>
        </w:rPr>
        <w:t>《鄂尔多斯市城市总体规划</w:t>
      </w:r>
      <w:r>
        <w:rPr>
          <w:spacing w:val="-14"/>
          <w:w w:val="100"/>
          <w:sz w:val="42"/>
        </w:rPr>
        <w:t>（</w:t>
      </w:r>
      <w:r>
        <w:rPr>
          <w:rFonts w:ascii="Calibri" w:eastAsia="Calibri"/>
          <w:spacing w:val="-1"/>
          <w:w w:val="100"/>
          <w:sz w:val="42"/>
        </w:rPr>
        <w:t>2009--202</w:t>
      </w:r>
      <w:r>
        <w:rPr>
          <w:rFonts w:ascii="Calibri" w:eastAsia="Calibri"/>
          <w:spacing w:val="-19"/>
          <w:w w:val="100"/>
          <w:sz w:val="42"/>
        </w:rPr>
        <w:t>0</w:t>
      </w:r>
      <w:r>
        <w:rPr>
          <w:spacing w:val="-209"/>
          <w:w w:val="100"/>
          <w:sz w:val="42"/>
        </w:rPr>
        <w:t>）</w:t>
      </w:r>
      <w:r>
        <w:rPr>
          <w:w w:val="100"/>
          <w:sz w:val="42"/>
        </w:rPr>
        <w:t>》</w:t>
      </w:r>
    </w:p>
    <w:p>
      <w:pPr>
        <w:pStyle w:val="ListParagraph"/>
        <w:numPr>
          <w:ilvl w:val="0"/>
          <w:numId w:val="9"/>
        </w:numPr>
        <w:tabs>
          <w:tab w:val="left" w:pos="1193"/>
        </w:tabs>
        <w:spacing w:before="397" w:after="0" w:line="240" w:lineRule="auto"/>
        <w:ind w:left="1192" w:right="0" w:hanging="1056"/>
        <w:jc w:val="left"/>
        <w:rPr>
          <w:sz w:val="42"/>
        </w:rPr>
      </w:pPr>
      <w:r>
        <w:rPr>
          <w:sz w:val="42"/>
        </w:rPr>
        <w:t>甲方提供的各类文件。</w:t>
      </w:r>
    </w:p>
    <w:p>
      <w:pPr>
        <w:pStyle w:val="ListParagraph"/>
        <w:numPr>
          <w:ilvl w:val="0"/>
          <w:numId w:val="9"/>
        </w:numPr>
        <w:tabs>
          <w:tab w:val="left" w:pos="1193"/>
        </w:tabs>
        <w:spacing w:before="398" w:after="0" w:line="240" w:lineRule="auto"/>
        <w:ind w:left="1192" w:right="0" w:hanging="1056"/>
        <w:jc w:val="left"/>
        <w:rPr>
          <w:sz w:val="42"/>
        </w:rPr>
      </w:pPr>
      <w:r>
        <w:rPr>
          <w:sz w:val="42"/>
        </w:rPr>
        <w:t>其他各类相关法律、法规、标准规范及相关规定。</w:t>
      </w:r>
    </w:p>
    <w:p>
      <w:pPr>
        <w:pStyle w:val="BodyText"/>
        <w:spacing w:before="398"/>
      </w:pPr>
      <w:r>
        <w:rPr>
          <w:rFonts w:ascii="Calibri" w:eastAsia="Calibri"/>
        </w:rPr>
        <w:t>4</w:t>
      </w:r>
      <w:r>
        <w:t>、项目选址的原则</w:t>
      </w:r>
    </w:p>
    <w:p>
      <w:pPr>
        <w:pStyle w:val="ListParagraph"/>
        <w:numPr>
          <w:ilvl w:val="0"/>
          <w:numId w:val="8"/>
        </w:numPr>
        <w:tabs>
          <w:tab w:val="left" w:pos="1193"/>
        </w:tabs>
        <w:spacing w:before="398" w:after="0" w:line="240" w:lineRule="auto"/>
        <w:ind w:left="1192" w:right="0" w:hanging="1056"/>
        <w:jc w:val="left"/>
        <w:rPr>
          <w:sz w:val="42"/>
        </w:rPr>
      </w:pPr>
      <w:r>
        <w:rPr>
          <w:sz w:val="42"/>
        </w:rPr>
        <w:t>符合有关城乡规划的法律、法规、规范和标准要求。</w:t>
      </w:r>
    </w:p>
    <w:p>
      <w:pPr>
        <w:pStyle w:val="ListParagraph"/>
        <w:numPr>
          <w:ilvl w:val="0"/>
          <w:numId w:val="8"/>
        </w:numPr>
        <w:tabs>
          <w:tab w:val="left" w:pos="1193"/>
        </w:tabs>
        <w:spacing w:before="399" w:after="0" w:line="240" w:lineRule="auto"/>
        <w:ind w:left="1192" w:right="0" w:hanging="1056"/>
        <w:jc w:val="left"/>
        <w:rPr>
          <w:sz w:val="42"/>
        </w:rPr>
      </w:pPr>
      <w:r>
        <w:rPr>
          <w:sz w:val="42"/>
        </w:rPr>
        <w:t>符合各类规划，满足未来城镇建设和发展的需求。</w:t>
      </w:r>
    </w:p>
    <w:p>
      <w:pPr>
        <w:pStyle w:val="ListParagraph"/>
        <w:numPr>
          <w:ilvl w:val="0"/>
          <w:numId w:val="8"/>
        </w:numPr>
        <w:tabs>
          <w:tab w:val="left" w:pos="1193"/>
        </w:tabs>
        <w:spacing w:before="398" w:after="0" w:line="240" w:lineRule="auto"/>
        <w:ind w:left="1192" w:right="0" w:hanging="1056"/>
        <w:jc w:val="left"/>
        <w:rPr>
          <w:sz w:val="42"/>
        </w:rPr>
      </w:pPr>
      <w:r>
        <w:rPr>
          <w:sz w:val="42"/>
        </w:rPr>
        <w:t>路径尽量简捷，缩短营运里程，减少投资和运输成本。</w:t>
      </w:r>
    </w:p>
    <w:p>
      <w:pPr>
        <w:pStyle w:val="ListParagraph"/>
        <w:numPr>
          <w:ilvl w:val="0"/>
          <w:numId w:val="8"/>
        </w:numPr>
        <w:tabs>
          <w:tab w:val="left" w:pos="1193"/>
        </w:tabs>
        <w:spacing w:before="398" w:after="0" w:line="240" w:lineRule="auto"/>
        <w:ind w:left="1192" w:right="0" w:hanging="1056"/>
        <w:jc w:val="left"/>
        <w:rPr>
          <w:sz w:val="42"/>
        </w:rPr>
      </w:pPr>
      <w:r>
        <w:rPr>
          <w:spacing w:val="-16"/>
          <w:sz w:val="42"/>
        </w:rPr>
        <w:t>尽量选择良好的工程地段，满足公路建设的要求，并方便施工。</w:t>
      </w:r>
    </w:p>
    <w:p>
      <w:pPr>
        <w:pStyle w:val="ListParagraph"/>
        <w:numPr>
          <w:ilvl w:val="0"/>
          <w:numId w:val="8"/>
        </w:numPr>
        <w:tabs>
          <w:tab w:val="left" w:pos="1193"/>
        </w:tabs>
        <w:spacing w:before="397" w:after="0" w:line="240" w:lineRule="auto"/>
        <w:ind w:left="1192" w:right="0" w:hanging="1056"/>
        <w:jc w:val="left"/>
        <w:rPr>
          <w:sz w:val="42"/>
        </w:rPr>
      </w:pPr>
      <w:r>
        <w:rPr>
          <w:sz w:val="42"/>
        </w:rPr>
        <w:t>保护历史文化遗址、遗迹的原则。</w:t>
      </w:r>
    </w:p>
    <w:p>
      <w:pPr>
        <w:spacing w:after="0" w:line="240" w:lineRule="auto"/>
        <w:jc w:val="left"/>
        <w:rPr>
          <w:sz w:val="42"/>
        </w:rPr>
        <w:sectPr>
          <w:pgSz w:w="17860" w:h="25260"/>
          <w:pgMar w:top="1960" w:right="2340" w:bottom="280" w:left="2560" w:header="708" w:footer="708"/>
          <w:pgNumType w:start="10"/>
          <w:cols w:space="708"/>
        </w:sectPr>
      </w:pPr>
    </w:p>
    <w:p>
      <w:pPr>
        <w:pStyle w:val="ListParagraph"/>
        <w:numPr>
          <w:ilvl w:val="0"/>
          <w:numId w:val="8"/>
        </w:numPr>
        <w:tabs>
          <w:tab w:val="left" w:pos="1193"/>
        </w:tabs>
        <w:spacing w:before="20" w:after="0" w:line="417" w:lineRule="auto"/>
        <w:ind w:left="137" w:right="393" w:firstLine="0"/>
        <w:jc w:val="left"/>
        <w:rPr>
          <w:sz w:val="42"/>
        </w:rPr>
      </w:pPr>
      <w:r>
        <w:rPr>
          <w:spacing w:val="-1"/>
          <w:sz w:val="42"/>
        </w:rPr>
        <w:t>路径尽可能的靠近现有的交通道路，以方便运输、施工和维护</w:t>
      </w:r>
      <w:r>
        <w:rPr>
          <w:sz w:val="42"/>
        </w:rPr>
        <w:t>管理。</w:t>
      </w:r>
    </w:p>
    <w:p>
      <w:pPr>
        <w:pStyle w:val="ListParagraph"/>
        <w:numPr>
          <w:ilvl w:val="0"/>
          <w:numId w:val="8"/>
        </w:numPr>
        <w:tabs>
          <w:tab w:val="left" w:pos="1193"/>
        </w:tabs>
        <w:spacing w:before="0" w:after="0" w:line="537" w:lineRule="exact"/>
        <w:ind w:left="1192" w:right="0" w:hanging="1056"/>
        <w:jc w:val="left"/>
        <w:rPr>
          <w:sz w:val="42"/>
        </w:rPr>
      </w:pPr>
      <w:r>
        <w:rPr>
          <w:sz w:val="42"/>
        </w:rPr>
        <w:t>生态优先，注重环境保护的生态性原则。</w:t>
      </w:r>
    </w:p>
    <w:p>
      <w:pPr>
        <w:pStyle w:val="ListParagraph"/>
        <w:numPr>
          <w:ilvl w:val="0"/>
          <w:numId w:val="8"/>
        </w:numPr>
        <w:tabs>
          <w:tab w:val="left" w:pos="1193"/>
        </w:tabs>
        <w:spacing w:before="398" w:after="0" w:line="240" w:lineRule="auto"/>
        <w:ind w:left="1192" w:right="0" w:hanging="1056"/>
        <w:jc w:val="left"/>
        <w:rPr>
          <w:sz w:val="42"/>
        </w:rPr>
      </w:pPr>
      <w:r>
        <w:rPr>
          <w:sz w:val="42"/>
        </w:rPr>
        <w:t>线路“坚持近城不进城，方便不干扰”的原则。</w:t>
      </w:r>
    </w:p>
    <w:p>
      <w:pPr>
        <w:pStyle w:val="BodyText"/>
        <w:spacing w:before="398"/>
      </w:pPr>
      <w:r>
        <w:rPr>
          <w:rFonts w:ascii="Calibri" w:eastAsia="Calibri"/>
        </w:rPr>
        <w:t>5</w:t>
      </w:r>
      <w:r>
        <w:t>、项目建设的基本情况</w:t>
      </w:r>
    </w:p>
    <w:p>
      <w:pPr>
        <w:pStyle w:val="ListParagraph"/>
        <w:numPr>
          <w:ilvl w:val="0"/>
          <w:numId w:val="7"/>
        </w:numPr>
        <w:tabs>
          <w:tab w:val="left" w:pos="1193"/>
        </w:tabs>
        <w:spacing w:before="398" w:after="0" w:line="240" w:lineRule="auto"/>
        <w:ind w:left="1192" w:right="0" w:hanging="1056"/>
        <w:jc w:val="left"/>
        <w:rPr>
          <w:sz w:val="42"/>
        </w:rPr>
      </w:pPr>
      <w:r>
        <w:rPr>
          <w:sz w:val="42"/>
        </w:rPr>
        <w:t>用地规模</w:t>
      </w:r>
    </w:p>
    <w:p>
      <w:pPr>
        <w:pStyle w:val="BodyText"/>
        <w:spacing w:before="398" w:after="33" w:line="417" w:lineRule="auto"/>
        <w:ind w:right="519" w:firstLine="838"/>
        <w:jc w:val="both"/>
      </w:pPr>
      <w:r>
        <w:drawing>
          <wp:anchor distT="0" distB="0" distL="0" distR="0" simplePos="0" relativeHeight="251658240" behindDoc="1" locked="0" layoutInCell="1" allowOverlap="1">
            <wp:simplePos x="0" y="0"/>
            <wp:positionH relativeFrom="page">
              <wp:posOffset>2352675</wp:posOffset>
            </wp:positionH>
            <wp:positionV relativeFrom="paragraph">
              <wp:posOffset>1935607</wp:posOffset>
            </wp:positionV>
            <wp:extent cx="6648450" cy="3184652"/>
            <wp:effectExtent l="0" t="0" r="0" b="0"/>
            <wp:wrapNone/>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png"/>
                    <pic:cNvPicPr/>
                  </pic:nvPicPr>
                  <pic:blipFill>
                    <a:blip xmlns:r="http://schemas.openxmlformats.org/officeDocument/2006/relationships" r:embed="rId4" cstate="print"/>
                    <a:stretch>
                      <a:fillRect/>
                    </a:stretch>
                  </pic:blipFill>
                  <pic:spPr>
                    <a:xfrm>
                      <a:off x="0" y="0"/>
                      <a:ext cx="6648450" cy="3184652"/>
                    </a:xfrm>
                    <a:prstGeom prst="rect">
                      <a:avLst/>
                    </a:prstGeom>
                  </pic:spPr>
                </pic:pic>
              </a:graphicData>
            </a:graphic>
          </wp:anchor>
        </w:drawing>
      </w:r>
      <w:r>
        <w:t>本工程项目线路全长，线路穿越鄂尔多斯市东胜区、康巴什新区和伊金霍洛旗。该公路涉及永久占地和临时占地</w:t>
      </w:r>
      <w:r>
        <w:rPr>
          <w:rFonts w:ascii="Calibri" w:eastAsia="Calibri"/>
        </w:rPr>
        <w:t>,</w:t>
      </w:r>
      <w:r>
        <w:t>工程征地情况如下表。</w:t>
      </w:r>
    </w:p>
    <w:tbl>
      <w:tblPr>
        <w:tblStyle w:val="TableNormal0"/>
        <w:tblW w:w="0" w:type="auto"/>
        <w:jc w:val="left"/>
        <w:tblInd w:w="12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3973"/>
        <w:gridCol w:w="3613"/>
      </w:tblGrid>
      <w:tr>
        <w:tblPrEx>
          <w:tblW w:w="0" w:type="auto"/>
          <w:jc w:val="left"/>
          <w:tblInd w:w="12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534"/>
          <w:jc w:val="left"/>
        </w:trPr>
        <w:tc>
          <w:tcPr>
            <w:tcW w:w="3973" w:type="dxa"/>
          </w:tcPr>
          <w:p>
            <w:pPr>
              <w:pStyle w:val="TableParagraph"/>
              <w:spacing w:before="0" w:line="411" w:lineRule="exact"/>
              <w:rPr>
                <w:sz w:val="36"/>
              </w:rPr>
            </w:pPr>
            <w:r>
              <w:rPr>
                <w:sz w:val="36"/>
              </w:rPr>
              <w:t>占用土地类型</w:t>
            </w:r>
          </w:p>
        </w:tc>
        <w:tc>
          <w:tcPr>
            <w:tcW w:w="3613" w:type="dxa"/>
          </w:tcPr>
          <w:p>
            <w:pPr>
              <w:pStyle w:val="TableParagraph"/>
              <w:spacing w:before="0" w:line="411" w:lineRule="exact"/>
              <w:ind w:left="1762"/>
              <w:rPr>
                <w:sz w:val="36"/>
              </w:rPr>
            </w:pPr>
            <w:r>
              <w:rPr>
                <w:sz w:val="36"/>
              </w:rPr>
              <w:t>数量（亩）</w:t>
            </w:r>
          </w:p>
        </w:tc>
      </w:tr>
      <w:tr>
        <w:tblPrEx>
          <w:tblW w:w="0" w:type="auto"/>
          <w:jc w:val="left"/>
          <w:tblInd w:w="1289" w:type="dxa"/>
          <w:tblLayout w:type="fixed"/>
          <w:tblCellMar>
            <w:top w:w="0" w:type="dxa"/>
            <w:left w:w="0" w:type="dxa"/>
            <w:bottom w:w="0" w:type="dxa"/>
            <w:right w:w="0" w:type="dxa"/>
          </w:tblCellMar>
          <w:tblLook w:val="01E0"/>
        </w:tblPrEx>
        <w:trPr>
          <w:trHeight w:val="725"/>
          <w:jc w:val="left"/>
        </w:trPr>
        <w:tc>
          <w:tcPr>
            <w:tcW w:w="3973" w:type="dxa"/>
          </w:tcPr>
          <w:p>
            <w:pPr>
              <w:pStyle w:val="TableParagraph"/>
              <w:spacing w:before="124"/>
              <w:rPr>
                <w:sz w:val="36"/>
              </w:rPr>
            </w:pPr>
            <w:r>
              <w:rPr>
                <w:sz w:val="36"/>
              </w:rPr>
              <w:t>水地</w:t>
            </w:r>
          </w:p>
        </w:tc>
        <w:tc>
          <w:tcPr>
            <w:tcW w:w="3613" w:type="dxa"/>
          </w:tcPr>
          <w:p>
            <w:pPr>
              <w:pStyle w:val="TableParagraph"/>
              <w:spacing w:before="134"/>
              <w:ind w:left="1762"/>
              <w:rPr>
                <w:rFonts w:ascii="Calibri"/>
                <w:sz w:val="36"/>
              </w:rPr>
            </w:pPr>
            <w:r>
              <w:rPr>
                <w:rFonts w:ascii="Calibri"/>
                <w:sz w:val="36"/>
              </w:rPr>
              <w:t>139</w:t>
            </w:r>
          </w:p>
        </w:tc>
      </w:tr>
      <w:tr>
        <w:tblPrEx>
          <w:tblW w:w="0" w:type="auto"/>
          <w:jc w:val="left"/>
          <w:tblInd w:w="1289" w:type="dxa"/>
          <w:tblLayout w:type="fixed"/>
          <w:tblCellMar>
            <w:top w:w="0" w:type="dxa"/>
            <w:left w:w="0" w:type="dxa"/>
            <w:bottom w:w="0" w:type="dxa"/>
            <w:right w:w="0" w:type="dxa"/>
          </w:tblCellMar>
          <w:tblLook w:val="01E0"/>
        </w:tblPrEx>
        <w:trPr>
          <w:trHeight w:val="709"/>
          <w:jc w:val="left"/>
        </w:trPr>
        <w:tc>
          <w:tcPr>
            <w:tcW w:w="3973" w:type="dxa"/>
          </w:tcPr>
          <w:p>
            <w:pPr>
              <w:pStyle w:val="TableParagraph"/>
              <w:tabs>
                <w:tab w:val="left" w:pos="784"/>
              </w:tabs>
              <w:spacing w:before="108"/>
              <w:rPr>
                <w:sz w:val="36"/>
              </w:rPr>
            </w:pPr>
            <w:r>
              <w:rPr>
                <w:sz w:val="36"/>
              </w:rPr>
              <w:t>旱</w:t>
              <w:tab/>
              <w:t>地</w:t>
            </w:r>
          </w:p>
        </w:tc>
        <w:tc>
          <w:tcPr>
            <w:tcW w:w="3613" w:type="dxa"/>
          </w:tcPr>
          <w:p>
            <w:pPr>
              <w:pStyle w:val="TableParagraph"/>
              <w:spacing w:before="118"/>
              <w:ind w:left="1762"/>
              <w:rPr>
                <w:rFonts w:ascii="Calibri"/>
                <w:sz w:val="36"/>
              </w:rPr>
            </w:pPr>
            <w:r>
              <w:rPr>
                <w:rFonts w:ascii="Calibri"/>
                <w:sz w:val="36"/>
              </w:rPr>
              <w:t>441</w:t>
            </w:r>
          </w:p>
        </w:tc>
      </w:tr>
      <w:tr>
        <w:tblPrEx>
          <w:tblW w:w="0" w:type="auto"/>
          <w:jc w:val="left"/>
          <w:tblInd w:w="1289" w:type="dxa"/>
          <w:tblLayout w:type="fixed"/>
          <w:tblCellMar>
            <w:top w:w="0" w:type="dxa"/>
            <w:left w:w="0" w:type="dxa"/>
            <w:bottom w:w="0" w:type="dxa"/>
            <w:right w:w="0" w:type="dxa"/>
          </w:tblCellMar>
          <w:tblLook w:val="01E0"/>
        </w:tblPrEx>
        <w:trPr>
          <w:trHeight w:val="709"/>
          <w:jc w:val="left"/>
        </w:trPr>
        <w:tc>
          <w:tcPr>
            <w:tcW w:w="3973" w:type="dxa"/>
          </w:tcPr>
          <w:p>
            <w:pPr>
              <w:pStyle w:val="TableParagraph"/>
              <w:spacing w:before="108"/>
              <w:rPr>
                <w:sz w:val="36"/>
              </w:rPr>
            </w:pPr>
            <w:r>
              <w:rPr>
                <w:sz w:val="36"/>
              </w:rPr>
              <w:t>林地</w:t>
            </w:r>
          </w:p>
        </w:tc>
        <w:tc>
          <w:tcPr>
            <w:tcW w:w="3613" w:type="dxa"/>
          </w:tcPr>
          <w:p>
            <w:pPr>
              <w:pStyle w:val="TableParagraph"/>
              <w:spacing w:before="118"/>
              <w:ind w:left="1762"/>
              <w:rPr>
                <w:rFonts w:ascii="Calibri"/>
                <w:sz w:val="36"/>
              </w:rPr>
            </w:pPr>
            <w:r>
              <w:rPr>
                <w:rFonts w:ascii="Calibri"/>
                <w:sz w:val="36"/>
              </w:rPr>
              <w:t>869</w:t>
            </w:r>
          </w:p>
        </w:tc>
      </w:tr>
      <w:tr>
        <w:tblPrEx>
          <w:tblW w:w="0" w:type="auto"/>
          <w:jc w:val="left"/>
          <w:tblInd w:w="1289" w:type="dxa"/>
          <w:tblLayout w:type="fixed"/>
          <w:tblCellMar>
            <w:top w:w="0" w:type="dxa"/>
            <w:left w:w="0" w:type="dxa"/>
            <w:bottom w:w="0" w:type="dxa"/>
            <w:right w:w="0" w:type="dxa"/>
          </w:tblCellMar>
          <w:tblLook w:val="01E0"/>
        </w:tblPrEx>
        <w:trPr>
          <w:trHeight w:val="709"/>
          <w:jc w:val="left"/>
        </w:trPr>
        <w:tc>
          <w:tcPr>
            <w:tcW w:w="3973" w:type="dxa"/>
          </w:tcPr>
          <w:p>
            <w:pPr>
              <w:pStyle w:val="TableParagraph"/>
              <w:spacing w:before="108"/>
              <w:rPr>
                <w:sz w:val="36"/>
              </w:rPr>
            </w:pPr>
            <w:r>
              <w:rPr>
                <w:sz w:val="36"/>
              </w:rPr>
              <w:t>荒草地</w:t>
            </w:r>
          </w:p>
        </w:tc>
        <w:tc>
          <w:tcPr>
            <w:tcW w:w="3613" w:type="dxa"/>
          </w:tcPr>
          <w:p>
            <w:pPr>
              <w:pStyle w:val="TableParagraph"/>
              <w:spacing w:before="118"/>
              <w:ind w:left="1762"/>
              <w:rPr>
                <w:rFonts w:ascii="Calibri"/>
                <w:sz w:val="36"/>
              </w:rPr>
            </w:pPr>
            <w:r>
              <w:rPr>
                <w:rFonts w:ascii="Calibri"/>
                <w:sz w:val="36"/>
              </w:rPr>
              <w:t>2857</w:t>
            </w:r>
          </w:p>
        </w:tc>
      </w:tr>
      <w:tr>
        <w:tblPrEx>
          <w:tblW w:w="0" w:type="auto"/>
          <w:jc w:val="left"/>
          <w:tblInd w:w="1289" w:type="dxa"/>
          <w:tblLayout w:type="fixed"/>
          <w:tblCellMar>
            <w:top w:w="0" w:type="dxa"/>
            <w:left w:w="0" w:type="dxa"/>
            <w:bottom w:w="0" w:type="dxa"/>
            <w:right w:w="0" w:type="dxa"/>
          </w:tblCellMar>
          <w:tblLook w:val="01E0"/>
        </w:tblPrEx>
        <w:trPr>
          <w:trHeight w:val="711"/>
          <w:jc w:val="left"/>
        </w:trPr>
        <w:tc>
          <w:tcPr>
            <w:tcW w:w="3973" w:type="dxa"/>
          </w:tcPr>
          <w:p>
            <w:pPr>
              <w:pStyle w:val="TableParagraph"/>
              <w:spacing w:before="108"/>
              <w:rPr>
                <w:sz w:val="36"/>
              </w:rPr>
            </w:pPr>
            <w:r>
              <w:rPr>
                <w:sz w:val="36"/>
              </w:rPr>
              <w:t>旧公路用地</w:t>
            </w:r>
          </w:p>
        </w:tc>
        <w:tc>
          <w:tcPr>
            <w:tcW w:w="3613" w:type="dxa"/>
          </w:tcPr>
          <w:p>
            <w:pPr>
              <w:pStyle w:val="TableParagraph"/>
              <w:spacing w:before="118"/>
              <w:ind w:left="1762"/>
              <w:rPr>
                <w:rFonts w:ascii="Calibri"/>
                <w:sz w:val="36"/>
              </w:rPr>
            </w:pPr>
            <w:r>
              <w:rPr>
                <w:rFonts w:ascii="Calibri"/>
                <w:sz w:val="36"/>
              </w:rPr>
              <w:t>24</w:t>
            </w:r>
          </w:p>
        </w:tc>
      </w:tr>
      <w:tr>
        <w:tblPrEx>
          <w:tblW w:w="0" w:type="auto"/>
          <w:jc w:val="left"/>
          <w:tblInd w:w="1289" w:type="dxa"/>
          <w:tblLayout w:type="fixed"/>
          <w:tblCellMar>
            <w:top w:w="0" w:type="dxa"/>
            <w:left w:w="0" w:type="dxa"/>
            <w:bottom w:w="0" w:type="dxa"/>
            <w:right w:w="0" w:type="dxa"/>
          </w:tblCellMar>
          <w:tblLook w:val="01E0"/>
        </w:tblPrEx>
        <w:trPr>
          <w:trHeight w:val="552"/>
          <w:jc w:val="left"/>
        </w:trPr>
        <w:tc>
          <w:tcPr>
            <w:tcW w:w="3973" w:type="dxa"/>
          </w:tcPr>
          <w:p>
            <w:pPr>
              <w:pStyle w:val="TableParagraph"/>
              <w:spacing w:before="109" w:line="423" w:lineRule="exact"/>
              <w:rPr>
                <w:sz w:val="36"/>
              </w:rPr>
            </w:pPr>
            <w:r>
              <w:rPr>
                <w:sz w:val="36"/>
              </w:rPr>
              <w:t>临时用地</w:t>
            </w:r>
          </w:p>
        </w:tc>
        <w:tc>
          <w:tcPr>
            <w:tcW w:w="3613" w:type="dxa"/>
          </w:tcPr>
          <w:p>
            <w:pPr>
              <w:pStyle w:val="TableParagraph"/>
              <w:spacing w:before="119" w:line="413" w:lineRule="exact"/>
              <w:ind w:left="1762"/>
              <w:rPr>
                <w:rFonts w:ascii="Calibri"/>
                <w:sz w:val="36"/>
              </w:rPr>
            </w:pPr>
            <w:r>
              <w:rPr>
                <w:rFonts w:ascii="Calibri"/>
                <w:sz w:val="36"/>
              </w:rPr>
              <w:t>2781</w:t>
            </w:r>
          </w:p>
        </w:tc>
      </w:tr>
    </w:tbl>
    <w:p>
      <w:pPr>
        <w:pStyle w:val="ListParagraph"/>
        <w:numPr>
          <w:ilvl w:val="0"/>
          <w:numId w:val="7"/>
        </w:numPr>
        <w:tabs>
          <w:tab w:val="left" w:pos="1193"/>
        </w:tabs>
        <w:spacing w:before="290" w:after="0" w:line="240" w:lineRule="auto"/>
        <w:ind w:left="1192" w:right="0" w:hanging="1056"/>
        <w:jc w:val="left"/>
        <w:rPr>
          <w:sz w:val="42"/>
        </w:rPr>
      </w:pPr>
      <w:r>
        <w:rPr>
          <w:sz w:val="42"/>
        </w:rPr>
        <w:t>建设规模</w:t>
      </w:r>
    </w:p>
    <w:p>
      <w:pPr>
        <w:pStyle w:val="BodyText"/>
        <w:spacing w:before="398" w:line="417" w:lineRule="auto"/>
        <w:ind w:right="320" w:firstLine="719"/>
      </w:pPr>
      <w:r>
        <w:rPr>
          <w:spacing w:val="-16"/>
        </w:rPr>
        <w:t>线路全长公里，其中东胜至阿康中心物流园区段长公里，康巴什</w:t>
      </w:r>
      <w:r>
        <w:rPr>
          <w:spacing w:val="-13"/>
        </w:rPr>
        <w:t>至乔家壕段长公里。 本线路路基宽米，为高速公路。全线共设互通</w:t>
      </w:r>
      <w:r>
        <w:rPr>
          <w:spacing w:val="-13"/>
          <w:w w:val="100"/>
        </w:rPr>
        <w:t>立交</w:t>
      </w:r>
      <w:r>
        <w:rPr>
          <w:spacing w:val="-106"/>
        </w:rPr>
        <w:t xml:space="preserve"> </w:t>
      </w:r>
      <w:r>
        <w:rPr>
          <w:rFonts w:ascii="Calibri" w:eastAsia="Calibri"/>
          <w:w w:val="100"/>
        </w:rPr>
        <w:t>1</w:t>
      </w:r>
      <w:r>
        <w:rPr>
          <w:rFonts w:ascii="Calibri" w:eastAsia="Calibri"/>
        </w:rPr>
        <w:t xml:space="preserve"> </w:t>
      </w:r>
      <w:r>
        <w:rPr>
          <w:spacing w:val="-20"/>
          <w:w w:val="100"/>
        </w:rPr>
        <w:t>座，分离立交</w:t>
      </w:r>
      <w:r>
        <w:rPr>
          <w:spacing w:val="-112"/>
        </w:rPr>
        <w:t xml:space="preserve"> </w:t>
      </w:r>
      <w:r>
        <w:rPr>
          <w:rFonts w:ascii="Calibri" w:eastAsia="Calibri"/>
          <w:w w:val="100"/>
        </w:rPr>
        <w:t>7</w:t>
      </w:r>
      <w:r>
        <w:rPr>
          <w:rFonts w:ascii="Calibri" w:eastAsia="Calibri"/>
        </w:rPr>
        <w:t xml:space="preserve"> </w:t>
      </w:r>
      <w:r>
        <w:rPr>
          <w:spacing w:val="-24"/>
          <w:w w:val="100"/>
        </w:rPr>
        <w:t>座、大中桥</w:t>
      </w:r>
      <w:r>
        <w:rPr>
          <w:spacing w:val="-106"/>
        </w:rPr>
        <w:t xml:space="preserve"> </w:t>
      </w:r>
      <w:r>
        <w:rPr>
          <w:rFonts w:ascii="Calibri" w:eastAsia="Calibri"/>
          <w:w w:val="100"/>
        </w:rPr>
        <w:t>5</w:t>
      </w:r>
      <w:r>
        <w:rPr>
          <w:rFonts w:ascii="Calibri" w:eastAsia="Calibri"/>
        </w:rPr>
        <w:t xml:space="preserve"> </w:t>
      </w:r>
      <w:r>
        <w:rPr>
          <w:spacing w:val="-30"/>
          <w:w w:val="100"/>
        </w:rPr>
        <w:t>座、天桥</w:t>
      </w:r>
      <w:r>
        <w:rPr>
          <w:spacing w:val="-105"/>
        </w:rPr>
        <w:t xml:space="preserve"> </w:t>
      </w:r>
      <w:r>
        <w:rPr>
          <w:rFonts w:ascii="Calibri" w:eastAsia="Calibri"/>
          <w:w w:val="100"/>
        </w:rPr>
        <w:t>4</w:t>
      </w:r>
      <w:r>
        <w:rPr>
          <w:rFonts w:ascii="Calibri" w:eastAsia="Calibri"/>
        </w:rPr>
        <w:t xml:space="preserve"> </w:t>
      </w:r>
      <w:r>
        <w:rPr>
          <w:spacing w:val="-30"/>
          <w:w w:val="100"/>
        </w:rPr>
        <w:t>座、通道</w:t>
      </w:r>
      <w:r>
        <w:rPr>
          <w:spacing w:val="-106"/>
        </w:rPr>
        <w:t xml:space="preserve"> </w:t>
      </w:r>
      <w:r>
        <w:rPr>
          <w:rFonts w:ascii="Calibri" w:eastAsia="Calibri"/>
          <w:spacing w:val="-1"/>
          <w:w w:val="100"/>
        </w:rPr>
        <w:t>1</w:t>
      </w:r>
      <w:r>
        <w:rPr>
          <w:rFonts w:ascii="Calibri" w:eastAsia="Calibri"/>
          <w:w w:val="100"/>
        </w:rPr>
        <w:t>8</w:t>
      </w:r>
      <w:r>
        <w:rPr>
          <w:rFonts w:ascii="Calibri" w:eastAsia="Calibri"/>
        </w:rPr>
        <w:t xml:space="preserve"> </w:t>
      </w:r>
      <w:r>
        <w:rPr>
          <w:spacing w:val="-112"/>
          <w:w w:val="100"/>
        </w:rPr>
        <w:t>道</w:t>
      </w:r>
      <w:r>
        <w:rPr>
          <w:w w:val="100"/>
        </w:rPr>
        <w:t>（座</w:t>
      </w:r>
      <w:r>
        <w:rPr>
          <w:spacing w:val="-219"/>
          <w:w w:val="100"/>
        </w:rPr>
        <w:t>）</w:t>
      </w:r>
      <w:r>
        <w:rPr>
          <w:spacing w:val="-6"/>
          <w:w w:val="100"/>
        </w:rPr>
        <w:t>，</w:t>
      </w:r>
      <w:r>
        <w:rPr>
          <w:spacing w:val="-28"/>
        </w:rPr>
        <w:t xml:space="preserve">涵洞 </w:t>
      </w:r>
      <w:r>
        <w:rPr>
          <w:rFonts w:ascii="Calibri" w:eastAsia="Calibri"/>
        </w:rPr>
        <w:t xml:space="preserve">36 </w:t>
      </w:r>
      <w:r>
        <w:rPr>
          <w:spacing w:val="-10"/>
        </w:rPr>
        <w:t xml:space="preserve">道，全线共占土地 </w:t>
      </w:r>
      <w:r>
        <w:rPr>
          <w:rFonts w:ascii="Calibri" w:eastAsia="Calibri"/>
        </w:rPr>
        <w:t xml:space="preserve">5233 </w:t>
      </w:r>
      <w:r>
        <w:t>亩，拆迁建筑物万平方米。本线路</w:t>
      </w:r>
      <w:r>
        <w:rPr>
          <w:spacing w:val="-14"/>
        </w:rPr>
        <w:t xml:space="preserve">按计算行车速度 </w:t>
      </w:r>
      <w:r>
        <w:rPr>
          <w:rFonts w:ascii="Calibri" w:eastAsia="Calibri"/>
        </w:rPr>
        <w:t xml:space="preserve">100 </w:t>
      </w:r>
      <w:r>
        <w:t>公里</w:t>
      </w:r>
      <w:r>
        <w:rPr>
          <w:rFonts w:ascii="Calibri" w:eastAsia="Calibri"/>
        </w:rPr>
        <w:t>/</w:t>
      </w:r>
      <w:r>
        <w:t>小时进行设计。</w:t>
      </w:r>
    </w:p>
    <w:p>
      <w:pPr>
        <w:pStyle w:val="BodyText"/>
        <w:spacing w:line="537" w:lineRule="exact"/>
        <w:ind w:left="5321"/>
      </w:pPr>
      <w:r>
        <w:t>工程数量表</w:t>
      </w:r>
    </w:p>
    <w:p>
      <w:pPr>
        <w:pStyle w:val="BodyText"/>
        <w:spacing w:before="2"/>
        <w:ind w:left="0"/>
        <w:rPr>
          <w:sz w:val="16"/>
        </w:rPr>
      </w:pPr>
      <w:r>
        <w:pict>
          <v:group id="_x0000_s1025" style="width:503.5pt;height:33pt;margin-top:12.34pt;margin-left:195.25pt;mso-position-horizontal-relative:page;mso-wrap-distance-left:0;mso-wrap-distance-right:0;position:absolute;z-index:-251657216" coordorigin="3905,247" coordsize="10070,66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width:10070;height:660;left:3905;position:absolute;top:246" stroked="f">
              <v:imagedata r:id="rId5" o:title=""/>
            </v:shape>
            <v:shapetype id="_x0000_t202" coordsize="21600,21600" o:spt="202" path="m,l,21600r21600,l21600,xe">
              <v:stroke joinstyle="miter"/>
              <v:path gradientshapeok="t" o:connecttype="rect"/>
            </v:shapetype>
            <v:shape id="_x0000_s1027" type="#_x0000_t202" style="width:740;height:360;left:4162;position:absolute;top:392" filled="f" stroked="f">
              <v:textbox inset="0,0,0,0">
                <w:txbxContent>
                  <w:p>
                    <w:pPr>
                      <w:spacing w:before="0" w:line="360" w:lineRule="exact"/>
                      <w:ind w:left="0" w:right="0" w:firstLine="0"/>
                      <w:jc w:val="left"/>
                      <w:rPr>
                        <w:sz w:val="36"/>
                      </w:rPr>
                    </w:pPr>
                    <w:r>
                      <w:rPr>
                        <w:sz w:val="36"/>
                      </w:rPr>
                      <w:t>序号</w:t>
                    </w:r>
                  </w:p>
                </w:txbxContent>
              </v:textbox>
            </v:shape>
            <v:shape id="_x0000_s1028" type="#_x0000_t202" style="width:1460;height:360;left:5948;position:absolute;top:392" filled="f" stroked="f">
              <v:textbox inset="0,0,0,0">
                <w:txbxContent>
                  <w:p>
                    <w:pPr>
                      <w:spacing w:before="0" w:line="360" w:lineRule="exact"/>
                      <w:ind w:left="0" w:right="0" w:firstLine="0"/>
                      <w:jc w:val="left"/>
                      <w:rPr>
                        <w:sz w:val="36"/>
                      </w:rPr>
                    </w:pPr>
                    <w:r>
                      <w:rPr>
                        <w:sz w:val="36"/>
                      </w:rPr>
                      <w:t>项目名称</w:t>
                    </w:r>
                  </w:p>
                </w:txbxContent>
              </v:textbox>
            </v:shape>
            <v:shape id="_x0000_s1029" type="#_x0000_t202" style="width:740;height:360;left:8745;position:absolute;top:392" filled="f" stroked="f">
              <v:textbox inset="0,0,0,0">
                <w:txbxContent>
                  <w:p>
                    <w:pPr>
                      <w:spacing w:before="0" w:line="360" w:lineRule="exact"/>
                      <w:ind w:left="0" w:right="0" w:firstLine="0"/>
                      <w:jc w:val="left"/>
                      <w:rPr>
                        <w:sz w:val="36"/>
                      </w:rPr>
                    </w:pPr>
                    <w:r>
                      <w:rPr>
                        <w:sz w:val="36"/>
                      </w:rPr>
                      <w:t>单位</w:t>
                    </w:r>
                  </w:p>
                </w:txbxContent>
              </v:textbox>
            </v:shape>
            <v:shape id="_x0000_s1030" type="#_x0000_t202" style="width:740;height:360;left:11597;position:absolute;top:392" filled="f" stroked="f">
              <v:textbox inset="0,0,0,0">
                <w:txbxContent>
                  <w:p>
                    <w:pPr>
                      <w:spacing w:before="0" w:line="360" w:lineRule="exact"/>
                      <w:ind w:left="0" w:right="0" w:firstLine="0"/>
                      <w:jc w:val="left"/>
                      <w:rPr>
                        <w:sz w:val="36"/>
                      </w:rPr>
                    </w:pPr>
                    <w:r>
                      <w:rPr>
                        <w:sz w:val="36"/>
                      </w:rPr>
                      <w:t>数量</w:t>
                    </w:r>
                  </w:p>
                </w:txbxContent>
              </v:textbox>
            </v:shape>
            <w10:wrap type="topAndBottom"/>
          </v:group>
        </w:pict>
      </w:r>
    </w:p>
    <w:p>
      <w:pPr>
        <w:spacing w:after="0"/>
        <w:rPr>
          <w:sz w:val="16"/>
        </w:rPr>
        <w:sectPr>
          <w:pgSz w:w="17860" w:h="25260"/>
          <w:pgMar w:top="1960" w:right="2340" w:bottom="280" w:left="2560" w:header="708" w:footer="708"/>
          <w:pgNumType w:start="11"/>
          <w:cols w:space="708"/>
        </w:sectPr>
      </w:pPr>
    </w:p>
    <w:p>
      <w:pPr>
        <w:pStyle w:val="BodyText"/>
        <w:ind w:left="0"/>
        <w:rPr>
          <w:sz w:val="12"/>
        </w:rPr>
      </w:pPr>
    </w:p>
    <w:tbl>
      <w:tblPr>
        <w:tblStyle w:val="TableNormal1"/>
        <w:tblW w:w="0" w:type="auto"/>
        <w:jc w:val="left"/>
        <w:tblInd w:w="173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855"/>
        <w:gridCol w:w="2979"/>
        <w:gridCol w:w="1739"/>
        <w:gridCol w:w="1211"/>
      </w:tblGrid>
      <w:tr>
        <w:tblPrEx>
          <w:tblW w:w="0" w:type="auto"/>
          <w:jc w:val="left"/>
          <w:tblInd w:w="173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513"/>
          <w:jc w:val="left"/>
        </w:trPr>
        <w:tc>
          <w:tcPr>
            <w:tcW w:w="855" w:type="dxa"/>
          </w:tcPr>
          <w:p>
            <w:pPr>
              <w:pStyle w:val="TableParagraph"/>
              <w:spacing w:before="0" w:line="402" w:lineRule="exact"/>
              <w:ind w:left="140"/>
              <w:rPr>
                <w:rFonts w:ascii="Calibri"/>
                <w:sz w:val="36"/>
              </w:rPr>
            </w:pPr>
            <w:r>
              <w:rPr>
                <w:rFonts w:ascii="Calibri"/>
                <w:sz w:val="36"/>
              </w:rPr>
              <w:t>1</w:t>
            </w:r>
          </w:p>
        </w:tc>
        <w:tc>
          <w:tcPr>
            <w:tcW w:w="2979" w:type="dxa"/>
          </w:tcPr>
          <w:p>
            <w:pPr>
              <w:pStyle w:val="TableParagraph"/>
              <w:spacing w:before="0" w:line="411" w:lineRule="exact"/>
              <w:ind w:left="63"/>
              <w:jc w:val="center"/>
              <w:rPr>
                <w:sz w:val="36"/>
              </w:rPr>
            </w:pPr>
            <w:r>
              <w:rPr>
                <w:sz w:val="36"/>
              </w:rPr>
              <w:t>路线长度</w:t>
            </w:r>
          </w:p>
        </w:tc>
        <w:tc>
          <w:tcPr>
            <w:tcW w:w="1739" w:type="dxa"/>
          </w:tcPr>
          <w:p>
            <w:pPr>
              <w:pStyle w:val="TableParagraph"/>
              <w:spacing w:before="0" w:line="411" w:lineRule="exact"/>
              <w:ind w:left="619"/>
              <w:rPr>
                <w:sz w:val="36"/>
              </w:rPr>
            </w:pPr>
            <w:r>
              <w:rPr>
                <w:sz w:val="36"/>
              </w:rPr>
              <w:t>公里</w:t>
            </w:r>
          </w:p>
        </w:tc>
        <w:tc>
          <w:tcPr>
            <w:tcW w:w="1211" w:type="dxa"/>
            <w:vMerge w:val="restart"/>
          </w:tcPr>
          <w:p>
            <w:pPr>
              <w:pStyle w:val="TableParagraph"/>
              <w:spacing w:before="0"/>
              <w:ind w:left="0"/>
              <w:rPr>
                <w:rFonts w:ascii="Times New Roman"/>
                <w:sz w:val="40"/>
              </w:rPr>
            </w:pPr>
          </w:p>
        </w:tc>
      </w:tr>
      <w:tr>
        <w:tblPrEx>
          <w:tblW w:w="0" w:type="auto"/>
          <w:jc w:val="left"/>
          <w:tblInd w:w="1739" w:type="dxa"/>
          <w:tblLayout w:type="fixed"/>
          <w:tblCellMar>
            <w:top w:w="0" w:type="dxa"/>
            <w:left w:w="0" w:type="dxa"/>
            <w:bottom w:w="0" w:type="dxa"/>
            <w:right w:w="0" w:type="dxa"/>
          </w:tblCellMar>
          <w:tblLook w:val="01E0"/>
        </w:tblPrEx>
        <w:trPr>
          <w:trHeight w:val="630"/>
          <w:jc w:val="left"/>
        </w:trPr>
        <w:tc>
          <w:tcPr>
            <w:tcW w:w="855" w:type="dxa"/>
          </w:tcPr>
          <w:p>
            <w:pPr>
              <w:pStyle w:val="TableParagraph"/>
              <w:spacing w:before="80"/>
              <w:ind w:left="140"/>
              <w:rPr>
                <w:rFonts w:ascii="Calibri"/>
                <w:sz w:val="36"/>
              </w:rPr>
            </w:pPr>
            <w:r>
              <w:rPr>
                <w:rFonts w:ascii="Calibri"/>
                <w:sz w:val="36"/>
              </w:rPr>
              <w:t>2</w:t>
            </w:r>
          </w:p>
        </w:tc>
        <w:tc>
          <w:tcPr>
            <w:tcW w:w="2979" w:type="dxa"/>
          </w:tcPr>
          <w:p>
            <w:pPr>
              <w:pStyle w:val="TableParagraph"/>
              <w:ind w:left="63"/>
              <w:jc w:val="center"/>
              <w:rPr>
                <w:sz w:val="36"/>
              </w:rPr>
            </w:pPr>
            <w:r>
              <w:rPr>
                <w:sz w:val="36"/>
              </w:rPr>
              <w:t>路基土石方</w:t>
            </w:r>
          </w:p>
        </w:tc>
        <w:tc>
          <w:tcPr>
            <w:tcW w:w="1739" w:type="dxa"/>
          </w:tcPr>
          <w:p>
            <w:pPr>
              <w:pStyle w:val="TableParagraph"/>
              <w:spacing w:before="80"/>
              <w:ind w:left="0" w:right="160"/>
              <w:jc w:val="right"/>
              <w:rPr>
                <w:rFonts w:ascii="Calibri"/>
                <w:sz w:val="36"/>
              </w:rPr>
            </w:pPr>
            <w:r>
              <w:rPr>
                <w:rFonts w:ascii="Calibri"/>
                <w:sz w:val="36"/>
              </w:rPr>
              <w:t>1000m3</w:t>
            </w:r>
          </w:p>
        </w:tc>
        <w:tc>
          <w:tcPr>
            <w:tcW w:w="1211" w:type="dxa"/>
            <w:vMerge/>
            <w:tcBorders>
              <w:top w:val="nil"/>
            </w:tcBorders>
          </w:tcPr>
          <w:p>
            <w:pPr>
              <w:rPr>
                <w:sz w:val="2"/>
                <w:szCs w:val="2"/>
              </w:rPr>
            </w:pPr>
          </w:p>
        </w:tc>
      </w:tr>
      <w:tr>
        <w:tblPrEx>
          <w:tblW w:w="0" w:type="auto"/>
          <w:jc w:val="left"/>
          <w:tblInd w:w="1739" w:type="dxa"/>
          <w:tblLayout w:type="fixed"/>
          <w:tblCellMar>
            <w:top w:w="0" w:type="dxa"/>
            <w:left w:w="0" w:type="dxa"/>
            <w:bottom w:w="0" w:type="dxa"/>
            <w:right w:w="0" w:type="dxa"/>
          </w:tblCellMar>
          <w:tblLook w:val="01E0"/>
        </w:tblPrEx>
        <w:trPr>
          <w:trHeight w:val="628"/>
          <w:jc w:val="left"/>
        </w:trPr>
        <w:tc>
          <w:tcPr>
            <w:tcW w:w="855" w:type="dxa"/>
          </w:tcPr>
          <w:p>
            <w:pPr>
              <w:pStyle w:val="TableParagraph"/>
              <w:spacing w:before="80"/>
              <w:ind w:left="140"/>
              <w:rPr>
                <w:rFonts w:ascii="Calibri"/>
                <w:sz w:val="36"/>
              </w:rPr>
            </w:pPr>
            <w:r>
              <w:rPr>
                <w:rFonts w:ascii="Calibri"/>
                <w:sz w:val="36"/>
              </w:rPr>
              <w:t>3</w:t>
            </w:r>
          </w:p>
        </w:tc>
        <w:tc>
          <w:tcPr>
            <w:tcW w:w="2979" w:type="dxa"/>
          </w:tcPr>
          <w:p>
            <w:pPr>
              <w:pStyle w:val="TableParagraph"/>
              <w:ind w:left="62"/>
              <w:jc w:val="center"/>
              <w:rPr>
                <w:sz w:val="36"/>
              </w:rPr>
            </w:pPr>
            <w:r>
              <w:rPr>
                <w:sz w:val="36"/>
              </w:rPr>
              <w:t>路基排水防护</w:t>
            </w:r>
          </w:p>
        </w:tc>
        <w:tc>
          <w:tcPr>
            <w:tcW w:w="1739" w:type="dxa"/>
          </w:tcPr>
          <w:p>
            <w:pPr>
              <w:pStyle w:val="TableParagraph"/>
              <w:spacing w:before="80"/>
              <w:ind w:left="0" w:right="160"/>
              <w:jc w:val="right"/>
              <w:rPr>
                <w:rFonts w:ascii="Calibri"/>
                <w:sz w:val="36"/>
              </w:rPr>
            </w:pPr>
            <w:r>
              <w:rPr>
                <w:rFonts w:ascii="Calibri"/>
                <w:sz w:val="36"/>
              </w:rPr>
              <w:t>1000m3</w:t>
            </w:r>
          </w:p>
        </w:tc>
        <w:tc>
          <w:tcPr>
            <w:tcW w:w="1211" w:type="dxa"/>
            <w:vMerge/>
            <w:tcBorders>
              <w:top w:val="nil"/>
            </w:tcBorders>
          </w:tcPr>
          <w:p>
            <w:pPr>
              <w:rPr>
                <w:sz w:val="2"/>
                <w:szCs w:val="2"/>
              </w:rPr>
            </w:pPr>
          </w:p>
        </w:tc>
      </w:tr>
      <w:tr>
        <w:tblPrEx>
          <w:tblW w:w="0" w:type="auto"/>
          <w:jc w:val="left"/>
          <w:tblInd w:w="1739" w:type="dxa"/>
          <w:tblLayout w:type="fixed"/>
          <w:tblCellMar>
            <w:top w:w="0" w:type="dxa"/>
            <w:left w:w="0" w:type="dxa"/>
            <w:bottom w:w="0" w:type="dxa"/>
            <w:right w:w="0" w:type="dxa"/>
          </w:tblCellMar>
          <w:tblLook w:val="01E0"/>
        </w:tblPrEx>
        <w:trPr>
          <w:trHeight w:val="628"/>
          <w:jc w:val="left"/>
        </w:trPr>
        <w:tc>
          <w:tcPr>
            <w:tcW w:w="855" w:type="dxa"/>
          </w:tcPr>
          <w:p>
            <w:pPr>
              <w:pStyle w:val="TableParagraph"/>
              <w:spacing w:before="78"/>
              <w:ind w:left="140"/>
              <w:rPr>
                <w:rFonts w:ascii="Calibri"/>
                <w:sz w:val="36"/>
              </w:rPr>
            </w:pPr>
            <w:r>
              <w:rPr>
                <w:rFonts w:ascii="Calibri"/>
                <w:sz w:val="36"/>
              </w:rPr>
              <w:t>4</w:t>
            </w:r>
          </w:p>
        </w:tc>
        <w:tc>
          <w:tcPr>
            <w:tcW w:w="2979" w:type="dxa"/>
          </w:tcPr>
          <w:p>
            <w:pPr>
              <w:pStyle w:val="TableParagraph"/>
              <w:spacing w:before="64"/>
              <w:ind w:left="62"/>
              <w:jc w:val="center"/>
              <w:rPr>
                <w:sz w:val="36"/>
              </w:rPr>
            </w:pPr>
            <w:r>
              <w:rPr>
                <w:sz w:val="36"/>
              </w:rPr>
              <w:t>特殊路基处理</w:t>
            </w:r>
          </w:p>
        </w:tc>
        <w:tc>
          <w:tcPr>
            <w:tcW w:w="1739" w:type="dxa"/>
          </w:tcPr>
          <w:p>
            <w:pPr>
              <w:pStyle w:val="TableParagraph"/>
              <w:spacing w:before="64"/>
              <w:ind w:left="619"/>
              <w:rPr>
                <w:sz w:val="36"/>
              </w:rPr>
            </w:pPr>
            <w:r>
              <w:rPr>
                <w:sz w:val="36"/>
              </w:rPr>
              <w:t>公里</w:t>
            </w:r>
          </w:p>
        </w:tc>
        <w:tc>
          <w:tcPr>
            <w:tcW w:w="1211" w:type="dxa"/>
            <w:vMerge/>
            <w:tcBorders>
              <w:top w:val="nil"/>
            </w:tcBorders>
          </w:tcPr>
          <w:p>
            <w:pPr>
              <w:rPr>
                <w:sz w:val="2"/>
                <w:szCs w:val="2"/>
              </w:rPr>
            </w:pPr>
          </w:p>
        </w:tc>
      </w:tr>
      <w:tr>
        <w:tblPrEx>
          <w:tblW w:w="0" w:type="auto"/>
          <w:jc w:val="left"/>
          <w:tblInd w:w="1739" w:type="dxa"/>
          <w:tblLayout w:type="fixed"/>
          <w:tblCellMar>
            <w:top w:w="0" w:type="dxa"/>
            <w:left w:w="0" w:type="dxa"/>
            <w:bottom w:w="0" w:type="dxa"/>
            <w:right w:w="0" w:type="dxa"/>
          </w:tblCellMar>
          <w:tblLook w:val="01E0"/>
        </w:tblPrEx>
        <w:trPr>
          <w:trHeight w:val="628"/>
          <w:jc w:val="left"/>
        </w:trPr>
        <w:tc>
          <w:tcPr>
            <w:tcW w:w="855" w:type="dxa"/>
          </w:tcPr>
          <w:p>
            <w:pPr>
              <w:pStyle w:val="TableParagraph"/>
              <w:spacing w:before="80"/>
              <w:ind w:left="140"/>
              <w:rPr>
                <w:rFonts w:ascii="Calibri"/>
                <w:sz w:val="36"/>
              </w:rPr>
            </w:pPr>
            <w:r>
              <w:rPr>
                <w:rFonts w:ascii="Calibri"/>
                <w:sz w:val="36"/>
              </w:rPr>
              <w:t>5</w:t>
            </w:r>
          </w:p>
        </w:tc>
        <w:tc>
          <w:tcPr>
            <w:tcW w:w="2979" w:type="dxa"/>
          </w:tcPr>
          <w:p>
            <w:pPr>
              <w:pStyle w:val="TableParagraph"/>
              <w:tabs>
                <w:tab w:val="left" w:pos="798"/>
              </w:tabs>
              <w:ind w:left="64"/>
              <w:jc w:val="center"/>
              <w:rPr>
                <w:sz w:val="36"/>
              </w:rPr>
            </w:pPr>
            <w:r>
              <w:rPr>
                <w:sz w:val="36"/>
              </w:rPr>
              <w:t>路</w:t>
              <w:tab/>
              <w:t>面</w:t>
            </w:r>
          </w:p>
        </w:tc>
        <w:tc>
          <w:tcPr>
            <w:tcW w:w="1739" w:type="dxa"/>
          </w:tcPr>
          <w:p>
            <w:pPr>
              <w:pStyle w:val="TableParagraph"/>
              <w:spacing w:before="80"/>
              <w:ind w:left="0" w:right="160"/>
              <w:jc w:val="right"/>
              <w:rPr>
                <w:rFonts w:ascii="Calibri"/>
                <w:sz w:val="36"/>
              </w:rPr>
            </w:pPr>
            <w:r>
              <w:rPr>
                <w:rFonts w:ascii="Calibri"/>
                <w:sz w:val="36"/>
              </w:rPr>
              <w:t>1000m2</w:t>
            </w:r>
          </w:p>
        </w:tc>
        <w:tc>
          <w:tcPr>
            <w:tcW w:w="1211" w:type="dxa"/>
            <w:vMerge/>
            <w:tcBorders>
              <w:top w:val="nil"/>
            </w:tcBorders>
          </w:tcPr>
          <w:p>
            <w:pPr>
              <w:rPr>
                <w:sz w:val="2"/>
                <w:szCs w:val="2"/>
              </w:rPr>
            </w:pPr>
          </w:p>
        </w:tc>
      </w:tr>
      <w:tr>
        <w:tblPrEx>
          <w:tblW w:w="0" w:type="auto"/>
          <w:jc w:val="left"/>
          <w:tblInd w:w="1739" w:type="dxa"/>
          <w:tblLayout w:type="fixed"/>
          <w:tblCellMar>
            <w:top w:w="0" w:type="dxa"/>
            <w:left w:w="0" w:type="dxa"/>
            <w:bottom w:w="0" w:type="dxa"/>
            <w:right w:w="0" w:type="dxa"/>
          </w:tblCellMar>
          <w:tblLook w:val="01E0"/>
        </w:tblPrEx>
        <w:trPr>
          <w:trHeight w:val="628"/>
          <w:jc w:val="left"/>
        </w:trPr>
        <w:tc>
          <w:tcPr>
            <w:tcW w:w="855" w:type="dxa"/>
          </w:tcPr>
          <w:p>
            <w:pPr>
              <w:pStyle w:val="TableParagraph"/>
              <w:spacing w:before="78"/>
              <w:ind w:left="140"/>
              <w:rPr>
                <w:rFonts w:ascii="Calibri"/>
                <w:sz w:val="36"/>
              </w:rPr>
            </w:pPr>
            <w:r>
              <w:rPr>
                <w:rFonts w:ascii="Calibri"/>
                <w:sz w:val="36"/>
              </w:rPr>
              <w:t>6</w:t>
            </w:r>
          </w:p>
        </w:tc>
        <w:tc>
          <w:tcPr>
            <w:tcW w:w="2979" w:type="dxa"/>
          </w:tcPr>
          <w:p>
            <w:pPr>
              <w:pStyle w:val="TableParagraph"/>
              <w:spacing w:before="64"/>
              <w:ind w:left="63"/>
              <w:jc w:val="center"/>
              <w:rPr>
                <w:sz w:val="36"/>
              </w:rPr>
            </w:pPr>
            <w:r>
              <w:rPr>
                <w:sz w:val="36"/>
              </w:rPr>
              <w:t>大中桥</w:t>
            </w:r>
          </w:p>
        </w:tc>
        <w:tc>
          <w:tcPr>
            <w:tcW w:w="1739" w:type="dxa"/>
          </w:tcPr>
          <w:p>
            <w:pPr>
              <w:pStyle w:val="TableParagraph"/>
              <w:spacing w:before="64"/>
              <w:ind w:left="583"/>
              <w:rPr>
                <w:sz w:val="36"/>
              </w:rPr>
            </w:pPr>
            <w:r>
              <w:rPr>
                <w:rFonts w:ascii="Calibri" w:eastAsia="Calibri"/>
                <w:position w:val="1"/>
                <w:sz w:val="36"/>
              </w:rPr>
              <w:t>m/</w:t>
            </w:r>
            <w:r>
              <w:rPr>
                <w:sz w:val="36"/>
              </w:rPr>
              <w:t>座</w:t>
            </w:r>
          </w:p>
        </w:tc>
        <w:tc>
          <w:tcPr>
            <w:tcW w:w="1211" w:type="dxa"/>
          </w:tcPr>
          <w:p>
            <w:pPr>
              <w:pStyle w:val="TableParagraph"/>
              <w:spacing w:before="74"/>
              <w:ind w:left="162"/>
              <w:rPr>
                <w:rFonts w:ascii="Calibri"/>
                <w:sz w:val="36"/>
              </w:rPr>
            </w:pPr>
            <w:r>
              <w:rPr>
                <w:rFonts w:ascii="Calibri"/>
                <w:spacing w:val="-10"/>
                <w:sz w:val="36"/>
              </w:rPr>
              <w:t>1766/5</w:t>
            </w:r>
          </w:p>
        </w:tc>
      </w:tr>
      <w:tr>
        <w:tblPrEx>
          <w:tblW w:w="0" w:type="auto"/>
          <w:jc w:val="left"/>
          <w:tblInd w:w="1739" w:type="dxa"/>
          <w:tblLayout w:type="fixed"/>
          <w:tblCellMar>
            <w:top w:w="0" w:type="dxa"/>
            <w:left w:w="0" w:type="dxa"/>
            <w:bottom w:w="0" w:type="dxa"/>
            <w:right w:w="0" w:type="dxa"/>
          </w:tblCellMar>
          <w:tblLook w:val="01E0"/>
        </w:tblPrEx>
        <w:trPr>
          <w:trHeight w:val="628"/>
          <w:jc w:val="left"/>
        </w:trPr>
        <w:tc>
          <w:tcPr>
            <w:tcW w:w="855" w:type="dxa"/>
          </w:tcPr>
          <w:p>
            <w:pPr>
              <w:pStyle w:val="TableParagraph"/>
              <w:spacing w:before="80"/>
              <w:ind w:left="140"/>
              <w:rPr>
                <w:rFonts w:ascii="Calibri"/>
                <w:sz w:val="36"/>
              </w:rPr>
            </w:pPr>
            <w:r>
              <w:rPr>
                <w:rFonts w:ascii="Calibri"/>
                <w:sz w:val="36"/>
              </w:rPr>
              <w:t>7</w:t>
            </w:r>
          </w:p>
        </w:tc>
        <w:tc>
          <w:tcPr>
            <w:tcW w:w="2979" w:type="dxa"/>
          </w:tcPr>
          <w:p>
            <w:pPr>
              <w:pStyle w:val="TableParagraph"/>
              <w:tabs>
                <w:tab w:val="left" w:pos="798"/>
              </w:tabs>
              <w:ind w:left="64"/>
              <w:jc w:val="center"/>
              <w:rPr>
                <w:sz w:val="36"/>
              </w:rPr>
            </w:pPr>
            <w:r>
              <w:rPr>
                <w:sz w:val="36"/>
              </w:rPr>
              <w:t>涵</w:t>
              <w:tab/>
              <w:t>洞</w:t>
            </w:r>
          </w:p>
        </w:tc>
        <w:tc>
          <w:tcPr>
            <w:tcW w:w="1739" w:type="dxa"/>
          </w:tcPr>
          <w:p>
            <w:pPr>
              <w:pStyle w:val="TableParagraph"/>
              <w:ind w:left="799"/>
              <w:rPr>
                <w:sz w:val="36"/>
              </w:rPr>
            </w:pPr>
            <w:r>
              <w:rPr>
                <w:sz w:val="36"/>
              </w:rPr>
              <w:t>道</w:t>
            </w:r>
          </w:p>
        </w:tc>
        <w:tc>
          <w:tcPr>
            <w:tcW w:w="1211" w:type="dxa"/>
          </w:tcPr>
          <w:p>
            <w:pPr>
              <w:pStyle w:val="TableParagraph"/>
              <w:spacing w:before="76"/>
              <w:ind w:left="162"/>
              <w:rPr>
                <w:rFonts w:ascii="Calibri"/>
                <w:sz w:val="36"/>
              </w:rPr>
            </w:pPr>
            <w:r>
              <w:rPr>
                <w:rFonts w:ascii="Calibri"/>
                <w:sz w:val="36"/>
              </w:rPr>
              <w:t>36</w:t>
            </w:r>
          </w:p>
        </w:tc>
      </w:tr>
      <w:tr>
        <w:tblPrEx>
          <w:tblW w:w="0" w:type="auto"/>
          <w:jc w:val="left"/>
          <w:tblInd w:w="1739" w:type="dxa"/>
          <w:tblLayout w:type="fixed"/>
          <w:tblCellMar>
            <w:top w:w="0" w:type="dxa"/>
            <w:left w:w="0" w:type="dxa"/>
            <w:bottom w:w="0" w:type="dxa"/>
            <w:right w:w="0" w:type="dxa"/>
          </w:tblCellMar>
          <w:tblLook w:val="01E0"/>
        </w:tblPrEx>
        <w:trPr>
          <w:trHeight w:val="628"/>
          <w:jc w:val="left"/>
        </w:trPr>
        <w:tc>
          <w:tcPr>
            <w:tcW w:w="855" w:type="dxa"/>
          </w:tcPr>
          <w:p>
            <w:pPr>
              <w:pStyle w:val="TableParagraph"/>
              <w:spacing w:before="78"/>
              <w:ind w:left="140"/>
              <w:rPr>
                <w:rFonts w:ascii="Calibri"/>
                <w:sz w:val="36"/>
              </w:rPr>
            </w:pPr>
            <w:r>
              <w:rPr>
                <w:rFonts w:ascii="Calibri"/>
                <w:sz w:val="36"/>
              </w:rPr>
              <w:t>8</w:t>
            </w:r>
          </w:p>
        </w:tc>
        <w:tc>
          <w:tcPr>
            <w:tcW w:w="2979" w:type="dxa"/>
          </w:tcPr>
          <w:p>
            <w:pPr>
              <w:pStyle w:val="TableParagraph"/>
              <w:spacing w:before="64"/>
              <w:ind w:left="63"/>
              <w:jc w:val="center"/>
              <w:rPr>
                <w:sz w:val="36"/>
              </w:rPr>
            </w:pPr>
            <w:r>
              <w:rPr>
                <w:sz w:val="36"/>
              </w:rPr>
              <w:t>互通立交</w:t>
            </w:r>
          </w:p>
        </w:tc>
        <w:tc>
          <w:tcPr>
            <w:tcW w:w="1739" w:type="dxa"/>
          </w:tcPr>
          <w:p>
            <w:pPr>
              <w:pStyle w:val="TableParagraph"/>
              <w:spacing w:before="64"/>
              <w:ind w:left="799"/>
              <w:rPr>
                <w:sz w:val="36"/>
              </w:rPr>
            </w:pPr>
            <w:r>
              <w:rPr>
                <w:sz w:val="36"/>
              </w:rPr>
              <w:t>座</w:t>
            </w:r>
          </w:p>
        </w:tc>
        <w:tc>
          <w:tcPr>
            <w:tcW w:w="1211" w:type="dxa"/>
          </w:tcPr>
          <w:p>
            <w:pPr>
              <w:pStyle w:val="TableParagraph"/>
              <w:spacing w:before="74"/>
              <w:ind w:left="162"/>
              <w:rPr>
                <w:rFonts w:ascii="Calibri"/>
                <w:sz w:val="36"/>
              </w:rPr>
            </w:pPr>
            <w:r>
              <w:rPr>
                <w:rFonts w:ascii="Calibri"/>
                <w:sz w:val="36"/>
              </w:rPr>
              <w:t>1</w:t>
            </w:r>
          </w:p>
        </w:tc>
      </w:tr>
      <w:tr>
        <w:tblPrEx>
          <w:tblW w:w="0" w:type="auto"/>
          <w:jc w:val="left"/>
          <w:tblInd w:w="1739" w:type="dxa"/>
          <w:tblLayout w:type="fixed"/>
          <w:tblCellMar>
            <w:top w:w="0" w:type="dxa"/>
            <w:left w:w="0" w:type="dxa"/>
            <w:bottom w:w="0" w:type="dxa"/>
            <w:right w:w="0" w:type="dxa"/>
          </w:tblCellMar>
          <w:tblLook w:val="01E0"/>
        </w:tblPrEx>
        <w:trPr>
          <w:trHeight w:val="630"/>
          <w:jc w:val="left"/>
        </w:trPr>
        <w:tc>
          <w:tcPr>
            <w:tcW w:w="855" w:type="dxa"/>
          </w:tcPr>
          <w:p>
            <w:pPr>
              <w:pStyle w:val="TableParagraph"/>
              <w:spacing w:before="80"/>
              <w:ind w:left="140"/>
              <w:rPr>
                <w:rFonts w:ascii="Calibri"/>
                <w:sz w:val="36"/>
              </w:rPr>
            </w:pPr>
            <w:r>
              <w:rPr>
                <w:rFonts w:ascii="Calibri"/>
                <w:sz w:val="36"/>
              </w:rPr>
              <w:t>9</w:t>
            </w:r>
          </w:p>
        </w:tc>
        <w:tc>
          <w:tcPr>
            <w:tcW w:w="2979" w:type="dxa"/>
          </w:tcPr>
          <w:p>
            <w:pPr>
              <w:pStyle w:val="TableParagraph"/>
              <w:ind w:left="63"/>
              <w:jc w:val="center"/>
              <w:rPr>
                <w:sz w:val="36"/>
              </w:rPr>
            </w:pPr>
            <w:r>
              <w:rPr>
                <w:sz w:val="36"/>
              </w:rPr>
              <w:t>分离立交</w:t>
            </w:r>
          </w:p>
        </w:tc>
        <w:tc>
          <w:tcPr>
            <w:tcW w:w="1739" w:type="dxa"/>
          </w:tcPr>
          <w:p>
            <w:pPr>
              <w:pStyle w:val="TableParagraph"/>
              <w:ind w:left="799"/>
              <w:rPr>
                <w:sz w:val="36"/>
              </w:rPr>
            </w:pPr>
            <w:r>
              <w:rPr>
                <w:sz w:val="36"/>
              </w:rPr>
              <w:t>座</w:t>
            </w:r>
          </w:p>
        </w:tc>
        <w:tc>
          <w:tcPr>
            <w:tcW w:w="1211" w:type="dxa"/>
          </w:tcPr>
          <w:p>
            <w:pPr>
              <w:pStyle w:val="TableParagraph"/>
              <w:spacing w:before="76"/>
              <w:ind w:left="162"/>
              <w:rPr>
                <w:rFonts w:ascii="Calibri"/>
                <w:sz w:val="36"/>
              </w:rPr>
            </w:pPr>
            <w:r>
              <w:rPr>
                <w:rFonts w:ascii="Calibri"/>
                <w:sz w:val="36"/>
              </w:rPr>
              <w:t>7</w:t>
            </w:r>
          </w:p>
        </w:tc>
      </w:tr>
      <w:tr>
        <w:tblPrEx>
          <w:tblW w:w="0" w:type="auto"/>
          <w:jc w:val="left"/>
          <w:tblInd w:w="1739" w:type="dxa"/>
          <w:tblLayout w:type="fixed"/>
          <w:tblCellMar>
            <w:top w:w="0" w:type="dxa"/>
            <w:left w:w="0" w:type="dxa"/>
            <w:bottom w:w="0" w:type="dxa"/>
            <w:right w:w="0" w:type="dxa"/>
          </w:tblCellMar>
          <w:tblLook w:val="01E0"/>
        </w:tblPrEx>
        <w:trPr>
          <w:trHeight w:val="628"/>
          <w:jc w:val="left"/>
        </w:trPr>
        <w:tc>
          <w:tcPr>
            <w:tcW w:w="855" w:type="dxa"/>
          </w:tcPr>
          <w:p>
            <w:pPr>
              <w:pStyle w:val="TableParagraph"/>
              <w:spacing w:before="80"/>
              <w:rPr>
                <w:rFonts w:ascii="Calibri"/>
                <w:sz w:val="36"/>
              </w:rPr>
            </w:pPr>
            <w:r>
              <w:rPr>
                <w:rFonts w:ascii="Calibri"/>
                <w:sz w:val="36"/>
              </w:rPr>
              <w:t>10</w:t>
            </w:r>
          </w:p>
        </w:tc>
        <w:tc>
          <w:tcPr>
            <w:tcW w:w="2979" w:type="dxa"/>
          </w:tcPr>
          <w:p>
            <w:pPr>
              <w:pStyle w:val="TableParagraph"/>
              <w:spacing w:before="67"/>
              <w:ind w:left="63"/>
              <w:jc w:val="center"/>
              <w:rPr>
                <w:sz w:val="36"/>
              </w:rPr>
            </w:pPr>
            <w:r>
              <w:rPr>
                <w:sz w:val="36"/>
              </w:rPr>
              <w:t>天桥</w:t>
            </w:r>
          </w:p>
        </w:tc>
        <w:tc>
          <w:tcPr>
            <w:tcW w:w="1739" w:type="dxa"/>
          </w:tcPr>
          <w:p>
            <w:pPr>
              <w:pStyle w:val="TableParagraph"/>
              <w:spacing w:before="67"/>
              <w:ind w:left="799"/>
              <w:rPr>
                <w:sz w:val="36"/>
              </w:rPr>
            </w:pPr>
            <w:r>
              <w:rPr>
                <w:sz w:val="36"/>
              </w:rPr>
              <w:t>座</w:t>
            </w:r>
          </w:p>
        </w:tc>
        <w:tc>
          <w:tcPr>
            <w:tcW w:w="1211" w:type="dxa"/>
          </w:tcPr>
          <w:p>
            <w:pPr>
              <w:pStyle w:val="TableParagraph"/>
              <w:spacing w:before="77"/>
              <w:ind w:left="162"/>
              <w:rPr>
                <w:rFonts w:ascii="Calibri"/>
                <w:sz w:val="36"/>
              </w:rPr>
            </w:pPr>
            <w:r>
              <w:rPr>
                <w:rFonts w:ascii="Calibri"/>
                <w:sz w:val="36"/>
              </w:rPr>
              <w:t>4</w:t>
            </w:r>
          </w:p>
        </w:tc>
      </w:tr>
      <w:tr>
        <w:tblPrEx>
          <w:tblW w:w="0" w:type="auto"/>
          <w:jc w:val="left"/>
          <w:tblInd w:w="1739" w:type="dxa"/>
          <w:tblLayout w:type="fixed"/>
          <w:tblCellMar>
            <w:top w:w="0" w:type="dxa"/>
            <w:left w:w="0" w:type="dxa"/>
            <w:bottom w:w="0" w:type="dxa"/>
            <w:right w:w="0" w:type="dxa"/>
          </w:tblCellMar>
          <w:tblLook w:val="01E0"/>
        </w:tblPrEx>
        <w:trPr>
          <w:trHeight w:val="628"/>
          <w:jc w:val="left"/>
        </w:trPr>
        <w:tc>
          <w:tcPr>
            <w:tcW w:w="855" w:type="dxa"/>
          </w:tcPr>
          <w:p>
            <w:pPr>
              <w:pStyle w:val="TableParagraph"/>
              <w:spacing w:before="78"/>
              <w:rPr>
                <w:rFonts w:ascii="Calibri"/>
                <w:sz w:val="36"/>
              </w:rPr>
            </w:pPr>
            <w:r>
              <w:rPr>
                <w:rFonts w:ascii="Calibri"/>
                <w:sz w:val="36"/>
              </w:rPr>
              <w:t>11</w:t>
            </w:r>
          </w:p>
        </w:tc>
        <w:tc>
          <w:tcPr>
            <w:tcW w:w="2979" w:type="dxa"/>
          </w:tcPr>
          <w:p>
            <w:pPr>
              <w:pStyle w:val="TableParagraph"/>
              <w:spacing w:before="64"/>
              <w:ind w:left="63"/>
              <w:jc w:val="center"/>
              <w:rPr>
                <w:sz w:val="36"/>
              </w:rPr>
            </w:pPr>
            <w:r>
              <w:rPr>
                <w:sz w:val="36"/>
              </w:rPr>
              <w:t>通道</w:t>
            </w:r>
          </w:p>
        </w:tc>
        <w:tc>
          <w:tcPr>
            <w:tcW w:w="1739" w:type="dxa"/>
          </w:tcPr>
          <w:p>
            <w:pPr>
              <w:pStyle w:val="TableParagraph"/>
              <w:spacing w:before="64"/>
              <w:ind w:left="799"/>
              <w:rPr>
                <w:sz w:val="36"/>
              </w:rPr>
            </w:pPr>
            <w:r>
              <w:rPr>
                <w:sz w:val="36"/>
              </w:rPr>
              <w:t>处</w:t>
            </w:r>
          </w:p>
        </w:tc>
        <w:tc>
          <w:tcPr>
            <w:tcW w:w="1211" w:type="dxa"/>
          </w:tcPr>
          <w:p>
            <w:pPr>
              <w:pStyle w:val="TableParagraph"/>
              <w:spacing w:before="74"/>
              <w:ind w:left="162"/>
              <w:rPr>
                <w:rFonts w:ascii="Calibri"/>
                <w:sz w:val="36"/>
              </w:rPr>
            </w:pPr>
            <w:r>
              <w:rPr>
                <w:rFonts w:ascii="Calibri"/>
                <w:sz w:val="36"/>
              </w:rPr>
              <w:t>18</w:t>
            </w:r>
          </w:p>
        </w:tc>
      </w:tr>
      <w:tr>
        <w:tblPrEx>
          <w:tblW w:w="0" w:type="auto"/>
          <w:jc w:val="left"/>
          <w:tblInd w:w="1739" w:type="dxa"/>
          <w:tblLayout w:type="fixed"/>
          <w:tblCellMar>
            <w:top w:w="0" w:type="dxa"/>
            <w:left w:w="0" w:type="dxa"/>
            <w:bottom w:w="0" w:type="dxa"/>
            <w:right w:w="0" w:type="dxa"/>
          </w:tblCellMar>
          <w:tblLook w:val="01E0"/>
        </w:tblPrEx>
        <w:trPr>
          <w:trHeight w:val="628"/>
          <w:jc w:val="left"/>
        </w:trPr>
        <w:tc>
          <w:tcPr>
            <w:tcW w:w="855" w:type="dxa"/>
          </w:tcPr>
          <w:p>
            <w:pPr>
              <w:pStyle w:val="TableParagraph"/>
              <w:spacing w:before="80"/>
              <w:rPr>
                <w:rFonts w:ascii="Calibri"/>
                <w:sz w:val="36"/>
              </w:rPr>
            </w:pPr>
            <w:r>
              <w:rPr>
                <w:rFonts w:ascii="Calibri"/>
                <w:sz w:val="36"/>
              </w:rPr>
              <w:t>12</w:t>
            </w:r>
          </w:p>
        </w:tc>
        <w:tc>
          <w:tcPr>
            <w:tcW w:w="2979" w:type="dxa"/>
          </w:tcPr>
          <w:p>
            <w:pPr>
              <w:pStyle w:val="TableParagraph"/>
              <w:ind w:left="63"/>
              <w:jc w:val="center"/>
              <w:rPr>
                <w:sz w:val="36"/>
              </w:rPr>
            </w:pPr>
            <w:r>
              <w:rPr>
                <w:sz w:val="36"/>
              </w:rPr>
              <w:t>征用土地</w:t>
            </w:r>
          </w:p>
        </w:tc>
        <w:tc>
          <w:tcPr>
            <w:tcW w:w="1739" w:type="dxa"/>
          </w:tcPr>
          <w:p>
            <w:pPr>
              <w:pStyle w:val="TableParagraph"/>
              <w:ind w:left="799"/>
              <w:rPr>
                <w:sz w:val="36"/>
              </w:rPr>
            </w:pPr>
            <w:r>
              <w:rPr>
                <w:sz w:val="36"/>
              </w:rPr>
              <w:t>亩</w:t>
            </w:r>
          </w:p>
        </w:tc>
        <w:tc>
          <w:tcPr>
            <w:tcW w:w="1211" w:type="dxa"/>
          </w:tcPr>
          <w:p>
            <w:pPr>
              <w:pStyle w:val="TableParagraph"/>
              <w:spacing w:before="76"/>
              <w:ind w:left="162"/>
              <w:rPr>
                <w:rFonts w:ascii="Calibri"/>
                <w:sz w:val="36"/>
              </w:rPr>
            </w:pPr>
            <w:r>
              <w:rPr>
                <w:rFonts w:ascii="Calibri"/>
                <w:sz w:val="36"/>
              </w:rPr>
              <w:t>4737</w:t>
            </w:r>
          </w:p>
        </w:tc>
      </w:tr>
      <w:tr>
        <w:tblPrEx>
          <w:tblW w:w="0" w:type="auto"/>
          <w:jc w:val="left"/>
          <w:tblInd w:w="1739" w:type="dxa"/>
          <w:tblLayout w:type="fixed"/>
          <w:tblCellMar>
            <w:top w:w="0" w:type="dxa"/>
            <w:left w:w="0" w:type="dxa"/>
            <w:bottom w:w="0" w:type="dxa"/>
            <w:right w:w="0" w:type="dxa"/>
          </w:tblCellMar>
          <w:tblLook w:val="01E0"/>
        </w:tblPrEx>
        <w:trPr>
          <w:trHeight w:val="628"/>
          <w:jc w:val="left"/>
        </w:trPr>
        <w:tc>
          <w:tcPr>
            <w:tcW w:w="855" w:type="dxa"/>
          </w:tcPr>
          <w:p>
            <w:pPr>
              <w:pStyle w:val="TableParagraph"/>
              <w:spacing w:before="78"/>
              <w:rPr>
                <w:rFonts w:ascii="Calibri"/>
                <w:sz w:val="36"/>
              </w:rPr>
            </w:pPr>
            <w:r>
              <w:rPr>
                <w:rFonts w:ascii="Calibri"/>
                <w:sz w:val="36"/>
              </w:rPr>
              <w:t>13</w:t>
            </w:r>
          </w:p>
        </w:tc>
        <w:tc>
          <w:tcPr>
            <w:tcW w:w="2979" w:type="dxa"/>
          </w:tcPr>
          <w:p>
            <w:pPr>
              <w:pStyle w:val="TableParagraph"/>
              <w:spacing w:before="64"/>
              <w:ind w:left="63"/>
              <w:jc w:val="center"/>
              <w:rPr>
                <w:sz w:val="36"/>
              </w:rPr>
            </w:pPr>
            <w:r>
              <w:rPr>
                <w:sz w:val="36"/>
              </w:rPr>
              <w:t>拆迁建筑物</w:t>
            </w:r>
          </w:p>
        </w:tc>
        <w:tc>
          <w:tcPr>
            <w:tcW w:w="1739" w:type="dxa"/>
          </w:tcPr>
          <w:p>
            <w:pPr>
              <w:pStyle w:val="TableParagraph"/>
              <w:spacing w:before="64"/>
              <w:ind w:left="0" w:right="217"/>
              <w:jc w:val="right"/>
              <w:rPr>
                <w:sz w:val="36"/>
              </w:rPr>
            </w:pPr>
            <w:r>
              <w:rPr>
                <w:sz w:val="36"/>
              </w:rPr>
              <w:t>平方米</w:t>
            </w:r>
          </w:p>
        </w:tc>
        <w:tc>
          <w:tcPr>
            <w:tcW w:w="1211" w:type="dxa"/>
          </w:tcPr>
          <w:p>
            <w:pPr>
              <w:pStyle w:val="TableParagraph"/>
              <w:spacing w:before="0"/>
              <w:ind w:left="0"/>
              <w:rPr>
                <w:rFonts w:ascii="Times New Roman"/>
                <w:sz w:val="40"/>
              </w:rPr>
            </w:pPr>
          </w:p>
        </w:tc>
      </w:tr>
      <w:tr>
        <w:tblPrEx>
          <w:tblW w:w="0" w:type="auto"/>
          <w:jc w:val="left"/>
          <w:tblInd w:w="1739" w:type="dxa"/>
          <w:tblLayout w:type="fixed"/>
          <w:tblCellMar>
            <w:top w:w="0" w:type="dxa"/>
            <w:left w:w="0" w:type="dxa"/>
            <w:bottom w:w="0" w:type="dxa"/>
            <w:right w:w="0" w:type="dxa"/>
          </w:tblCellMar>
          <w:tblLook w:val="01E0"/>
        </w:tblPrEx>
        <w:trPr>
          <w:trHeight w:val="512"/>
          <w:jc w:val="left"/>
        </w:trPr>
        <w:tc>
          <w:tcPr>
            <w:tcW w:w="855" w:type="dxa"/>
          </w:tcPr>
          <w:p>
            <w:pPr>
              <w:pStyle w:val="TableParagraph"/>
              <w:spacing w:before="80" w:line="413" w:lineRule="exact"/>
              <w:rPr>
                <w:rFonts w:ascii="Calibri"/>
                <w:sz w:val="36"/>
              </w:rPr>
            </w:pPr>
            <w:r>
              <w:rPr>
                <w:rFonts w:ascii="Calibri"/>
                <w:sz w:val="36"/>
              </w:rPr>
              <w:t>14</w:t>
            </w:r>
          </w:p>
        </w:tc>
        <w:tc>
          <w:tcPr>
            <w:tcW w:w="2979" w:type="dxa"/>
          </w:tcPr>
          <w:p>
            <w:pPr>
              <w:pStyle w:val="TableParagraph"/>
              <w:spacing w:line="426" w:lineRule="exact"/>
              <w:ind w:left="62"/>
              <w:jc w:val="center"/>
              <w:rPr>
                <w:sz w:val="36"/>
              </w:rPr>
            </w:pPr>
            <w:r>
              <w:rPr>
                <w:sz w:val="36"/>
              </w:rPr>
              <w:t>电力、电讯线</w:t>
            </w:r>
          </w:p>
        </w:tc>
        <w:tc>
          <w:tcPr>
            <w:tcW w:w="1739" w:type="dxa"/>
          </w:tcPr>
          <w:p>
            <w:pPr>
              <w:pStyle w:val="TableParagraph"/>
              <w:spacing w:line="426" w:lineRule="exact"/>
              <w:ind w:left="799"/>
              <w:rPr>
                <w:sz w:val="36"/>
              </w:rPr>
            </w:pPr>
            <w:r>
              <w:rPr>
                <w:sz w:val="36"/>
              </w:rPr>
              <w:t>处</w:t>
            </w:r>
          </w:p>
        </w:tc>
        <w:tc>
          <w:tcPr>
            <w:tcW w:w="1211" w:type="dxa"/>
          </w:tcPr>
          <w:p>
            <w:pPr>
              <w:pStyle w:val="TableParagraph"/>
              <w:spacing w:before="76" w:line="416" w:lineRule="exact"/>
              <w:ind w:left="162"/>
              <w:rPr>
                <w:rFonts w:ascii="Calibri"/>
                <w:sz w:val="36"/>
              </w:rPr>
            </w:pPr>
            <w:r>
              <w:rPr>
                <w:rFonts w:ascii="Calibri"/>
                <w:sz w:val="36"/>
              </w:rPr>
              <w:t>68</w:t>
            </w:r>
          </w:p>
        </w:tc>
      </w:tr>
    </w:tbl>
    <w:p>
      <w:pPr>
        <w:pStyle w:val="BodyText"/>
        <w:spacing w:before="4"/>
        <w:ind w:left="0"/>
        <w:rPr>
          <w:sz w:val="16"/>
        </w:rPr>
      </w:pPr>
    </w:p>
    <w:p>
      <w:pPr>
        <w:pStyle w:val="ListParagraph"/>
        <w:numPr>
          <w:ilvl w:val="0"/>
          <w:numId w:val="7"/>
        </w:numPr>
        <w:tabs>
          <w:tab w:val="left" w:pos="1193"/>
        </w:tabs>
        <w:spacing w:before="42" w:after="0" w:line="240" w:lineRule="auto"/>
        <w:ind w:left="1192" w:right="0" w:hanging="1056"/>
        <w:jc w:val="left"/>
        <w:rPr>
          <w:sz w:val="42"/>
        </w:rPr>
      </w:pPr>
      <w:r>
        <w:drawing>
          <wp:anchor distT="0" distB="0" distL="0" distR="0" simplePos="0" relativeHeight="251660288" behindDoc="1" locked="0" layoutInCell="1" allowOverlap="1">
            <wp:simplePos x="0" y="0"/>
            <wp:positionH relativeFrom="page">
              <wp:posOffset>2479675</wp:posOffset>
            </wp:positionH>
            <wp:positionV relativeFrom="paragraph">
              <wp:posOffset>-5667121</wp:posOffset>
            </wp:positionV>
            <wp:extent cx="6384819" cy="5599366"/>
            <wp:effectExtent l="0" t="0" r="0" b="0"/>
            <wp:wrapNone/>
            <wp:docPr id="3"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3.png"/>
                    <pic:cNvPicPr/>
                  </pic:nvPicPr>
                  <pic:blipFill>
                    <a:blip xmlns:r="http://schemas.openxmlformats.org/officeDocument/2006/relationships" r:embed="rId6" cstate="print"/>
                    <a:stretch>
                      <a:fillRect/>
                    </a:stretch>
                  </pic:blipFill>
                  <pic:spPr>
                    <a:xfrm>
                      <a:off x="0" y="0"/>
                      <a:ext cx="6384819" cy="5599366"/>
                    </a:xfrm>
                    <a:prstGeom prst="rect">
                      <a:avLst/>
                    </a:prstGeom>
                  </pic:spPr>
                </pic:pic>
              </a:graphicData>
            </a:graphic>
          </wp:anchor>
        </w:drawing>
      </w:r>
      <w:r>
        <w:rPr>
          <w:sz w:val="42"/>
        </w:rPr>
        <w:t>资源供应</w:t>
      </w:r>
    </w:p>
    <w:p>
      <w:pPr>
        <w:pStyle w:val="BodyText"/>
        <w:spacing w:before="398" w:line="417" w:lineRule="auto"/>
        <w:ind w:right="609" w:firstLine="838"/>
      </w:pPr>
      <w:r>
        <w:t>沿线水源丰富，还可利用沿线城镇用水、河槽内常流水或取自井水。</w:t>
      </w:r>
    </w:p>
    <w:p>
      <w:pPr>
        <w:pStyle w:val="BodyText"/>
        <w:spacing w:line="417" w:lineRule="auto"/>
        <w:ind w:right="609" w:firstLine="838"/>
      </w:pPr>
      <w:r>
        <w:t>沿线电力供应可满足工程用电需求，该项目实施时，可与当地电力供应部门联系供电。</w:t>
      </w:r>
    </w:p>
    <w:p>
      <w:pPr>
        <w:pStyle w:val="ListParagraph"/>
        <w:numPr>
          <w:ilvl w:val="0"/>
          <w:numId w:val="7"/>
        </w:numPr>
        <w:tabs>
          <w:tab w:val="left" w:pos="1193"/>
        </w:tabs>
        <w:spacing w:before="0" w:after="0" w:line="537" w:lineRule="exact"/>
        <w:ind w:left="1192" w:right="0" w:hanging="1056"/>
        <w:jc w:val="left"/>
        <w:rPr>
          <w:sz w:val="42"/>
        </w:rPr>
      </w:pPr>
      <w:r>
        <w:rPr>
          <w:sz w:val="42"/>
        </w:rPr>
        <w:t>投资规模</w:t>
      </w:r>
    </w:p>
    <w:p>
      <w:pPr>
        <w:pStyle w:val="BodyText"/>
        <w:spacing w:before="203"/>
        <w:ind w:left="975"/>
      </w:pPr>
      <w:r>
        <w:t>本工程项目估算投资总额为万元，平均每公里造价万元。</w:t>
      </w:r>
    </w:p>
    <w:p>
      <w:pPr>
        <w:pStyle w:val="BodyText"/>
        <w:spacing w:before="12"/>
        <w:ind w:left="0"/>
        <w:rPr>
          <w:sz w:val="36"/>
        </w:rPr>
      </w:pPr>
    </w:p>
    <w:p>
      <w:pPr>
        <w:pStyle w:val="ListParagraph"/>
        <w:numPr>
          <w:ilvl w:val="0"/>
          <w:numId w:val="7"/>
        </w:numPr>
        <w:tabs>
          <w:tab w:val="left" w:pos="1193"/>
        </w:tabs>
        <w:spacing w:before="0" w:after="0" w:line="240" w:lineRule="auto"/>
        <w:ind w:left="1192" w:right="0" w:hanging="1056"/>
        <w:jc w:val="left"/>
        <w:rPr>
          <w:sz w:val="42"/>
        </w:rPr>
      </w:pPr>
      <w:r>
        <w:rPr>
          <w:sz w:val="42"/>
        </w:rPr>
        <w:t>环境影响情况</w:t>
      </w:r>
    </w:p>
    <w:p>
      <w:pPr>
        <w:pStyle w:val="BodyText"/>
        <w:spacing w:before="399" w:line="417" w:lineRule="auto"/>
        <w:ind w:right="292" w:firstLine="838"/>
      </w:pPr>
      <w:r>
        <w:t>公路工程的建设和营运对环境的影响是多方面的，其中主要包括占用土地，动用土、石方，破坏植被，产生水土流失等破坏生态环境，工程建设的环境问题分设计期、施工期和营运期对环境的污</w:t>
      </w:r>
      <w:r>
        <w:rPr>
          <w:spacing w:val="-12"/>
        </w:rPr>
        <w:t xml:space="preserve">染及不利影响，其主要是施工期和营运期对环境的污染及不利影响， </w:t>
      </w:r>
      <w:r>
        <w:t>表现为建设工程对土地的占用，工程的开挖对水体、植被的破坏等</w:t>
      </w:r>
    </w:p>
    <w:p>
      <w:pPr>
        <w:spacing w:after="0" w:line="417" w:lineRule="auto"/>
      </w:pPr>
      <w:r>
        <w:br/>
      </w:r>
      <w: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7" w:history="1">
        <w:r>
          <w:rPr>
            <w:rFonts w:ascii="SimSun" w:eastAsia="SimSun" w:hAnsi="SimSun" w:cs="SimSun"/>
            <w:b/>
            <w:bCs/>
            <w:color w:val="0000EE"/>
            <w:sz w:val="30"/>
            <w:szCs w:val="30"/>
            <w:u w:val="single" w:color="0000EE"/>
          </w:rPr>
          <w:t>https://d.book118.com/146212122120010053</w:t>
        </w:r>
      </w:hyperlink>
    </w:p>
    <w:p>
      <w:pPr>
        <w:spacing w:after="0" w:line="417" w:lineRule="auto"/>
      </w:pPr>
    </w:p>
    <w:sectPr>
      <w:pgSz w:w="17860" w:h="25260"/>
      <w:pgMar w:top="1820" w:right="2340" w:bottom="280" w:left="2560" w:header="708" w:footer="708"/>
      <w:pgNumType w:start="12"/>
      <w:cols w:space="708"/>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0"/>
    <w:family w:val="roman"/>
    <w:pitch w:val="variable"/>
    <w:sig w:usb0="00000000" w:usb1="00000000" w:usb2="00000000" w:usb3="00000000" w:csb0="00000001" w:csb1="00000000"/>
  </w:font>
  <w:font w:name="幼圆">
    <w:altName w:val="幼圆"/>
    <w:charset w:val="86"/>
    <w:family w:val="modern"/>
    <w:pitch w:val="fixed"/>
    <w:sig w:usb0="00000000" w:usb1="00000000" w:usb2="00000000" w:usb3="00000000" w:csb0="00040000" w:csb1="00000000"/>
  </w:font>
  <w:font w:name="宋体">
    <w:altName w:val="宋体"/>
    <w:charset w:val="86"/>
    <w:family w:val="auto"/>
    <w:pitch w:val="variable"/>
    <w:sig w:usb0="00000000" w:usb1="00000000" w:usb2="00000000" w:usb3="00000000" w:csb0="00040000" w:csb1="00000000"/>
  </w:font>
  <w:font w:name="Calibri">
    <w:altName w:val="Calibri"/>
    <w:charset w:val="00"/>
    <w:family w:val="swiss"/>
    <w:pitch w:val="variable"/>
    <w:sig w:usb0="00000000" w:usb1="00000000" w:usb2="00000000" w:usb3="00000000" w:csb0="00000001" w:csb1="00000000"/>
  </w:font>
  <w:font w:name="黑体">
    <w:altName w:val="黑体"/>
    <w:charset w:val="86"/>
    <w:family w:val="modern"/>
    <w:pitch w:val="fixed"/>
    <w:sig w:usb0="00000000" w:usb1="00000000" w:usb2="00000000" w:usb3="00000000" w:csb0="00040000"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EBE9184"/>
    <w:multiLevelType w:val="hybridMultilevel"/>
    <w:tmpl w:val="00000000"/>
    <w:lvl w:ilvl="0">
      <w:start w:val="1"/>
      <w:numFmt w:val="decimal"/>
      <w:lvlText w:val="（%1）"/>
      <w:lvlJc w:val="left"/>
      <w:pPr>
        <w:ind w:left="137" w:hanging="1056"/>
        <w:jc w:val="left"/>
      </w:pPr>
      <w:rPr>
        <w:rFonts w:ascii="宋体" w:eastAsia="宋体" w:hAnsi="宋体" w:cs="宋体" w:hint="default"/>
        <w:spacing w:val="-54"/>
        <w:w w:val="100"/>
        <w:sz w:val="40"/>
        <w:szCs w:val="40"/>
      </w:rPr>
    </w:lvl>
    <w:lvl w:ilvl="1">
      <w:start w:val="0"/>
      <w:numFmt w:val="bullet"/>
      <w:lvlText w:val="•"/>
      <w:lvlJc w:val="left"/>
      <w:pPr>
        <w:ind w:left="1421" w:hanging="1056"/>
      </w:pPr>
      <w:rPr>
        <w:rFonts w:hint="default"/>
      </w:rPr>
    </w:lvl>
    <w:lvl w:ilvl="2">
      <w:start w:val="0"/>
      <w:numFmt w:val="bullet"/>
      <w:lvlText w:val="•"/>
      <w:lvlJc w:val="left"/>
      <w:pPr>
        <w:ind w:left="2703" w:hanging="1056"/>
      </w:pPr>
      <w:rPr>
        <w:rFonts w:hint="default"/>
      </w:rPr>
    </w:lvl>
    <w:lvl w:ilvl="3">
      <w:start w:val="0"/>
      <w:numFmt w:val="bullet"/>
      <w:lvlText w:val="•"/>
      <w:lvlJc w:val="left"/>
      <w:pPr>
        <w:ind w:left="3985" w:hanging="1056"/>
      </w:pPr>
      <w:rPr>
        <w:rFonts w:hint="default"/>
      </w:rPr>
    </w:lvl>
    <w:lvl w:ilvl="4">
      <w:start w:val="0"/>
      <w:numFmt w:val="bullet"/>
      <w:lvlText w:val="•"/>
      <w:lvlJc w:val="left"/>
      <w:pPr>
        <w:ind w:left="5267" w:hanging="1056"/>
      </w:pPr>
      <w:rPr>
        <w:rFonts w:hint="default"/>
      </w:rPr>
    </w:lvl>
    <w:lvl w:ilvl="5">
      <w:start w:val="0"/>
      <w:numFmt w:val="bullet"/>
      <w:lvlText w:val="•"/>
      <w:lvlJc w:val="left"/>
      <w:pPr>
        <w:ind w:left="6549" w:hanging="1056"/>
      </w:pPr>
      <w:rPr>
        <w:rFonts w:hint="default"/>
      </w:rPr>
    </w:lvl>
    <w:lvl w:ilvl="6">
      <w:start w:val="0"/>
      <w:numFmt w:val="bullet"/>
      <w:lvlText w:val="•"/>
      <w:lvlJc w:val="left"/>
      <w:pPr>
        <w:ind w:left="7831" w:hanging="1056"/>
      </w:pPr>
      <w:rPr>
        <w:rFonts w:hint="default"/>
      </w:rPr>
    </w:lvl>
    <w:lvl w:ilvl="7">
      <w:start w:val="0"/>
      <w:numFmt w:val="bullet"/>
      <w:lvlText w:val="•"/>
      <w:lvlJc w:val="left"/>
      <w:pPr>
        <w:ind w:left="9113" w:hanging="1056"/>
      </w:pPr>
      <w:rPr>
        <w:rFonts w:hint="default"/>
      </w:rPr>
    </w:lvl>
    <w:lvl w:ilvl="8">
      <w:start w:val="0"/>
      <w:numFmt w:val="bullet"/>
      <w:lvlText w:val="•"/>
      <w:lvlJc w:val="left"/>
      <w:pPr>
        <w:ind w:left="10395" w:hanging="1056"/>
      </w:pPr>
      <w:rPr>
        <w:rFonts w:hint="default"/>
      </w:rPr>
    </w:lvl>
  </w:abstractNum>
  <w:abstractNum w:abstractNumId="1">
    <w:nsid w:val="383998F8"/>
    <w:multiLevelType w:val="hybridMultilevel"/>
    <w:tmpl w:val="00000000"/>
    <w:lvl w:ilvl="0">
      <w:start w:val="1"/>
      <w:numFmt w:val="decimal"/>
      <w:lvlText w:val="（%1）"/>
      <w:lvlJc w:val="left"/>
      <w:pPr>
        <w:ind w:left="1192" w:hanging="1056"/>
        <w:jc w:val="left"/>
      </w:pPr>
      <w:rPr>
        <w:rFonts w:ascii="宋体" w:eastAsia="宋体" w:hAnsi="宋体" w:cs="宋体" w:hint="default"/>
        <w:spacing w:val="-2"/>
        <w:w w:val="100"/>
        <w:sz w:val="40"/>
        <w:szCs w:val="40"/>
      </w:rPr>
    </w:lvl>
    <w:lvl w:ilvl="1">
      <w:start w:val="0"/>
      <w:numFmt w:val="bullet"/>
      <w:lvlText w:val="•"/>
      <w:lvlJc w:val="left"/>
      <w:pPr>
        <w:ind w:left="2375" w:hanging="1056"/>
      </w:pPr>
      <w:rPr>
        <w:rFonts w:hint="default"/>
      </w:rPr>
    </w:lvl>
    <w:lvl w:ilvl="2">
      <w:start w:val="0"/>
      <w:numFmt w:val="bullet"/>
      <w:lvlText w:val="•"/>
      <w:lvlJc w:val="left"/>
      <w:pPr>
        <w:ind w:left="3551" w:hanging="1056"/>
      </w:pPr>
      <w:rPr>
        <w:rFonts w:hint="default"/>
      </w:rPr>
    </w:lvl>
    <w:lvl w:ilvl="3">
      <w:start w:val="0"/>
      <w:numFmt w:val="bullet"/>
      <w:lvlText w:val="•"/>
      <w:lvlJc w:val="left"/>
      <w:pPr>
        <w:ind w:left="4727" w:hanging="1056"/>
      </w:pPr>
      <w:rPr>
        <w:rFonts w:hint="default"/>
      </w:rPr>
    </w:lvl>
    <w:lvl w:ilvl="4">
      <w:start w:val="0"/>
      <w:numFmt w:val="bullet"/>
      <w:lvlText w:val="•"/>
      <w:lvlJc w:val="left"/>
      <w:pPr>
        <w:ind w:left="5903" w:hanging="1056"/>
      </w:pPr>
      <w:rPr>
        <w:rFonts w:hint="default"/>
      </w:rPr>
    </w:lvl>
    <w:lvl w:ilvl="5">
      <w:start w:val="0"/>
      <w:numFmt w:val="bullet"/>
      <w:lvlText w:val="•"/>
      <w:lvlJc w:val="left"/>
      <w:pPr>
        <w:ind w:left="7079" w:hanging="1056"/>
      </w:pPr>
      <w:rPr>
        <w:rFonts w:hint="default"/>
      </w:rPr>
    </w:lvl>
    <w:lvl w:ilvl="6">
      <w:start w:val="0"/>
      <w:numFmt w:val="bullet"/>
      <w:lvlText w:val="•"/>
      <w:lvlJc w:val="left"/>
      <w:pPr>
        <w:ind w:left="8255" w:hanging="1056"/>
      </w:pPr>
      <w:rPr>
        <w:rFonts w:hint="default"/>
      </w:rPr>
    </w:lvl>
    <w:lvl w:ilvl="7">
      <w:start w:val="0"/>
      <w:numFmt w:val="bullet"/>
      <w:lvlText w:val="•"/>
      <w:lvlJc w:val="left"/>
      <w:pPr>
        <w:ind w:left="9431" w:hanging="1056"/>
      </w:pPr>
      <w:rPr>
        <w:rFonts w:hint="default"/>
      </w:rPr>
    </w:lvl>
    <w:lvl w:ilvl="8">
      <w:start w:val="0"/>
      <w:numFmt w:val="bullet"/>
      <w:lvlText w:val="•"/>
      <w:lvlJc w:val="left"/>
      <w:pPr>
        <w:ind w:left="10607" w:hanging="1056"/>
      </w:pPr>
      <w:rPr>
        <w:rFonts w:hint="default"/>
      </w:rPr>
    </w:lvl>
  </w:abstractNum>
  <w:abstractNum w:abstractNumId="2">
    <w:nsid w:val="3C7FA193"/>
    <w:multiLevelType w:val="hybridMultilevel"/>
    <w:tmpl w:val="00000000"/>
    <w:lvl w:ilvl="0">
      <w:start w:val="1"/>
      <w:numFmt w:val="decimal"/>
      <w:lvlText w:val="（%1）"/>
      <w:lvlJc w:val="left"/>
      <w:pPr>
        <w:ind w:left="1192" w:hanging="1056"/>
        <w:jc w:val="left"/>
      </w:pPr>
      <w:rPr>
        <w:rFonts w:ascii="宋体" w:eastAsia="宋体" w:hAnsi="宋体" w:cs="宋体" w:hint="default"/>
        <w:spacing w:val="-2"/>
        <w:w w:val="100"/>
        <w:sz w:val="40"/>
        <w:szCs w:val="40"/>
      </w:rPr>
    </w:lvl>
    <w:lvl w:ilvl="1">
      <w:start w:val="0"/>
      <w:numFmt w:val="bullet"/>
      <w:lvlText w:val="•"/>
      <w:lvlJc w:val="left"/>
      <w:pPr>
        <w:ind w:left="2375" w:hanging="1056"/>
      </w:pPr>
      <w:rPr>
        <w:rFonts w:hint="default"/>
      </w:rPr>
    </w:lvl>
    <w:lvl w:ilvl="2">
      <w:start w:val="0"/>
      <w:numFmt w:val="bullet"/>
      <w:lvlText w:val="•"/>
      <w:lvlJc w:val="left"/>
      <w:pPr>
        <w:ind w:left="3551" w:hanging="1056"/>
      </w:pPr>
      <w:rPr>
        <w:rFonts w:hint="default"/>
      </w:rPr>
    </w:lvl>
    <w:lvl w:ilvl="3">
      <w:start w:val="0"/>
      <w:numFmt w:val="bullet"/>
      <w:lvlText w:val="•"/>
      <w:lvlJc w:val="left"/>
      <w:pPr>
        <w:ind w:left="4727" w:hanging="1056"/>
      </w:pPr>
      <w:rPr>
        <w:rFonts w:hint="default"/>
      </w:rPr>
    </w:lvl>
    <w:lvl w:ilvl="4">
      <w:start w:val="0"/>
      <w:numFmt w:val="bullet"/>
      <w:lvlText w:val="•"/>
      <w:lvlJc w:val="left"/>
      <w:pPr>
        <w:ind w:left="5903" w:hanging="1056"/>
      </w:pPr>
      <w:rPr>
        <w:rFonts w:hint="default"/>
      </w:rPr>
    </w:lvl>
    <w:lvl w:ilvl="5">
      <w:start w:val="0"/>
      <w:numFmt w:val="bullet"/>
      <w:lvlText w:val="•"/>
      <w:lvlJc w:val="left"/>
      <w:pPr>
        <w:ind w:left="7079" w:hanging="1056"/>
      </w:pPr>
      <w:rPr>
        <w:rFonts w:hint="default"/>
      </w:rPr>
    </w:lvl>
    <w:lvl w:ilvl="6">
      <w:start w:val="0"/>
      <w:numFmt w:val="bullet"/>
      <w:lvlText w:val="•"/>
      <w:lvlJc w:val="left"/>
      <w:pPr>
        <w:ind w:left="8255" w:hanging="1056"/>
      </w:pPr>
      <w:rPr>
        <w:rFonts w:hint="default"/>
      </w:rPr>
    </w:lvl>
    <w:lvl w:ilvl="7">
      <w:start w:val="0"/>
      <w:numFmt w:val="bullet"/>
      <w:lvlText w:val="•"/>
      <w:lvlJc w:val="left"/>
      <w:pPr>
        <w:ind w:left="9431" w:hanging="1056"/>
      </w:pPr>
      <w:rPr>
        <w:rFonts w:hint="default"/>
      </w:rPr>
    </w:lvl>
    <w:lvl w:ilvl="8">
      <w:start w:val="0"/>
      <w:numFmt w:val="bullet"/>
      <w:lvlText w:val="•"/>
      <w:lvlJc w:val="left"/>
      <w:pPr>
        <w:ind w:left="10607" w:hanging="1056"/>
      </w:pPr>
      <w:rPr>
        <w:rFonts w:hint="default"/>
      </w:rPr>
    </w:lvl>
  </w:abstractNum>
  <w:abstractNum w:abstractNumId="3">
    <w:nsid w:val="5B0DE69A"/>
    <w:multiLevelType w:val="hybridMultilevel"/>
    <w:tmpl w:val="00000000"/>
    <w:lvl w:ilvl="0">
      <w:start w:val="1"/>
      <w:numFmt w:val="decimal"/>
      <w:lvlText w:val="（%1）"/>
      <w:lvlJc w:val="left"/>
      <w:pPr>
        <w:ind w:left="1192" w:hanging="1056"/>
        <w:jc w:val="left"/>
      </w:pPr>
      <w:rPr>
        <w:rFonts w:ascii="宋体" w:eastAsia="宋体" w:hAnsi="宋体" w:cs="宋体" w:hint="default"/>
        <w:spacing w:val="-2"/>
        <w:w w:val="100"/>
        <w:sz w:val="40"/>
        <w:szCs w:val="40"/>
      </w:rPr>
    </w:lvl>
    <w:lvl w:ilvl="1">
      <w:start w:val="0"/>
      <w:numFmt w:val="bullet"/>
      <w:lvlText w:val="•"/>
      <w:lvlJc w:val="left"/>
      <w:pPr>
        <w:ind w:left="2375" w:hanging="1056"/>
      </w:pPr>
      <w:rPr>
        <w:rFonts w:hint="default"/>
      </w:rPr>
    </w:lvl>
    <w:lvl w:ilvl="2">
      <w:start w:val="0"/>
      <w:numFmt w:val="bullet"/>
      <w:lvlText w:val="•"/>
      <w:lvlJc w:val="left"/>
      <w:pPr>
        <w:ind w:left="3551" w:hanging="1056"/>
      </w:pPr>
      <w:rPr>
        <w:rFonts w:hint="default"/>
      </w:rPr>
    </w:lvl>
    <w:lvl w:ilvl="3">
      <w:start w:val="0"/>
      <w:numFmt w:val="bullet"/>
      <w:lvlText w:val="•"/>
      <w:lvlJc w:val="left"/>
      <w:pPr>
        <w:ind w:left="4727" w:hanging="1056"/>
      </w:pPr>
      <w:rPr>
        <w:rFonts w:hint="default"/>
      </w:rPr>
    </w:lvl>
    <w:lvl w:ilvl="4">
      <w:start w:val="0"/>
      <w:numFmt w:val="bullet"/>
      <w:lvlText w:val="•"/>
      <w:lvlJc w:val="left"/>
      <w:pPr>
        <w:ind w:left="5903" w:hanging="1056"/>
      </w:pPr>
      <w:rPr>
        <w:rFonts w:hint="default"/>
      </w:rPr>
    </w:lvl>
    <w:lvl w:ilvl="5">
      <w:start w:val="0"/>
      <w:numFmt w:val="bullet"/>
      <w:lvlText w:val="•"/>
      <w:lvlJc w:val="left"/>
      <w:pPr>
        <w:ind w:left="7079" w:hanging="1056"/>
      </w:pPr>
      <w:rPr>
        <w:rFonts w:hint="default"/>
      </w:rPr>
    </w:lvl>
    <w:lvl w:ilvl="6">
      <w:start w:val="0"/>
      <w:numFmt w:val="bullet"/>
      <w:lvlText w:val="•"/>
      <w:lvlJc w:val="left"/>
      <w:pPr>
        <w:ind w:left="8255" w:hanging="1056"/>
      </w:pPr>
      <w:rPr>
        <w:rFonts w:hint="default"/>
      </w:rPr>
    </w:lvl>
    <w:lvl w:ilvl="7">
      <w:start w:val="0"/>
      <w:numFmt w:val="bullet"/>
      <w:lvlText w:val="•"/>
      <w:lvlJc w:val="left"/>
      <w:pPr>
        <w:ind w:left="9431" w:hanging="1056"/>
      </w:pPr>
      <w:rPr>
        <w:rFonts w:hint="default"/>
      </w:rPr>
    </w:lvl>
    <w:lvl w:ilvl="8">
      <w:start w:val="0"/>
      <w:numFmt w:val="bullet"/>
      <w:lvlText w:val="•"/>
      <w:lvlJc w:val="left"/>
      <w:pPr>
        <w:ind w:left="10607" w:hanging="1056"/>
      </w:pPr>
      <w:rPr>
        <w:rFonts w:hint="default"/>
      </w:rPr>
    </w:lvl>
  </w:abstractNum>
  <w:abstractNum w:abstractNumId="4">
    <w:nsid w:val="62981B99"/>
    <w:multiLevelType w:val="hybridMultilevel"/>
    <w:tmpl w:val="00000000"/>
    <w:lvl w:ilvl="0">
      <w:start w:val="1"/>
      <w:numFmt w:val="decimal"/>
      <w:lvlText w:val="（%1）"/>
      <w:lvlJc w:val="left"/>
      <w:pPr>
        <w:ind w:left="1192" w:hanging="1056"/>
        <w:jc w:val="left"/>
      </w:pPr>
      <w:rPr>
        <w:rFonts w:ascii="宋体" w:eastAsia="宋体" w:hAnsi="宋体" w:cs="宋体" w:hint="default"/>
        <w:spacing w:val="-2"/>
        <w:w w:val="100"/>
        <w:sz w:val="40"/>
        <w:szCs w:val="40"/>
      </w:rPr>
    </w:lvl>
    <w:lvl w:ilvl="1">
      <w:start w:val="0"/>
      <w:numFmt w:val="bullet"/>
      <w:lvlText w:val="•"/>
      <w:lvlJc w:val="left"/>
      <w:pPr>
        <w:ind w:left="2375" w:hanging="1056"/>
      </w:pPr>
      <w:rPr>
        <w:rFonts w:hint="default"/>
      </w:rPr>
    </w:lvl>
    <w:lvl w:ilvl="2">
      <w:start w:val="0"/>
      <w:numFmt w:val="bullet"/>
      <w:lvlText w:val="•"/>
      <w:lvlJc w:val="left"/>
      <w:pPr>
        <w:ind w:left="3551" w:hanging="1056"/>
      </w:pPr>
      <w:rPr>
        <w:rFonts w:hint="default"/>
      </w:rPr>
    </w:lvl>
    <w:lvl w:ilvl="3">
      <w:start w:val="0"/>
      <w:numFmt w:val="bullet"/>
      <w:lvlText w:val="•"/>
      <w:lvlJc w:val="left"/>
      <w:pPr>
        <w:ind w:left="4727" w:hanging="1056"/>
      </w:pPr>
      <w:rPr>
        <w:rFonts w:hint="default"/>
      </w:rPr>
    </w:lvl>
    <w:lvl w:ilvl="4">
      <w:start w:val="0"/>
      <w:numFmt w:val="bullet"/>
      <w:lvlText w:val="•"/>
      <w:lvlJc w:val="left"/>
      <w:pPr>
        <w:ind w:left="5903" w:hanging="1056"/>
      </w:pPr>
      <w:rPr>
        <w:rFonts w:hint="default"/>
      </w:rPr>
    </w:lvl>
    <w:lvl w:ilvl="5">
      <w:start w:val="0"/>
      <w:numFmt w:val="bullet"/>
      <w:lvlText w:val="•"/>
      <w:lvlJc w:val="left"/>
      <w:pPr>
        <w:ind w:left="7079" w:hanging="1056"/>
      </w:pPr>
      <w:rPr>
        <w:rFonts w:hint="default"/>
      </w:rPr>
    </w:lvl>
    <w:lvl w:ilvl="6">
      <w:start w:val="0"/>
      <w:numFmt w:val="bullet"/>
      <w:lvlText w:val="•"/>
      <w:lvlJc w:val="left"/>
      <w:pPr>
        <w:ind w:left="8255" w:hanging="1056"/>
      </w:pPr>
      <w:rPr>
        <w:rFonts w:hint="default"/>
      </w:rPr>
    </w:lvl>
    <w:lvl w:ilvl="7">
      <w:start w:val="0"/>
      <w:numFmt w:val="bullet"/>
      <w:lvlText w:val="•"/>
      <w:lvlJc w:val="left"/>
      <w:pPr>
        <w:ind w:left="9431" w:hanging="1056"/>
      </w:pPr>
      <w:rPr>
        <w:rFonts w:hint="default"/>
      </w:rPr>
    </w:lvl>
    <w:lvl w:ilvl="8">
      <w:start w:val="0"/>
      <w:numFmt w:val="bullet"/>
      <w:lvlText w:val="•"/>
      <w:lvlJc w:val="left"/>
      <w:pPr>
        <w:ind w:left="10607" w:hanging="1056"/>
      </w:pPr>
      <w:rPr>
        <w:rFonts w:hint="default"/>
      </w:rPr>
    </w:lvl>
  </w:abstractNum>
  <w:abstractNum w:abstractNumId="5">
    <w:nsid w:val="674084D8"/>
    <w:multiLevelType w:val="hybridMultilevel"/>
    <w:tmpl w:val="00000000"/>
    <w:lvl w:ilvl="0">
      <w:start w:val="1"/>
      <w:numFmt w:val="decimal"/>
      <w:lvlText w:val="（%1）"/>
      <w:lvlJc w:val="left"/>
      <w:pPr>
        <w:ind w:left="1192" w:hanging="1056"/>
        <w:jc w:val="left"/>
      </w:pPr>
      <w:rPr>
        <w:rFonts w:ascii="宋体" w:eastAsia="宋体" w:hAnsi="宋体" w:cs="宋体" w:hint="default"/>
        <w:spacing w:val="-209"/>
        <w:w w:val="100"/>
        <w:sz w:val="40"/>
        <w:szCs w:val="40"/>
      </w:rPr>
    </w:lvl>
    <w:lvl w:ilvl="1">
      <w:start w:val="0"/>
      <w:numFmt w:val="bullet"/>
      <w:lvlText w:val="•"/>
      <w:lvlJc w:val="left"/>
      <w:pPr>
        <w:ind w:left="2375" w:hanging="1056"/>
      </w:pPr>
      <w:rPr>
        <w:rFonts w:hint="default"/>
      </w:rPr>
    </w:lvl>
    <w:lvl w:ilvl="2">
      <w:start w:val="0"/>
      <w:numFmt w:val="bullet"/>
      <w:lvlText w:val="•"/>
      <w:lvlJc w:val="left"/>
      <w:pPr>
        <w:ind w:left="3551" w:hanging="1056"/>
      </w:pPr>
      <w:rPr>
        <w:rFonts w:hint="default"/>
      </w:rPr>
    </w:lvl>
    <w:lvl w:ilvl="3">
      <w:start w:val="0"/>
      <w:numFmt w:val="bullet"/>
      <w:lvlText w:val="•"/>
      <w:lvlJc w:val="left"/>
      <w:pPr>
        <w:ind w:left="4727" w:hanging="1056"/>
      </w:pPr>
      <w:rPr>
        <w:rFonts w:hint="default"/>
      </w:rPr>
    </w:lvl>
    <w:lvl w:ilvl="4">
      <w:start w:val="0"/>
      <w:numFmt w:val="bullet"/>
      <w:lvlText w:val="•"/>
      <w:lvlJc w:val="left"/>
      <w:pPr>
        <w:ind w:left="5903" w:hanging="1056"/>
      </w:pPr>
      <w:rPr>
        <w:rFonts w:hint="default"/>
      </w:rPr>
    </w:lvl>
    <w:lvl w:ilvl="5">
      <w:start w:val="0"/>
      <w:numFmt w:val="bullet"/>
      <w:lvlText w:val="•"/>
      <w:lvlJc w:val="left"/>
      <w:pPr>
        <w:ind w:left="7079" w:hanging="1056"/>
      </w:pPr>
      <w:rPr>
        <w:rFonts w:hint="default"/>
      </w:rPr>
    </w:lvl>
    <w:lvl w:ilvl="6">
      <w:start w:val="0"/>
      <w:numFmt w:val="bullet"/>
      <w:lvlText w:val="•"/>
      <w:lvlJc w:val="left"/>
      <w:pPr>
        <w:ind w:left="8255" w:hanging="1056"/>
      </w:pPr>
      <w:rPr>
        <w:rFonts w:hint="default"/>
      </w:rPr>
    </w:lvl>
    <w:lvl w:ilvl="7">
      <w:start w:val="0"/>
      <w:numFmt w:val="bullet"/>
      <w:lvlText w:val="•"/>
      <w:lvlJc w:val="left"/>
      <w:pPr>
        <w:ind w:left="9431" w:hanging="1056"/>
      </w:pPr>
      <w:rPr>
        <w:rFonts w:hint="default"/>
      </w:rPr>
    </w:lvl>
    <w:lvl w:ilvl="8">
      <w:start w:val="0"/>
      <w:numFmt w:val="bullet"/>
      <w:lvlText w:val="•"/>
      <w:lvlJc w:val="left"/>
      <w:pPr>
        <w:ind w:left="10607" w:hanging="1056"/>
      </w:pPr>
      <w:rPr>
        <w:rFonts w:hint="default"/>
      </w:rPr>
    </w:lvl>
  </w:abstractNum>
  <w:abstractNum w:abstractNumId="6">
    <w:nsid w:val="6AC7B909"/>
    <w:multiLevelType w:val="hybridMultilevel"/>
    <w:tmpl w:val="00000000"/>
    <w:lvl w:ilvl="0">
      <w:start w:val="1"/>
      <w:numFmt w:val="decimal"/>
      <w:lvlText w:val="（%1）"/>
      <w:lvlJc w:val="left"/>
      <w:pPr>
        <w:ind w:left="1192" w:hanging="1056"/>
        <w:jc w:val="left"/>
      </w:pPr>
      <w:rPr>
        <w:rFonts w:ascii="宋体" w:eastAsia="宋体" w:hAnsi="宋体" w:cs="宋体" w:hint="default"/>
        <w:spacing w:val="-2"/>
        <w:w w:val="100"/>
        <w:sz w:val="40"/>
        <w:szCs w:val="40"/>
      </w:rPr>
    </w:lvl>
    <w:lvl w:ilvl="1">
      <w:start w:val="0"/>
      <w:numFmt w:val="bullet"/>
      <w:lvlText w:val="•"/>
      <w:lvlJc w:val="left"/>
      <w:pPr>
        <w:ind w:left="2375" w:hanging="1056"/>
      </w:pPr>
      <w:rPr>
        <w:rFonts w:hint="default"/>
      </w:rPr>
    </w:lvl>
    <w:lvl w:ilvl="2">
      <w:start w:val="0"/>
      <w:numFmt w:val="bullet"/>
      <w:lvlText w:val="•"/>
      <w:lvlJc w:val="left"/>
      <w:pPr>
        <w:ind w:left="3551" w:hanging="1056"/>
      </w:pPr>
      <w:rPr>
        <w:rFonts w:hint="default"/>
      </w:rPr>
    </w:lvl>
    <w:lvl w:ilvl="3">
      <w:start w:val="0"/>
      <w:numFmt w:val="bullet"/>
      <w:lvlText w:val="•"/>
      <w:lvlJc w:val="left"/>
      <w:pPr>
        <w:ind w:left="4727" w:hanging="1056"/>
      </w:pPr>
      <w:rPr>
        <w:rFonts w:hint="default"/>
      </w:rPr>
    </w:lvl>
    <w:lvl w:ilvl="4">
      <w:start w:val="0"/>
      <w:numFmt w:val="bullet"/>
      <w:lvlText w:val="•"/>
      <w:lvlJc w:val="left"/>
      <w:pPr>
        <w:ind w:left="5903" w:hanging="1056"/>
      </w:pPr>
      <w:rPr>
        <w:rFonts w:hint="default"/>
      </w:rPr>
    </w:lvl>
    <w:lvl w:ilvl="5">
      <w:start w:val="0"/>
      <w:numFmt w:val="bullet"/>
      <w:lvlText w:val="•"/>
      <w:lvlJc w:val="left"/>
      <w:pPr>
        <w:ind w:left="7079" w:hanging="1056"/>
      </w:pPr>
      <w:rPr>
        <w:rFonts w:hint="default"/>
      </w:rPr>
    </w:lvl>
    <w:lvl w:ilvl="6">
      <w:start w:val="0"/>
      <w:numFmt w:val="bullet"/>
      <w:lvlText w:val="•"/>
      <w:lvlJc w:val="left"/>
      <w:pPr>
        <w:ind w:left="8255" w:hanging="1056"/>
      </w:pPr>
      <w:rPr>
        <w:rFonts w:hint="default"/>
      </w:rPr>
    </w:lvl>
    <w:lvl w:ilvl="7">
      <w:start w:val="0"/>
      <w:numFmt w:val="bullet"/>
      <w:lvlText w:val="•"/>
      <w:lvlJc w:val="left"/>
      <w:pPr>
        <w:ind w:left="9431" w:hanging="1056"/>
      </w:pPr>
      <w:rPr>
        <w:rFonts w:hint="default"/>
      </w:rPr>
    </w:lvl>
    <w:lvl w:ilvl="8">
      <w:start w:val="0"/>
      <w:numFmt w:val="bullet"/>
      <w:lvlText w:val="•"/>
      <w:lvlJc w:val="left"/>
      <w:pPr>
        <w:ind w:left="10607" w:hanging="1056"/>
      </w:pPr>
      <w:rPr>
        <w:rFonts w:hint="default"/>
      </w:rPr>
    </w:lvl>
  </w:abstractNum>
  <w:abstractNum w:abstractNumId="7">
    <w:nsid w:val="6C432587"/>
    <w:multiLevelType w:val="hybridMultilevel"/>
    <w:tmpl w:val="00000000"/>
    <w:lvl w:ilvl="0">
      <w:start w:val="1"/>
      <w:numFmt w:val="decimal"/>
      <w:lvlText w:val="（%1）"/>
      <w:lvlJc w:val="left"/>
      <w:pPr>
        <w:ind w:left="1192" w:hanging="1056"/>
        <w:jc w:val="left"/>
      </w:pPr>
      <w:rPr>
        <w:rFonts w:ascii="宋体" w:eastAsia="宋体" w:hAnsi="宋体" w:cs="宋体" w:hint="default"/>
        <w:spacing w:val="-2"/>
        <w:w w:val="100"/>
        <w:sz w:val="40"/>
        <w:szCs w:val="40"/>
      </w:rPr>
    </w:lvl>
    <w:lvl w:ilvl="1">
      <w:start w:val="0"/>
      <w:numFmt w:val="bullet"/>
      <w:lvlText w:val="•"/>
      <w:lvlJc w:val="left"/>
      <w:pPr>
        <w:ind w:left="2375" w:hanging="1056"/>
      </w:pPr>
      <w:rPr>
        <w:rFonts w:hint="default"/>
      </w:rPr>
    </w:lvl>
    <w:lvl w:ilvl="2">
      <w:start w:val="0"/>
      <w:numFmt w:val="bullet"/>
      <w:lvlText w:val="•"/>
      <w:lvlJc w:val="left"/>
      <w:pPr>
        <w:ind w:left="3551" w:hanging="1056"/>
      </w:pPr>
      <w:rPr>
        <w:rFonts w:hint="default"/>
      </w:rPr>
    </w:lvl>
    <w:lvl w:ilvl="3">
      <w:start w:val="0"/>
      <w:numFmt w:val="bullet"/>
      <w:lvlText w:val="•"/>
      <w:lvlJc w:val="left"/>
      <w:pPr>
        <w:ind w:left="4727" w:hanging="1056"/>
      </w:pPr>
      <w:rPr>
        <w:rFonts w:hint="default"/>
      </w:rPr>
    </w:lvl>
    <w:lvl w:ilvl="4">
      <w:start w:val="0"/>
      <w:numFmt w:val="bullet"/>
      <w:lvlText w:val="•"/>
      <w:lvlJc w:val="left"/>
      <w:pPr>
        <w:ind w:left="5903" w:hanging="1056"/>
      </w:pPr>
      <w:rPr>
        <w:rFonts w:hint="default"/>
      </w:rPr>
    </w:lvl>
    <w:lvl w:ilvl="5">
      <w:start w:val="0"/>
      <w:numFmt w:val="bullet"/>
      <w:lvlText w:val="•"/>
      <w:lvlJc w:val="left"/>
      <w:pPr>
        <w:ind w:left="7079" w:hanging="1056"/>
      </w:pPr>
      <w:rPr>
        <w:rFonts w:hint="default"/>
      </w:rPr>
    </w:lvl>
    <w:lvl w:ilvl="6">
      <w:start w:val="0"/>
      <w:numFmt w:val="bullet"/>
      <w:lvlText w:val="•"/>
      <w:lvlJc w:val="left"/>
      <w:pPr>
        <w:ind w:left="8255" w:hanging="1056"/>
      </w:pPr>
      <w:rPr>
        <w:rFonts w:hint="default"/>
      </w:rPr>
    </w:lvl>
    <w:lvl w:ilvl="7">
      <w:start w:val="0"/>
      <w:numFmt w:val="bullet"/>
      <w:lvlText w:val="•"/>
      <w:lvlJc w:val="left"/>
      <w:pPr>
        <w:ind w:left="9431" w:hanging="1056"/>
      </w:pPr>
      <w:rPr>
        <w:rFonts w:hint="default"/>
      </w:rPr>
    </w:lvl>
    <w:lvl w:ilvl="8">
      <w:start w:val="0"/>
      <w:numFmt w:val="bullet"/>
      <w:lvlText w:val="•"/>
      <w:lvlJc w:val="left"/>
      <w:pPr>
        <w:ind w:left="10607" w:hanging="1056"/>
      </w:pPr>
      <w:rPr>
        <w:rFonts w:hint="default"/>
      </w:rPr>
    </w:lvl>
  </w:abstractNum>
  <w:abstractNum w:abstractNumId="8">
    <w:nsid w:val="7AB6DF51"/>
    <w:multiLevelType w:val="hybridMultilevel"/>
    <w:tmpl w:val="00000000"/>
    <w:lvl w:ilvl="0">
      <w:start w:val="1"/>
      <w:numFmt w:val="decimal"/>
      <w:lvlText w:val="（%1）"/>
      <w:lvlJc w:val="left"/>
      <w:pPr>
        <w:ind w:left="137" w:hanging="1056"/>
        <w:jc w:val="left"/>
      </w:pPr>
      <w:rPr>
        <w:rFonts w:ascii="宋体" w:eastAsia="宋体" w:hAnsi="宋体" w:cs="宋体" w:hint="default"/>
        <w:spacing w:val="-2"/>
        <w:w w:val="100"/>
        <w:sz w:val="40"/>
        <w:szCs w:val="40"/>
      </w:rPr>
    </w:lvl>
    <w:lvl w:ilvl="1">
      <w:start w:val="0"/>
      <w:numFmt w:val="bullet"/>
      <w:lvlText w:val="•"/>
      <w:lvlJc w:val="left"/>
      <w:pPr>
        <w:ind w:left="1421" w:hanging="1056"/>
      </w:pPr>
      <w:rPr>
        <w:rFonts w:hint="default"/>
      </w:rPr>
    </w:lvl>
    <w:lvl w:ilvl="2">
      <w:start w:val="0"/>
      <w:numFmt w:val="bullet"/>
      <w:lvlText w:val="•"/>
      <w:lvlJc w:val="left"/>
      <w:pPr>
        <w:ind w:left="2703" w:hanging="1056"/>
      </w:pPr>
      <w:rPr>
        <w:rFonts w:hint="default"/>
      </w:rPr>
    </w:lvl>
    <w:lvl w:ilvl="3">
      <w:start w:val="0"/>
      <w:numFmt w:val="bullet"/>
      <w:lvlText w:val="•"/>
      <w:lvlJc w:val="left"/>
      <w:pPr>
        <w:ind w:left="3985" w:hanging="1056"/>
      </w:pPr>
      <w:rPr>
        <w:rFonts w:hint="default"/>
      </w:rPr>
    </w:lvl>
    <w:lvl w:ilvl="4">
      <w:start w:val="0"/>
      <w:numFmt w:val="bullet"/>
      <w:lvlText w:val="•"/>
      <w:lvlJc w:val="left"/>
      <w:pPr>
        <w:ind w:left="5267" w:hanging="1056"/>
      </w:pPr>
      <w:rPr>
        <w:rFonts w:hint="default"/>
      </w:rPr>
    </w:lvl>
    <w:lvl w:ilvl="5">
      <w:start w:val="0"/>
      <w:numFmt w:val="bullet"/>
      <w:lvlText w:val="•"/>
      <w:lvlJc w:val="left"/>
      <w:pPr>
        <w:ind w:left="6549" w:hanging="1056"/>
      </w:pPr>
      <w:rPr>
        <w:rFonts w:hint="default"/>
      </w:rPr>
    </w:lvl>
    <w:lvl w:ilvl="6">
      <w:start w:val="0"/>
      <w:numFmt w:val="bullet"/>
      <w:lvlText w:val="•"/>
      <w:lvlJc w:val="left"/>
      <w:pPr>
        <w:ind w:left="7831" w:hanging="1056"/>
      </w:pPr>
      <w:rPr>
        <w:rFonts w:hint="default"/>
      </w:rPr>
    </w:lvl>
    <w:lvl w:ilvl="7">
      <w:start w:val="0"/>
      <w:numFmt w:val="bullet"/>
      <w:lvlText w:val="•"/>
      <w:lvlJc w:val="left"/>
      <w:pPr>
        <w:ind w:left="9113" w:hanging="1056"/>
      </w:pPr>
      <w:rPr>
        <w:rFonts w:hint="default"/>
      </w:rPr>
    </w:lvl>
    <w:lvl w:ilvl="8">
      <w:start w:val="0"/>
      <w:numFmt w:val="bullet"/>
      <w:lvlText w:val="•"/>
      <w:lvlJc w:val="left"/>
      <w:pPr>
        <w:ind w:left="10395" w:hanging="1056"/>
      </w:pPr>
      <w:rPr>
        <w:rFonts w:hint="default"/>
      </w:rPr>
    </w:lvl>
  </w:abstractNum>
  <w:abstractNum w:abstractNumId="9">
    <w:nsid w:val="7C1EFFEB"/>
    <w:multiLevelType w:val="hybridMultilevel"/>
    <w:tmpl w:val="00000000"/>
    <w:lvl w:ilvl="0">
      <w:start w:val="1"/>
      <w:numFmt w:val="decimal"/>
      <w:lvlText w:val="（%1）"/>
      <w:lvlJc w:val="left"/>
      <w:pPr>
        <w:ind w:left="137" w:hanging="1056"/>
        <w:jc w:val="left"/>
      </w:pPr>
      <w:rPr>
        <w:rFonts w:ascii="宋体" w:eastAsia="宋体" w:hAnsi="宋体" w:cs="宋体" w:hint="default"/>
        <w:spacing w:val="-54"/>
        <w:w w:val="100"/>
        <w:sz w:val="40"/>
        <w:szCs w:val="40"/>
      </w:rPr>
    </w:lvl>
    <w:lvl w:ilvl="1">
      <w:start w:val="0"/>
      <w:numFmt w:val="bullet"/>
      <w:lvlText w:val="•"/>
      <w:lvlJc w:val="left"/>
      <w:pPr>
        <w:ind w:left="1421" w:hanging="1056"/>
      </w:pPr>
      <w:rPr>
        <w:rFonts w:hint="default"/>
      </w:rPr>
    </w:lvl>
    <w:lvl w:ilvl="2">
      <w:start w:val="0"/>
      <w:numFmt w:val="bullet"/>
      <w:lvlText w:val="•"/>
      <w:lvlJc w:val="left"/>
      <w:pPr>
        <w:ind w:left="2703" w:hanging="1056"/>
      </w:pPr>
      <w:rPr>
        <w:rFonts w:hint="default"/>
      </w:rPr>
    </w:lvl>
    <w:lvl w:ilvl="3">
      <w:start w:val="0"/>
      <w:numFmt w:val="bullet"/>
      <w:lvlText w:val="•"/>
      <w:lvlJc w:val="left"/>
      <w:pPr>
        <w:ind w:left="3985" w:hanging="1056"/>
      </w:pPr>
      <w:rPr>
        <w:rFonts w:hint="default"/>
      </w:rPr>
    </w:lvl>
    <w:lvl w:ilvl="4">
      <w:start w:val="0"/>
      <w:numFmt w:val="bullet"/>
      <w:lvlText w:val="•"/>
      <w:lvlJc w:val="left"/>
      <w:pPr>
        <w:ind w:left="5267" w:hanging="1056"/>
      </w:pPr>
      <w:rPr>
        <w:rFonts w:hint="default"/>
      </w:rPr>
    </w:lvl>
    <w:lvl w:ilvl="5">
      <w:start w:val="0"/>
      <w:numFmt w:val="bullet"/>
      <w:lvlText w:val="•"/>
      <w:lvlJc w:val="left"/>
      <w:pPr>
        <w:ind w:left="6549" w:hanging="1056"/>
      </w:pPr>
      <w:rPr>
        <w:rFonts w:hint="default"/>
      </w:rPr>
    </w:lvl>
    <w:lvl w:ilvl="6">
      <w:start w:val="0"/>
      <w:numFmt w:val="bullet"/>
      <w:lvlText w:val="•"/>
      <w:lvlJc w:val="left"/>
      <w:pPr>
        <w:ind w:left="7831" w:hanging="1056"/>
      </w:pPr>
      <w:rPr>
        <w:rFonts w:hint="default"/>
      </w:rPr>
    </w:lvl>
    <w:lvl w:ilvl="7">
      <w:start w:val="0"/>
      <w:numFmt w:val="bullet"/>
      <w:lvlText w:val="•"/>
      <w:lvlJc w:val="left"/>
      <w:pPr>
        <w:ind w:left="9113" w:hanging="1056"/>
      </w:pPr>
      <w:rPr>
        <w:rFonts w:hint="default"/>
      </w:rPr>
    </w:lvl>
    <w:lvl w:ilvl="8">
      <w:start w:val="0"/>
      <w:numFmt w:val="bullet"/>
      <w:lvlText w:val="•"/>
      <w:lvlJc w:val="left"/>
      <w:pPr>
        <w:ind w:left="10395" w:hanging="1056"/>
      </w:pPr>
      <w:rPr>
        <w:rFonts w:hint="default"/>
      </w:rPr>
    </w:lvl>
  </w:abstractNum>
  <w:num w:numId="1">
    <w:abstractNumId w:val="8"/>
  </w:num>
  <w:num w:numId="2">
    <w:abstractNumId w:val="9"/>
  </w:num>
  <w:num w:numId="3">
    <w:abstractNumId w:val="0"/>
  </w:num>
  <w:num w:numId="4">
    <w:abstractNumId w:val="3"/>
  </w:num>
  <w:num w:numId="5">
    <w:abstractNumId w:val="4"/>
  </w:num>
  <w:num w:numId="6">
    <w:abstractNumId w:val="2"/>
  </w:num>
  <w:num w:numId="7">
    <w:abstractNumId w:val="1"/>
  </w:num>
  <w:num w:numId="8">
    <w:abstractNumId w:val="6"/>
  </w:num>
  <w:num w:numId="9">
    <w:abstractNumId w:val="5"/>
  </w:num>
  <w:num w:numId="10">
    <w:abstractNumId w:val="7"/>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宋体" w:eastAsia="宋体" w:hAnsi="宋体" w:cs="宋体"/>
    </w:rPr>
  </w:style>
  <w:style w:type="paragraph" w:styleId="Heading1">
    <w:name w:val="heading 1"/>
    <w:basedOn w:val="Normal"/>
    <w:uiPriority w:val="1"/>
    <w:qFormat/>
    <w:pPr>
      <w:ind w:left="137"/>
      <w:outlineLvl w:val="0"/>
    </w:pPr>
    <w:rPr>
      <w:rFonts w:ascii="宋体" w:eastAsia="宋体" w:hAnsi="宋体" w:cs="宋体"/>
      <w:b/>
      <w:bCs/>
      <w:sz w:val="42"/>
      <w:szCs w:val="42"/>
    </w:rPr>
  </w:style>
  <w:style w:type="character" w:default="1" w:styleId="DefaultParagraphFont">
    <w:name w:val="Default Paragraph Font"/>
    <w:uiPriority w:val="1"/>
    <w:semiHidden/>
    <w:unhideWhenUsed/>
  </w:style>
  <w:style w:type="numbering" w:default="1" w:styleId="NoList">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BodyText">
    <w:name w:val="Body Text"/>
    <w:basedOn w:val="Normal"/>
    <w:uiPriority w:val="1"/>
    <w:qFormat/>
    <w:pPr>
      <w:ind w:left="137"/>
    </w:pPr>
    <w:rPr>
      <w:rFonts w:ascii="宋体" w:eastAsia="宋体" w:hAnsi="宋体" w:cs="宋体"/>
      <w:sz w:val="42"/>
      <w:szCs w:val="42"/>
    </w:rPr>
  </w:style>
  <w:style w:type="paragraph" w:styleId="Title">
    <w:name w:val="Title"/>
    <w:basedOn w:val="Normal"/>
    <w:uiPriority w:val="1"/>
    <w:qFormat/>
    <w:pPr>
      <w:spacing w:before="90"/>
      <w:ind w:right="234"/>
      <w:jc w:val="center"/>
    </w:pPr>
    <w:rPr>
      <w:rFonts w:ascii="幼圆" w:eastAsia="幼圆" w:hAnsi="幼圆" w:cs="幼圆"/>
      <w:b/>
      <w:bCs/>
      <w:sz w:val="72"/>
      <w:szCs w:val="72"/>
    </w:rPr>
  </w:style>
  <w:style w:type="paragraph" w:styleId="ListParagraph">
    <w:name w:val="List Paragraph"/>
    <w:basedOn w:val="Normal"/>
    <w:uiPriority w:val="1"/>
    <w:qFormat/>
    <w:pPr>
      <w:ind w:left="1192" w:hanging="1056"/>
    </w:pPr>
    <w:rPr>
      <w:rFonts w:ascii="宋体" w:eastAsia="宋体" w:hAnsi="宋体" w:cs="宋体"/>
    </w:rPr>
  </w:style>
  <w:style w:type="paragraph" w:customStyle="1" w:styleId="TableParagraph">
    <w:name w:val="Table Paragraph"/>
    <w:basedOn w:val="Normal"/>
    <w:uiPriority w:val="1"/>
    <w:qFormat/>
    <w:pPr>
      <w:spacing w:before="66"/>
      <w:ind w:left="50"/>
    </w:pPr>
    <w:rPr>
      <w:rFonts w:ascii="宋体" w:eastAsia="宋体" w:hAnsi="宋体" w:cs="宋体"/>
    </w:rPr>
  </w:style>
  <w:style w:type="table" w:customStyle="1" w:styleId="TableNormal0">
    <w:name w:val="Table Normal_0"/>
    <w:uiPriority w:val="2"/>
    <w:semiHidden/>
    <w:unhideWhenUsed/>
    <w:qFormat/>
    <w:tblPr>
      <w:tblInd w:w="0" w:type="dxa"/>
      <w:tblCellMar>
        <w:top w:w="0" w:type="dxa"/>
        <w:left w:w="0" w:type="dxa"/>
        <w:bottom w:w="0" w:type="dxa"/>
        <w:right w:w="0" w:type="dxa"/>
      </w:tblCellMar>
    </w:tblPr>
  </w:style>
  <w:style w:type="table" w:customStyle="1" w:styleId="TableNormal1">
    <w:name w:val="Table Normal_1"/>
    <w:uiPriority w:val="2"/>
    <w:semiHidden/>
    <w:unhideWhenUsed/>
    <w:qFormat/>
    <w:tblPr>
      <w:tblInd w:w="0" w:type="dxa"/>
      <w:tblCellMar>
        <w:top w:w="0" w:type="dxa"/>
        <w:left w:w="0" w:type="dxa"/>
        <w:bottom w:w="0" w:type="dxa"/>
        <w:right w:w="0" w:type="dxa"/>
      </w:tblCellMar>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hyperlink" Target="https://d.book118.com/146212122120010053" TargetMode="External" /><Relationship Id="rId8" Type="http://schemas.openxmlformats.org/officeDocument/2006/relationships/theme" Target="theme/theme1.xml" /><Relationship Id="rId9" Type="http://schemas.openxmlformats.org/officeDocument/2006/relationships/numbering" Target="numbering.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2024-02-03T00:15:23Z</dcterms:created>
  <dcterms:modified xsi:type="dcterms:W3CDTF">2024-02-03T00:15:23Z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2022-11-14T00:00:00Z</vt:filetime>
  </property>
  <property fmtid="{D5CDD505-2E9C-101B-9397-08002B2CF9AE}" pid="3" name="LastSaved">
    <vt:filetime>2024-02-03T00:00:00Z</vt:filetime>
  </property>
</Properties>
</file>