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1、[题干]腹痛，里急后重，下痢赤白，肛门灼热，小便赤涩，苔黄腻，脉滑数。其治法宜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A.清热和中，化湿止泻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B.清热解毒，调气行血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C.清热除湿，健脾和中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D.清热燥湿，凉血解毒。E,清热导滞，调气行血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2、[单选题]乌梅丸主治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A.蛔厥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B.痰厥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C.气厥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D.寒厥。E,热厥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3、[题干]引起先天性甲状腺功能减退症的原因有()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A.碘缺乏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B.甲状腺发育异常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C.靶器官反应低下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D.甲状腺激素合成障碍。E,垂体促甲状腺激素分泌障碍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4、[问题]Pelizaeus-Merzbacher病属于哪种类型的疾病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A.溶酶体病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B.过氧化物体病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C.线粒体病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D.髓鞘蛋白编码基因缺陷。E,氨基酸、有机酸病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5、[题干]6个月男婴。生后接种卡介苗后引起全身反应。近2～3个月来感染不断，常患鹅口疮、上呼吸道感染及肠炎。各项免疫球蛋白测定均低，OT试验多次阴性。X线片示：胸腺影缺如()()。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A.细胞免疫缺陷病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B.选择性免疫球蛋白缺乏症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C.婴幼儿暂时性低丙种球蛋白血症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D.选择性IgM缺乏症。E,重症SCID。F,普通变异型免疫缺陷病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6、[题干]急性肾炎哪种肾小球细胞增生最显著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A.肾小球毛细血管内皮细胞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https://d.book118.com/147015012023006043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47015012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