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600" w:lineRule="exact"/>
        <w:jc w:val="center"/>
        <w:rPr>
          <w:rFonts w:ascii="LinTimes" w:eastAsia="华文中宋" w:hAnsi="LinTimes" w:cs="LinTimes" w:hint="eastAsia"/>
          <w:b/>
          <w:sz w:val="44"/>
          <w:szCs w:val="44"/>
        </w:rPr>
      </w:pPr>
      <w:bookmarkStart w:id="0" w:name="_GoBack"/>
      <w:bookmarkEnd w:id="0"/>
    </w:p>
    <w:p>
      <w:pPr>
        <w:spacing w:line="600" w:lineRule="exact"/>
        <w:jc w:val="center"/>
        <w:rPr>
          <w:rFonts w:ascii="LinTimes" w:eastAsia="华文中宋" w:hAnsi="LinTimes" w:cs="LinTimes" w:hint="eastAsia"/>
          <w:b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ascii="方正小标宋简体" w:eastAsia="方正小标宋简体" w:hAnsi="方正小标宋简体" w:cs="方正小标宋简体"/>
          <w:bCs/>
          <w:sz w:val="52"/>
          <w:szCs w:val="52"/>
          <w:lang w:val="en-AU"/>
        </w:rPr>
      </w:pPr>
      <w:r>
        <w:rPr>
          <w:rFonts w:ascii="方正小标宋简体" w:eastAsia="方正小标宋简体" w:hAnsi="方正小标宋简体" w:cs="方正小标宋简体" w:hint="eastAsia"/>
          <w:bCs/>
          <w:sz w:val="52"/>
          <w:szCs w:val="52"/>
        </w:rPr>
        <w:t>淄博市首届职业技能大赛</w:t>
      </w:r>
    </w:p>
    <w:p>
      <w:pPr>
        <w:spacing w:line="600" w:lineRule="exact"/>
        <w:jc w:val="center"/>
        <w:outlineLvl w:val="0"/>
        <w:rPr>
          <w:rFonts w:ascii="方正小标宋简体" w:eastAsia="方正小标宋简体" w:hAnsi="方正小标宋简体" w:cs="方正小标宋简体" w:hint="eastAsia"/>
          <w:bCs/>
          <w:sz w:val="52"/>
          <w:szCs w:val="52"/>
          <w:lang w:val="en-AU"/>
          <w:rPrChange w:id="1" w:author="Administrator" w:date="2023-10-08T08:27:44Z">
            <w:rPr>
              <w:rFonts w:ascii="方正小标宋简体" w:eastAsia="方正小标宋简体" w:hAnsi="方正小标宋简体" w:cs="方正小标宋简体"/>
              <w:bCs/>
              <w:sz w:val="52"/>
              <w:szCs w:val="52"/>
              <w:lang w:val="en-AU"/>
            </w:rPr>
          </w:rPrChange>
        </w:rPr>
      </w:pPr>
      <w:r>
        <w:rPr>
          <w:rFonts w:ascii="方正小标宋简体" w:eastAsia="方正小标宋简体" w:hAnsi="方正小标宋简体" w:cs="方正小标宋简体" w:hint="eastAsia"/>
          <w:bCs/>
          <w:sz w:val="52"/>
          <w:szCs w:val="52"/>
          <w:lang w:val="en-AU"/>
        </w:rPr>
        <w:t>药物制剂工</w:t>
      </w:r>
      <w:r>
        <w:rPr>
          <w:rFonts w:ascii="方正小标宋简体" w:eastAsia="方正小标宋简体" w:hAnsi="方正小标宋简体" w:cs="方正小标宋简体" w:hint="eastAsia"/>
          <w:bCs/>
          <w:sz w:val="52"/>
          <w:szCs w:val="52"/>
        </w:rPr>
        <w:t>项目</w:t>
      </w:r>
      <w:r>
        <w:rPr>
          <w:rFonts w:ascii="方正小标宋简体" w:eastAsia="方正小标宋简体" w:hAnsi="方正小标宋简体" w:cs="方正小标宋简体" w:hint="eastAsia"/>
          <w:bCs/>
          <w:sz w:val="52"/>
          <w:szCs w:val="52"/>
          <w:lang w:val="en-AU"/>
        </w:rPr>
        <w:t>技术工作文件</w:t>
      </w:r>
    </w:p>
    <w:p>
      <w:pPr>
        <w:spacing w:line="600" w:lineRule="exact"/>
        <w:jc w:val="center"/>
        <w:outlineLvl w:val="0"/>
        <w:rPr>
          <w:rFonts w:ascii="方正小标宋简体" w:eastAsia="方正小标宋简体" w:hAnsi="方正小标宋简体" w:cs="方正小标宋简体" w:hint="eastAsia"/>
          <w:bCs/>
          <w:color w:val="auto"/>
          <w:sz w:val="52"/>
          <w:szCs w:val="52"/>
        </w:rPr>
      </w:pPr>
    </w:p>
    <w:p>
      <w:pPr>
        <w:spacing w:line="600" w:lineRule="exact"/>
        <w:rPr>
          <w:rFonts w:ascii="LinTimes" w:hAnsi="LinTimes" w:cs="LinTimes" w:hint="eastAsia"/>
          <w:lang w:val="en-AU"/>
        </w:rPr>
      </w:pPr>
    </w:p>
    <w:p>
      <w:pPr>
        <w:spacing w:line="600" w:lineRule="exact"/>
        <w:rPr>
          <w:rFonts w:ascii="LinTimes" w:hAnsi="LinTimes" w:cs="LinTimes" w:hint="eastAsia"/>
          <w:lang w:val="en-AU"/>
        </w:rPr>
      </w:pPr>
    </w:p>
    <w:p>
      <w:pPr>
        <w:spacing w:line="600" w:lineRule="exact"/>
        <w:rPr>
          <w:rFonts w:ascii="LinTimes" w:hAnsi="LinTimes" w:cs="LinTimes" w:hint="eastAsia"/>
          <w:lang w:val="en-AU"/>
        </w:rPr>
      </w:pPr>
    </w:p>
    <w:p>
      <w:pPr>
        <w:spacing w:line="600" w:lineRule="exact"/>
        <w:rPr>
          <w:rFonts w:ascii="LinTimes" w:hAnsi="LinTimes" w:cs="LinTimes" w:hint="eastAsia"/>
          <w:lang w:val="en-AU"/>
        </w:rPr>
      </w:pPr>
    </w:p>
    <w:p>
      <w:pPr>
        <w:spacing w:line="600" w:lineRule="exact"/>
        <w:rPr>
          <w:rFonts w:ascii="LinTimes" w:hAnsi="LinTimes" w:cs="LinTimes" w:hint="eastAsia"/>
          <w:lang w:val="en-AU"/>
        </w:rPr>
      </w:pPr>
    </w:p>
    <w:p>
      <w:pPr>
        <w:spacing w:line="600" w:lineRule="exact"/>
        <w:rPr>
          <w:rFonts w:ascii="LinTimes" w:hAnsi="LinTimes" w:cs="LinTimes" w:hint="eastAsia"/>
          <w:lang w:val="en-AU"/>
        </w:rPr>
      </w:pPr>
    </w:p>
    <w:p>
      <w:pPr>
        <w:pStyle w:val="BodyTextFirstIndent"/>
        <w:spacing w:line="600" w:lineRule="exact"/>
        <w:ind w:firstLine="632"/>
        <w:rPr>
          <w:rFonts w:ascii="LinTimes" w:hAnsi="LinTimes" w:cs="LinTimes" w:hint="eastAsia"/>
          <w:lang w:val="en-AU"/>
        </w:rPr>
      </w:pPr>
    </w:p>
    <w:p>
      <w:pPr>
        <w:pStyle w:val="BodyTextFirstIndent"/>
        <w:spacing w:line="600" w:lineRule="exact"/>
        <w:ind w:firstLine="0" w:firstLineChars="0"/>
        <w:rPr>
          <w:rFonts w:ascii="LinTimes" w:hAnsi="LinTimes" w:cs="LinTimes" w:hint="eastAsia"/>
          <w:lang w:val="en-AU"/>
        </w:rPr>
      </w:pPr>
    </w:p>
    <w:p>
      <w:pPr>
        <w:pStyle w:val="BodyTextFirstIndent"/>
        <w:spacing w:line="600" w:lineRule="exact"/>
        <w:ind w:firstLine="0" w:firstLineChars="0"/>
        <w:rPr>
          <w:rFonts w:ascii="LinTimes" w:hAnsi="LinTimes" w:cs="LinTimes" w:hint="eastAsia"/>
          <w:lang w:val="en-AU"/>
        </w:rPr>
      </w:pPr>
    </w:p>
    <w:p>
      <w:pPr>
        <w:pStyle w:val="BodyTextFirstIndent"/>
        <w:spacing w:line="600" w:lineRule="exact"/>
        <w:ind w:firstLine="632"/>
        <w:rPr>
          <w:rFonts w:ascii="LinTimes" w:hAnsi="LinTimes" w:cs="LinTimes" w:hint="eastAsia"/>
          <w:lang w:val="en-AU"/>
        </w:rPr>
      </w:pPr>
    </w:p>
    <w:p>
      <w:pPr>
        <w:pStyle w:val="BodyTextFirstIndent"/>
        <w:spacing w:line="600" w:lineRule="exact"/>
        <w:ind w:firstLine="632"/>
        <w:rPr>
          <w:rFonts w:ascii="LinTimes" w:hAnsi="LinTimes" w:cs="LinTimes" w:hint="eastAsia"/>
          <w:lang w:val="en-AU"/>
        </w:rPr>
        <w:sectPr>
          <w:headerReference w:type="default" r:id="rId5"/>
          <w:footerReference w:type="default" r:id="rId6"/>
          <w:pgSz w:w="11906" w:h="16838"/>
          <w:pgMar w:top="2098" w:right="1531" w:bottom="1814" w:left="1531" w:header="851" w:footer="1587" w:gutter="0"/>
          <w:pgNumType w:fmt="decimal" w:start="1"/>
          <w:cols w:num="1" w:space="0"/>
          <w:docGrid w:type="linesAndChars" w:linePitch="319" w:charSpace="0"/>
        </w:sectPr>
      </w:pPr>
    </w:p>
    <w:p>
      <w:pPr>
        <w:spacing w:line="600" w:lineRule="exact"/>
        <w:jc w:val="center"/>
        <w:rPr>
          <w:rFonts w:ascii="仿宋_GB2312" w:eastAsia="仿宋_GB2312" w:hAnsi="仿宋_GB2312" w:cs="仿宋_GB2312"/>
          <w:szCs w:val="32"/>
          <w:lang w:val="en-AU"/>
        </w:rPr>
      </w:pPr>
      <w:r>
        <w:rPr>
          <w:rFonts w:ascii="仿宋_GB2312" w:eastAsia="仿宋_GB2312" w:hAnsi="仿宋_GB2312" w:cs="仿宋_GB2312" w:hint="eastAsia"/>
          <w:szCs w:val="32"/>
        </w:rPr>
        <w:t>淄博</w:t>
      </w:r>
      <w:r>
        <w:rPr>
          <w:rFonts w:ascii="仿宋_GB2312" w:eastAsia="仿宋_GB2312" w:hAnsi="仿宋_GB2312" w:cs="仿宋_GB2312" w:hint="eastAsia"/>
          <w:szCs w:val="32"/>
          <w:lang w:val="en-AU"/>
        </w:rPr>
        <w:t>市首届</w:t>
      </w:r>
      <w:r>
        <w:rPr>
          <w:rFonts w:ascii="仿宋_GB2312" w:eastAsia="仿宋_GB2312" w:hAnsi="仿宋_GB2312" w:cs="仿宋_GB2312" w:hint="eastAsia"/>
          <w:szCs w:val="32"/>
        </w:rPr>
        <w:t>职业</w:t>
      </w:r>
      <w:r>
        <w:rPr>
          <w:rFonts w:ascii="仿宋_GB2312" w:eastAsia="仿宋_GB2312" w:hAnsi="仿宋_GB2312" w:cs="仿宋_GB2312" w:hint="eastAsia"/>
          <w:szCs w:val="32"/>
          <w:lang w:val="en-AU"/>
        </w:rPr>
        <w:t>技能大赛组委会</w:t>
      </w:r>
      <w:r>
        <w:rPr>
          <w:rFonts w:ascii="仿宋_GB2312" w:eastAsia="仿宋_GB2312" w:hAnsi="仿宋_GB2312" w:cs="仿宋_GB2312" w:hint="eastAsia"/>
          <w:szCs w:val="32"/>
        </w:rPr>
        <w:t>办公室</w:t>
      </w:r>
      <w:r>
        <w:rPr>
          <w:rFonts w:ascii="仿宋_GB2312" w:eastAsia="仿宋_GB2312" w:hAnsi="仿宋_GB2312" w:cs="仿宋_GB2312" w:hint="eastAsia"/>
          <w:szCs w:val="32"/>
          <w:lang w:val="en-AU"/>
        </w:rPr>
        <w:t>技术工作组</w:t>
      </w:r>
    </w:p>
    <w:p>
      <w:pPr>
        <w:pStyle w:val="BodyTextFirstIndent"/>
        <w:spacing w:line="600" w:lineRule="exact"/>
        <w:ind w:firstLine="632"/>
        <w:rPr>
          <w:rFonts w:ascii="LinTimes" w:hAnsi="LinTimes" w:cs="LinTimes" w:hint="eastAsia"/>
          <w:lang w:val="en-AU"/>
        </w:rPr>
      </w:pPr>
    </w:p>
    <w:p>
      <w:pPr>
        <w:pStyle w:val="BodyTextFirstIndent"/>
        <w:spacing w:line="600" w:lineRule="exact"/>
        <w:ind w:firstLine="0" w:firstLineChars="0"/>
        <w:jc w:val="center"/>
        <w:rPr>
          <w:rFonts w:ascii="仿宋_GB2312" w:hAnsi="仿宋_GB2312" w:cs="仿宋_GB2312"/>
          <w:lang w:val="en-AU"/>
        </w:rPr>
      </w:pPr>
      <w:r>
        <w:rPr>
          <w:rFonts w:ascii="仿宋_GB2312" w:hAnsi="仿宋_GB2312" w:cs="仿宋_GB2312" w:hint="eastAsia"/>
          <w:lang w:val="en-AU"/>
        </w:rPr>
        <w:t>20</w:t>
      </w:r>
      <w:r>
        <w:rPr>
          <w:rFonts w:ascii="仿宋_GB2312" w:hAnsi="仿宋_GB2312" w:cs="仿宋_GB2312" w:hint="eastAsia"/>
        </w:rPr>
        <w:t>23</w:t>
      </w:r>
      <w:r>
        <w:rPr>
          <w:rFonts w:ascii="仿宋_GB2312" w:hAnsi="仿宋_GB2312" w:cs="仿宋_GB2312" w:hint="eastAsia"/>
          <w:lang w:val="en-AU"/>
        </w:rPr>
        <w:t>年</w:t>
      </w:r>
      <w:r>
        <w:rPr>
          <w:rFonts w:ascii="仿宋_GB2312" w:hAnsi="仿宋_GB2312" w:cs="仿宋_GB2312" w:hint="eastAsia"/>
        </w:rPr>
        <w:t xml:space="preserve"> 10 </w:t>
      </w:r>
      <w:r>
        <w:rPr>
          <w:rFonts w:ascii="仿宋_GB2312" w:hAnsi="仿宋_GB2312" w:cs="仿宋_GB2312" w:hint="eastAsia"/>
          <w:lang w:val="en-AU"/>
        </w:rPr>
        <w:t>月</w:t>
      </w:r>
    </w:p>
    <w:p>
      <w:pPr>
        <w:spacing w:line="600" w:lineRule="exact"/>
        <w:rPr>
          <w:rFonts w:ascii="LinTimes" w:hAnsi="LinTimes" w:cs="LinTimes" w:hint="eastAsia"/>
          <w:b/>
          <w:sz w:val="44"/>
          <w:szCs w:val="44"/>
        </w:rPr>
      </w:pPr>
    </w:p>
    <w:p>
      <w:pPr>
        <w:spacing w:line="600" w:lineRule="exact"/>
        <w:jc w:val="center"/>
        <w:rPr>
          <w:rFonts w:ascii="黑体" w:eastAsia="黑体" w:hAnsi="黑体" w:cs="黑体" w:hint="eastAsia"/>
          <w:b/>
          <w:sz w:val="44"/>
          <w:szCs w:val="44"/>
        </w:rPr>
        <w:sectPr>
          <w:headerReference w:type="default" r:id="rId7"/>
          <w:footerReference w:type="default" r:id="rId8"/>
          <w:type w:val="nextPage"/>
          <w:pgSz w:w="11906" w:h="16838"/>
          <w:pgMar w:top="2098" w:right="1531" w:bottom="1814" w:left="1531" w:header="851" w:footer="1587" w:gutter="0"/>
          <w:pgNumType w:fmt="decimal" w:start="2"/>
          <w:cols w:num="1" w:space="0"/>
          <w:titlePg w:val="0"/>
          <w:docGrid w:type="linesAndChars" w:linePitch="319" w:charSpace="0"/>
        </w:sectPr>
      </w:pPr>
    </w:p>
    <w:p>
      <w:pPr>
        <w:spacing w:line="600" w:lineRule="exact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b/>
          <w:sz w:val="44"/>
          <w:szCs w:val="44"/>
        </w:rPr>
        <w:t>目   录</w:t>
      </w:r>
    </w:p>
    <w:p>
      <w:pPr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spacing w:beforeAutospacing="0" w:afterAutospacing="0" w:line="600" w:lineRule="exact"/>
        <w:ind w:left="0" w:firstLine="640" w:leftChars="0" w:firstLineChars="200"/>
        <w:textAlignment w:val="auto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技术描述…………………………………………………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1</w:t>
      </w:r>
    </w:p>
    <w:p>
      <w:pPr>
        <w:spacing w:line="600" w:lineRule="exact"/>
        <w:ind w:firstLine="640" w:firstLineChars="200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（一）项目概要…………………………………………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1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基本知识与能力要求……………………………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spacing w:beforeAutospacing="0" w:afterAutospacing="0" w:line="600" w:lineRule="exact"/>
        <w:ind w:left="0" w:firstLine="640" w:leftChars="0" w:firstLineChars="200"/>
        <w:textAlignment w:val="auto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试题及评判标准…………………………………………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2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（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一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）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试题………………………………………………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2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（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二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）比赛时间及试题具体内容………………………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2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（三）评判标准…………………………………………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spacing w:beforeAutospacing="0" w:afterAutospacing="0" w:line="600" w:lineRule="exact"/>
        <w:ind w:left="0" w:firstLine="640" w:leftChars="0" w:firstLineChars="200"/>
        <w:textAlignment w:val="auto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竞赛细则…………………………………………………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7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（一）实操部分赛场流程………………………………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7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（二）选手比赛纪律……………………………………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9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（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三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）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裁判人员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比赛纪律………………………………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9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（四）安全员比赛纪律…………………………………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10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spacing w:beforeAutospacing="0" w:afterAutospacing="0" w:line="600" w:lineRule="exact"/>
        <w:ind w:left="0" w:firstLine="640" w:leftChars="0" w:firstLineChars="200"/>
        <w:textAlignment w:val="auto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竞赛场地、设施设备等安排……………………………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13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ascii="仿宋_GB2312" w:eastAsia="仿宋_GB2312" w:hAnsi="仿宋_GB2312" w:cs="仿宋_GB2312" w:hint="eastAsia"/>
          <w:color w:val="auto"/>
          <w:szCs w:val="32"/>
        </w:rPr>
        <w:sectPr>
          <w:headerReference w:type="default" r:id="rId9"/>
          <w:footerReference w:type="default" r:id="rId10"/>
          <w:pgSz w:w="11906" w:h="16838"/>
          <w:pgMar w:top="2098" w:right="1531" w:bottom="1814" w:left="1531" w:header="851" w:footer="1587" w:gutter="0"/>
          <w:pgNumType w:fmt="decimal" w:start="1"/>
          <w:cols w:num="1" w:space="0"/>
          <w:docGrid w:type="linesAndChars" w:linePitch="319" w:charSpace="0"/>
        </w:sect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（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一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）赛场规格要求……………………………………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13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（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二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）场地布局图………………………………………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13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（三）基础设施清单……………………………………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14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spacing w:beforeAutospacing="0" w:afterAutospacing="0" w:line="600" w:lineRule="exact"/>
        <w:ind w:left="0" w:firstLine="640" w:leftChars="0" w:firstLineChars="200"/>
        <w:textAlignment w:val="auto"/>
        <w:rPr>
          <w:rFonts w:ascii="仿宋_GB2312" w:eastAsia="仿宋_GB2312" w:hAnsi="仿宋_GB2312" w:cs="仿宋_GB2312" w:hint="eastAsia"/>
          <w:color w:val="auto"/>
          <w:szCs w:val="32"/>
        </w:rPr>
      </w:pP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安全、健康规定…………………………………………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15</w:t>
      </w:r>
    </w:p>
    <w:p>
      <w:pPr>
        <w:spacing w:line="600" w:lineRule="exact"/>
        <w:ind w:firstLine="320" w:firstLineChars="100"/>
        <w:rPr>
          <w:rFonts w:ascii="LinTimes" w:eastAsia="黑体" w:hAnsi="LinTimes" w:cs="LinTimes"/>
          <w:bCs/>
          <w:szCs w:val="32"/>
        </w:rPr>
      </w:pPr>
    </w:p>
    <w:p>
      <w:pPr>
        <w:pStyle w:val="BodyTextFirstIndent"/>
        <w:ind w:left="0" w:firstLine="0" w:leftChars="0" w:firstLineChars="0"/>
      </w:pPr>
    </w:p>
    <w:p>
      <w:pPr>
        <w:spacing w:line="600" w:lineRule="exact"/>
        <w:ind w:firstLine="320" w:firstLineChars="100"/>
        <w:rPr>
          <w:rFonts w:ascii="LinTimes" w:eastAsia="黑体" w:hAnsi="LinTimes" w:cs="LinTimes"/>
          <w:bCs/>
          <w:szCs w:val="32"/>
        </w:rPr>
        <w:sectPr>
          <w:headerReference w:type="default" r:id="rId11"/>
          <w:footerReference w:type="default" r:id="rId12"/>
          <w:type w:val="nextPage"/>
          <w:pgSz w:w="11906" w:h="16838"/>
          <w:pgMar w:top="2098" w:right="1531" w:bottom="1814" w:left="1531" w:header="851" w:footer="1587" w:gutter="0"/>
          <w:pgNumType w:fmt="decimal" w:start="2"/>
          <w:cols w:num="1" w:space="0"/>
          <w:titlePg w:val="0"/>
          <w:docGrid w:type="linesAndChars" w:linePitch="319" w:charSpace="0"/>
        </w:sectPr>
      </w:pPr>
    </w:p>
    <w:p>
      <w:pPr>
        <w:spacing w:line="600" w:lineRule="exact"/>
        <w:ind w:firstLine="320" w:firstLineChars="100"/>
        <w:rPr>
          <w:rFonts w:ascii="LinTimes" w:eastAsia="黑体" w:hAnsi="LinTimes" w:cs="LinTimes" w:hint="eastAsia"/>
          <w:bCs/>
          <w:szCs w:val="32"/>
        </w:rPr>
      </w:pPr>
      <w:r>
        <w:rPr>
          <w:rFonts w:ascii="LinTimes" w:eastAsia="黑体" w:hAnsi="LinTimes" w:cs="LinTimes"/>
          <w:bCs/>
          <w:szCs w:val="32"/>
        </w:rPr>
        <w:t>一、技术描述</w:t>
      </w:r>
    </w:p>
    <w:p>
      <w:pPr>
        <w:spacing w:line="600" w:lineRule="exact"/>
        <w:ind w:firstLine="640" w:firstLineChars="200"/>
        <w:rPr>
          <w:rFonts w:ascii="楷体_GB2312" w:eastAsia="楷体_GB2312" w:hAnsi="楷体_GB2312" w:cs="楷体_GB2312" w:hint="eastAsia"/>
          <w:b w:val="0"/>
          <w:bCs w:val="0"/>
          <w:szCs w:val="32"/>
        </w:rPr>
      </w:pPr>
      <w:r>
        <w:rPr>
          <w:rFonts w:ascii="楷体_GB2312" w:eastAsia="楷体_GB2312" w:hAnsi="楷体_GB2312" w:cs="楷体_GB2312" w:hint="eastAsia"/>
          <w:b w:val="0"/>
          <w:bCs w:val="0"/>
          <w:szCs w:val="32"/>
        </w:rPr>
        <w:t>（一）项目概要</w:t>
      </w:r>
    </w:p>
    <w:p>
      <w:pPr>
        <w:ind w:firstLine="640" w:firstLineChars="20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本次比赛药物制剂工分为实操部分和笔试部分，笔试部分考察选手的制剂相关理论基础知识。</w:t>
      </w:r>
    </w:p>
    <w:p>
      <w:pPr>
        <w:pStyle w:val="BodyTextFirstIndent"/>
        <w:ind w:firstLine="632"/>
      </w:pPr>
      <w:r>
        <w:rPr>
          <w:rFonts w:hint="eastAsia"/>
        </w:rPr>
        <w:t>实操部分主要考察选手的压片操作技能和GMP符合性。生产前按进入洁净区车间进行准备，按考试要求在规定时间内压片、清场。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</w:pPr>
      <w:r>
        <w:rPr>
          <w:rFonts w:ascii="楷体_GB2312" w:eastAsia="楷体_GB2312" w:hAnsi="楷体_GB2312" w:cs="楷体_GB2312" w:hint="eastAsia"/>
          <w:b w:val="0"/>
          <w:bCs w:val="0"/>
          <w:szCs w:val="32"/>
        </w:rPr>
        <w:t>（</w:t>
      </w:r>
      <w:r>
        <w:rPr>
          <w:rFonts w:ascii="楷体_GB2312" w:eastAsia="楷体_GB2312" w:hAnsi="楷体_GB2312" w:cs="楷体_GB2312" w:hint="eastAsia"/>
          <w:b w:val="0"/>
          <w:bCs w:val="0"/>
          <w:szCs w:val="32"/>
          <w:lang w:val="en-US" w:eastAsia="zh-CN"/>
        </w:rPr>
        <w:t>二</w:t>
      </w:r>
      <w:r>
        <w:rPr>
          <w:rFonts w:ascii="楷体_GB2312" w:eastAsia="楷体_GB2312" w:hAnsi="楷体_GB2312" w:cs="楷体_GB2312" w:hint="eastAsia"/>
          <w:b w:val="0"/>
          <w:bCs w:val="0"/>
          <w:szCs w:val="32"/>
        </w:rPr>
        <w:t>）基本知识与能力要求</w:t>
      </w:r>
    </w:p>
    <w:tbl>
      <w:tblPr>
        <w:tblStyle w:val="TableNormal"/>
        <w:tblW w:w="8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4982"/>
        <w:gridCol w:w="2068"/>
      </w:tblGrid>
      <w:tr>
        <w:tblPrEx>
          <w:tblW w:w="863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/>
          <w:jc w:val="center"/>
        </w:trPr>
        <w:tc>
          <w:tcPr>
            <w:tcW w:w="6570" w:type="dxa"/>
            <w:gridSpan w:val="2"/>
          </w:tcPr>
          <w:p>
            <w:pPr>
              <w:pStyle w:val="Editabletabletext"/>
              <w:snapToGrid w:val="0"/>
              <w:spacing w:line="600" w:lineRule="exact"/>
              <w:jc w:val="center"/>
              <w:rPr>
                <w:rFonts w:asciiTheme="majorEastAsia" w:eastAsiaTheme="majorEastAsia" w:hAnsiTheme="majorEastAsia" w:cstheme="majorEastAsia"/>
                <w:b/>
                <w:caps/>
                <w:color w:val="auto"/>
                <w:sz w:val="24"/>
                <w:lang w:eastAsia="zh-CN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caps/>
                <w:color w:val="auto"/>
                <w:sz w:val="24"/>
                <w:lang w:eastAsia="zh-CN"/>
              </w:rPr>
              <w:t>相关要求</w:t>
            </w:r>
          </w:p>
        </w:tc>
        <w:tc>
          <w:tcPr>
            <w:tcW w:w="2068" w:type="dxa"/>
          </w:tcPr>
          <w:p>
            <w:pPr>
              <w:pStyle w:val="Editabletabletext"/>
              <w:snapToGrid w:val="0"/>
              <w:spacing w:line="600" w:lineRule="exact"/>
              <w:rPr>
                <w:rFonts w:asciiTheme="majorEastAsia" w:eastAsiaTheme="majorEastAsia" w:hAnsiTheme="majorEastAsia" w:cstheme="majorEastAsia"/>
                <w:b/>
                <w:caps/>
                <w:color w:val="auto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caps/>
                <w:color w:val="auto"/>
                <w:sz w:val="24"/>
                <w:lang w:eastAsia="zh-CN"/>
              </w:rPr>
              <w:t>权重比例</w:t>
            </w:r>
            <w:r>
              <w:rPr>
                <w:rFonts w:asciiTheme="majorEastAsia" w:eastAsiaTheme="majorEastAsia" w:hAnsiTheme="majorEastAsia" w:cstheme="majorEastAsia" w:hint="eastAsia"/>
                <w:b/>
                <w:caps/>
                <w:color w:val="auto"/>
                <w:sz w:val="24"/>
              </w:rPr>
              <w:t xml:space="preserve"> (%)</w:t>
            </w:r>
          </w:p>
        </w:tc>
      </w:tr>
      <w:tr>
        <w:tblPrEx>
          <w:tblW w:w="8638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/>
          <w:jc w:val="center"/>
        </w:trPr>
        <w:tc>
          <w:tcPr>
            <w:tcW w:w="1588" w:type="dxa"/>
            <w:vAlign w:val="center"/>
          </w:tcPr>
          <w:p>
            <w:pPr>
              <w:pStyle w:val="Editabletabletext"/>
              <w:snapToGrid w:val="0"/>
              <w:spacing w:line="600" w:lineRule="exact"/>
              <w:jc w:val="center"/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sz w:val="24"/>
                <w:lang w:eastAsia="zh-CN"/>
              </w:rPr>
              <w:t>1</w:t>
            </w:r>
          </w:p>
        </w:tc>
        <w:tc>
          <w:tcPr>
            <w:tcW w:w="4982" w:type="dxa"/>
          </w:tcPr>
          <w:p>
            <w:pPr>
              <w:pStyle w:val="Editabletabletext"/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600" w:lineRule="exact"/>
              <w:ind w:left="0" w:leftChars="0"/>
              <w:jc w:val="left"/>
              <w:textAlignment w:val="auto"/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sz w:val="24"/>
                <w:lang w:eastAsia="zh-CN"/>
              </w:rPr>
              <w:t>理论知识</w:t>
            </w:r>
          </w:p>
        </w:tc>
        <w:tc>
          <w:tcPr>
            <w:tcW w:w="2068" w:type="dxa"/>
            <w:vMerge w:val="restart"/>
            <w:vAlign w:val="center"/>
          </w:tcPr>
          <w:p>
            <w:pPr>
              <w:pStyle w:val="Editabletabletext"/>
              <w:snapToGrid w:val="0"/>
              <w:spacing w:line="600" w:lineRule="exact"/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asciiTheme="minorEastAsia" w:hAnsiTheme="minorEastAsia" w:cstheme="minorEastAsia"/>
                <w:bCs/>
                <w:color w:val="auto"/>
                <w:sz w:val="24"/>
                <w:lang w:eastAsia="zh-CN"/>
              </w:rPr>
              <w:t>2</w:t>
            </w:r>
            <w:r>
              <w:rPr>
                <w:rFonts w:asciiTheme="minorEastAsia" w:hAnsiTheme="minorEastAsia" w:cstheme="minorEastAsia" w:hint="eastAsia"/>
                <w:bCs/>
                <w:color w:val="auto"/>
                <w:sz w:val="24"/>
                <w:lang w:eastAsia="zh-CN"/>
              </w:rPr>
              <w:t>0</w:t>
            </w:r>
          </w:p>
        </w:tc>
      </w:tr>
      <w:tr>
        <w:tblPrEx>
          <w:tblW w:w="8638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/>
          <w:jc w:val="center"/>
        </w:trPr>
        <w:tc>
          <w:tcPr>
            <w:tcW w:w="1588" w:type="dxa"/>
            <w:vAlign w:val="center"/>
          </w:tcPr>
          <w:p>
            <w:pPr>
              <w:pStyle w:val="Editabletabletext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color w:val="auto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auto"/>
                <w:sz w:val="24"/>
                <w:lang w:eastAsia="zh-CN"/>
              </w:rPr>
              <w:t>笔试部分</w:t>
            </w:r>
          </w:p>
        </w:tc>
        <w:tc>
          <w:tcPr>
            <w:tcW w:w="4982" w:type="dxa"/>
            <w:vAlign w:val="center"/>
          </w:tcPr>
          <w:p>
            <w:pPr>
              <w:pStyle w:val="TableBullet"/>
              <w:numPr>
                <w:ilvl w:val="0"/>
                <w:numId w:val="0"/>
              </w:numPr>
              <w:snapToGrid w:val="0"/>
              <w:spacing w:after="0" w:line="600" w:lineRule="exact"/>
              <w:rPr>
                <w:rFonts w:ascii="仿宋_GB2312" w:eastAsia="仿宋_GB2312" w:hAnsi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en-US" w:eastAsia="zh-CN"/>
              </w:rPr>
              <w:t>—药物制剂相关理论基础知识</w:t>
            </w:r>
          </w:p>
          <w:p>
            <w:pPr>
              <w:pStyle w:val="TableBullet"/>
              <w:numPr>
                <w:ilvl w:val="0"/>
                <w:numId w:val="0"/>
              </w:numPr>
              <w:snapToGrid w:val="0"/>
              <w:spacing w:after="0" w:line="600" w:lineRule="exac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—GMP要求</w:t>
            </w:r>
          </w:p>
          <w:p>
            <w:pPr>
              <w:pStyle w:val="TableBullet"/>
              <w:numPr>
                <w:ilvl w:val="0"/>
                <w:numId w:val="0"/>
              </w:numPr>
              <w:snapToGrid w:val="0"/>
              <w:spacing w:after="0" w:line="600" w:lineRule="exact"/>
              <w:rPr>
                <w:rStyle w:val="Editable"/>
                <w:rFonts w:ascii="仿宋_GB2312" w:eastAsia="仿宋_GB2312" w:hAnsi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Style w:val="Editable"/>
                <w:rFonts w:ascii="仿宋_GB2312" w:eastAsia="仿宋_GB2312" w:hAnsi="仿宋_GB2312" w:cs="仿宋_GB2312" w:hint="eastAsia"/>
                <w:color w:val="auto"/>
                <w:sz w:val="24"/>
                <w:szCs w:val="24"/>
                <w:lang w:eastAsia="zh-CN"/>
              </w:rPr>
              <w:t>—药典等指导原则</w:t>
            </w:r>
          </w:p>
          <w:p>
            <w:pPr>
              <w:pStyle w:val="TableBullet"/>
              <w:numPr>
                <w:ilvl w:val="0"/>
                <w:numId w:val="0"/>
              </w:numPr>
              <w:snapToGrid w:val="0"/>
              <w:spacing w:after="0" w:line="600" w:lineRule="exact"/>
              <w:rPr>
                <w:rStyle w:val="Editable"/>
                <w:rFonts w:ascii="仿宋_GB2312" w:eastAsia="仿宋_GB2312" w:hAnsi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Style w:val="Editable"/>
                <w:rFonts w:ascii="仿宋_GB2312" w:eastAsia="仿宋_GB2312" w:hAnsi="仿宋_GB2312" w:cs="仿宋_GB2312" w:hint="eastAsia"/>
                <w:color w:val="auto"/>
                <w:sz w:val="24"/>
                <w:szCs w:val="24"/>
                <w:lang w:eastAsia="zh-CN"/>
              </w:rPr>
              <w:t>—题型：单选题、多选题、判断题</w:t>
            </w:r>
          </w:p>
          <w:p>
            <w:pPr>
              <w:pStyle w:val="TableBullet"/>
              <w:numPr>
                <w:ilvl w:val="0"/>
                <w:numId w:val="0"/>
              </w:numPr>
              <w:snapToGrid w:val="0"/>
              <w:spacing w:after="0" w:line="600" w:lineRule="exact"/>
              <w:rPr>
                <w:rStyle w:val="Editable"/>
                <w:rFonts w:ascii="仿宋_GB2312" w:eastAsia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Editable"/>
                <w:rFonts w:ascii="仿宋_GB2312" w:eastAsia="仿宋_GB2312" w:hAnsi="仿宋_GB2312" w:cs="仿宋_GB2312" w:hint="eastAsia"/>
                <w:color w:val="auto"/>
                <w:sz w:val="24"/>
                <w:szCs w:val="24"/>
                <w:lang w:eastAsia="zh-CN"/>
              </w:rPr>
              <w:t>—考试形式：线上</w:t>
            </w:r>
          </w:p>
        </w:tc>
        <w:tc>
          <w:tcPr>
            <w:tcW w:w="2068" w:type="dxa"/>
            <w:vMerge/>
            <w:vAlign w:val="center"/>
          </w:tcPr>
          <w:p>
            <w:pPr>
              <w:snapToGrid w:val="0"/>
              <w:spacing w:line="600" w:lineRule="exact"/>
              <w:jc w:val="left"/>
              <w:rPr>
                <w:rFonts w:asciiTheme="minorEastAsia" w:hAnsiTheme="minorEastAsia" w:cstheme="minorEastAsia"/>
                <w:bCs/>
                <w:sz w:val="24"/>
                <w:lang w:val="en-GB"/>
              </w:rPr>
            </w:pPr>
          </w:p>
        </w:tc>
      </w:tr>
      <w:tr>
        <w:tblPrEx>
          <w:tblW w:w="8638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/>
          <w:jc w:val="center"/>
        </w:trPr>
        <w:tc>
          <w:tcPr>
            <w:tcW w:w="1588" w:type="dxa"/>
            <w:vAlign w:val="center"/>
          </w:tcPr>
          <w:p>
            <w:pPr>
              <w:pStyle w:val="Editabletabletext"/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600" w:lineRule="exact"/>
              <w:ind w:left="0" w:leftChars="0"/>
              <w:jc w:val="left"/>
              <w:textAlignment w:val="auto"/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sz w:val="24"/>
                <w:lang w:eastAsia="zh-CN"/>
              </w:rPr>
              <w:t>2</w:t>
            </w:r>
          </w:p>
        </w:tc>
        <w:tc>
          <w:tcPr>
            <w:tcW w:w="4982" w:type="dxa"/>
            <w:vAlign w:val="center"/>
          </w:tcPr>
          <w:p>
            <w:pPr>
              <w:pStyle w:val="Editabletabletext"/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600" w:lineRule="exact"/>
              <w:ind w:left="0" w:leftChars="0"/>
              <w:jc w:val="left"/>
              <w:textAlignment w:val="auto"/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sz w:val="24"/>
                <w:lang w:eastAsia="zh-CN"/>
              </w:rPr>
              <w:t>实际操作能力</w:t>
            </w:r>
          </w:p>
        </w:tc>
        <w:tc>
          <w:tcPr>
            <w:tcW w:w="2068" w:type="dxa"/>
            <w:vMerge w:val="restart"/>
            <w:vAlign w:val="center"/>
          </w:tcPr>
          <w:p>
            <w:pPr>
              <w:pStyle w:val="Editabletabletext"/>
              <w:snapToGrid w:val="0"/>
              <w:spacing w:line="600" w:lineRule="exact"/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</w:rPr>
            </w:pPr>
            <w:r>
              <w:rPr>
                <w:rFonts w:asciiTheme="minorEastAsia" w:hAnsiTheme="minorEastAsia" w:cstheme="minorEastAsia"/>
                <w:bCs/>
                <w:color w:val="auto"/>
                <w:sz w:val="24"/>
                <w:lang w:eastAsia="zh-CN"/>
              </w:rPr>
              <w:t>8</w:t>
            </w:r>
            <w:r>
              <w:rPr>
                <w:rFonts w:asciiTheme="minorEastAsia" w:hAnsiTheme="minorEastAsia" w:cstheme="minorEastAsia" w:hint="eastAsia"/>
                <w:bCs/>
                <w:color w:val="auto"/>
                <w:sz w:val="24"/>
                <w:lang w:eastAsia="zh-CN"/>
              </w:rPr>
              <w:t>0</w:t>
            </w:r>
          </w:p>
        </w:tc>
      </w:tr>
      <w:tr>
        <w:tblPrEx>
          <w:tblW w:w="8638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/>
          <w:jc w:val="center"/>
        </w:trPr>
        <w:tc>
          <w:tcPr>
            <w:tcW w:w="1588" w:type="dxa"/>
            <w:vAlign w:val="center"/>
          </w:tcPr>
          <w:p>
            <w:pPr>
              <w:pStyle w:val="Editabletabletext"/>
              <w:snapToGrid w:val="0"/>
              <w:spacing w:line="600" w:lineRule="exact"/>
              <w:jc w:val="center"/>
              <w:rPr>
                <w:rFonts w:ascii="仿宋_GB2312" w:eastAsia="仿宋_GB2312" w:hAnsi="仿宋_GB2312" w:cs="仿宋_GB2312"/>
                <w:color w:val="auto"/>
                <w:sz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auto"/>
                <w:sz w:val="24"/>
                <w:lang w:eastAsia="zh-CN"/>
              </w:rPr>
              <w:t>实操部分</w:t>
            </w:r>
          </w:p>
        </w:tc>
        <w:tc>
          <w:tcPr>
            <w:tcW w:w="4982" w:type="dxa"/>
            <w:vAlign w:val="center"/>
          </w:tcPr>
          <w:p>
            <w:pPr>
              <w:pStyle w:val="TableBullet"/>
              <w:numPr>
                <w:ilvl w:val="0"/>
                <w:numId w:val="0"/>
              </w:numPr>
              <w:snapToGrid w:val="0"/>
              <w:spacing w:after="0" w:line="600" w:lineRule="exact"/>
              <w:rPr>
                <w:rFonts w:ascii="仿宋_GB2312" w:eastAsia="仿宋_GB2312" w:hAnsi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val="en-US" w:eastAsia="zh-CN"/>
              </w:rPr>
              <w:t>—熟悉压片操作流程，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安全操作</w:t>
            </w:r>
          </w:p>
          <w:p>
            <w:pPr>
              <w:pStyle w:val="TableBullet"/>
              <w:numPr>
                <w:ilvl w:val="0"/>
                <w:numId w:val="0"/>
              </w:numPr>
              <w:snapToGrid w:val="0"/>
              <w:spacing w:after="0" w:line="600" w:lineRule="exact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—熟悉车间GMP操作流程</w:t>
            </w:r>
          </w:p>
          <w:p>
            <w:pPr>
              <w:pStyle w:val="TableBullet"/>
              <w:numPr>
                <w:ilvl w:val="0"/>
                <w:numId w:val="0"/>
              </w:numPr>
              <w:snapToGrid w:val="0"/>
              <w:spacing w:after="0" w:line="600" w:lineRule="exact"/>
              <w:rPr>
                <w:rFonts w:ascii="仿宋_GB2312" w:eastAsia="仿宋_GB2312" w:hAnsi="仿宋_GB2312" w:cs="仿宋_GB2312"/>
                <w:sz w:val="24"/>
                <w:szCs w:val="24"/>
                <w:lang w:val="en-US" w:eastAsia="zh-CN"/>
              </w:rPr>
            </w:pPr>
            <w:r>
              <w:rPr>
                <w:rStyle w:val="Editable"/>
                <w:rFonts w:ascii="仿宋_GB2312" w:eastAsia="仿宋_GB2312" w:hAnsi="仿宋_GB2312" w:cs="仿宋_GB2312" w:hint="eastAsia"/>
                <w:color w:val="auto"/>
                <w:sz w:val="24"/>
                <w:szCs w:val="24"/>
                <w:lang w:eastAsia="zh-CN"/>
              </w:rPr>
              <w:t>—考试形式：实际上机操作</w:t>
            </w:r>
          </w:p>
        </w:tc>
        <w:tc>
          <w:tcPr>
            <w:tcW w:w="2068" w:type="dxa"/>
            <w:vMerge/>
            <w:vAlign w:val="center"/>
          </w:tcPr>
          <w:p>
            <w:pPr>
              <w:snapToGrid w:val="0"/>
              <w:spacing w:line="600" w:lineRule="exact"/>
              <w:jc w:val="left"/>
              <w:rPr>
                <w:rFonts w:ascii="LinTimes" w:hAnsi="LinTimes" w:cs="LinTimes" w:hint="eastAsia"/>
                <w:b/>
                <w:sz w:val="24"/>
                <w:lang w:val="en-GB"/>
              </w:rPr>
            </w:pPr>
          </w:p>
        </w:tc>
      </w:tr>
    </w:tbl>
    <w:p>
      <w:pPr>
        <w:sectPr>
          <w:headerReference w:type="default" r:id="rId13"/>
          <w:footerReference w:type="default" r:id="rId14"/>
          <w:pgSz w:w="11906" w:h="16838"/>
          <w:pgMar w:top="2098" w:right="1531" w:bottom="1814" w:left="1531" w:header="851" w:footer="1587" w:gutter="0"/>
          <w:pgNumType w:fmt="decimal" w:start="1"/>
          <w:cols w:num="1" w:space="0"/>
          <w:docGrid w:type="linesAndChars" w:linePitch="319" w:charSpace="0"/>
        </w:sectPr>
      </w:pPr>
    </w:p>
    <w:tbl>
      <w:tblPr>
        <w:tblStyle w:val="TableNormal"/>
        <w:tblW w:w="8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4982"/>
        <w:gridCol w:w="2068"/>
      </w:tblGrid>
      <w:tr>
        <w:tblPrEx>
          <w:tblW w:w="863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/>
          <w:jc w:val="center"/>
        </w:trPr>
        <w:tc>
          <w:tcPr>
            <w:tcW w:w="1588" w:type="dxa"/>
            <w:vAlign w:val="center"/>
          </w:tcPr>
          <w:p>
            <w:pPr>
              <w:pStyle w:val="Editabletabletext"/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600" w:lineRule="exact"/>
              <w:ind w:left="0" w:leftChars="0"/>
              <w:jc w:val="left"/>
              <w:textAlignment w:val="auto"/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sz w:val="24"/>
                <w:lang w:eastAsia="zh-CN"/>
              </w:rPr>
              <w:t>合计</w:t>
            </w:r>
          </w:p>
        </w:tc>
        <w:tc>
          <w:tcPr>
            <w:tcW w:w="4982" w:type="dxa"/>
            <w:vAlign w:val="center"/>
          </w:tcPr>
          <w:p>
            <w:pPr>
              <w:pStyle w:val="Editabletabletext"/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snapToGrid w:val="0"/>
              <w:spacing w:beforeAutospacing="0" w:afterAutospacing="0" w:line="600" w:lineRule="exact"/>
              <w:ind w:left="0" w:leftChars="0"/>
              <w:jc w:val="left"/>
              <w:textAlignment w:val="auto"/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auto"/>
                <w:sz w:val="24"/>
                <w:lang w:val="en-US" w:eastAsia="zh-CN"/>
              </w:rPr>
              <w:t>——</w:t>
            </w:r>
          </w:p>
        </w:tc>
        <w:tc>
          <w:tcPr>
            <w:tcW w:w="2068" w:type="dxa"/>
            <w:vAlign w:val="center"/>
          </w:tcPr>
          <w:p>
            <w:pPr>
              <w:pStyle w:val="Editabletabletext"/>
              <w:snapToGrid w:val="0"/>
              <w:spacing w:line="600" w:lineRule="exact"/>
              <w:jc w:val="center"/>
              <w:rPr>
                <w:rFonts w:asciiTheme="minorEastAsia" w:hAnsiTheme="minorEastAsia" w:cstheme="minorEastAsia"/>
                <w:bCs/>
                <w:color w:val="auto"/>
                <w:sz w:val="24"/>
                <w:lang w:eastAsia="zh-CN"/>
              </w:rPr>
            </w:pPr>
            <w:r>
              <w:rPr>
                <w:rFonts w:asciiTheme="minorEastAsia" w:hAnsiTheme="minorEastAsia" w:cstheme="minorEastAsia" w:hint="eastAsia"/>
                <w:bCs/>
                <w:color w:val="auto"/>
                <w:sz w:val="24"/>
                <w:lang w:eastAsia="zh-CN"/>
              </w:rPr>
              <w:t>100</w:t>
            </w:r>
          </w:p>
        </w:tc>
      </w:tr>
    </w:tbl>
    <w:p>
      <w:pPr>
        <w:spacing w:line="600" w:lineRule="exact"/>
        <w:ind w:firstLine="320" w:firstLineChars="100"/>
        <w:rPr>
          <w:rFonts w:ascii="LinTimes" w:eastAsia="黑体" w:hAnsi="LinTimes" w:cs="LinTimes"/>
          <w:bCs/>
          <w:szCs w:val="32"/>
        </w:rPr>
      </w:pPr>
    </w:p>
    <w:p>
      <w:pPr>
        <w:spacing w:line="600" w:lineRule="exact"/>
        <w:ind w:firstLine="320" w:firstLineChars="100"/>
        <w:rPr>
          <w:rFonts w:ascii="LinTimes" w:eastAsia="黑体" w:hAnsi="LinTimes" w:cs="LinTimes" w:hint="eastAsia"/>
          <w:bCs/>
          <w:szCs w:val="32"/>
        </w:rPr>
      </w:pPr>
      <w:r>
        <w:rPr>
          <w:rFonts w:ascii="LinTimes" w:eastAsia="黑体" w:hAnsi="LinTimes" w:cs="LinTimes"/>
          <w:bCs/>
          <w:szCs w:val="32"/>
        </w:rPr>
        <w:t>二、试题与评判标准</w:t>
      </w:r>
    </w:p>
    <w:p>
      <w:pPr>
        <w:spacing w:line="600" w:lineRule="exact"/>
        <w:ind w:firstLine="640" w:firstLineChars="200"/>
        <w:rPr>
          <w:rFonts w:ascii="楷体_GB2312" w:eastAsia="楷体_GB2312" w:hAnsi="楷体_GB2312" w:cs="楷体_GB2312" w:hint="eastAsia"/>
          <w:b w:val="0"/>
          <w:bCs w:val="0"/>
          <w:szCs w:val="32"/>
        </w:rPr>
      </w:pPr>
      <w:r>
        <w:rPr>
          <w:rFonts w:ascii="楷体_GB2312" w:eastAsia="楷体_GB2312" w:hAnsi="楷体_GB2312" w:cs="楷体_GB2312" w:hint="eastAsia"/>
          <w:b w:val="0"/>
          <w:bCs w:val="0"/>
          <w:szCs w:val="32"/>
        </w:rPr>
        <w:t>（一）试题</w:t>
      </w:r>
    </w:p>
    <w:p>
      <w:pPr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主要包括笔试操作和实际操作两部分内容。</w:t>
      </w:r>
    </w:p>
    <w:p>
      <w:pPr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笔试部分采用线上的方式，试题形式主要为单选题、多选题、判断题。考试题库及公布方式详见通知。</w:t>
      </w:r>
    </w:p>
    <w:p>
      <w:pPr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实操部分为压片操作，压片机为翰林航宇公司的GZP-26A和GZP-40型高速压片机（带工具箱），选手在规定时间内按试题要求压制出合格制剂成品。</w:t>
      </w:r>
    </w:p>
    <w:p>
      <w:pPr>
        <w:spacing w:line="600" w:lineRule="exact"/>
        <w:ind w:firstLine="640" w:firstLineChars="200"/>
        <w:rPr>
          <w:rFonts w:ascii="楷体_GB2312" w:eastAsia="楷体_GB2312" w:hAnsi="楷体_GB2312" w:cs="楷体_GB2312" w:hint="eastAsia"/>
          <w:b w:val="0"/>
          <w:bCs w:val="0"/>
          <w:szCs w:val="32"/>
        </w:rPr>
      </w:pPr>
      <w:r>
        <w:rPr>
          <w:rFonts w:ascii="楷体_GB2312" w:eastAsia="楷体_GB2312" w:hAnsi="楷体_GB2312" w:cs="楷体_GB2312" w:hint="eastAsia"/>
          <w:b w:val="0"/>
          <w:bCs w:val="0"/>
          <w:szCs w:val="32"/>
        </w:rPr>
        <w:t>（二）比赛时间及试题具体内容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leftChars="0" w:rightChars="0" w:firstLineChars="200"/>
        <w:jc w:val="both"/>
        <w:textAlignment w:val="auto"/>
        <w:outlineLvl w:val="9"/>
        <w:rPr>
          <w:rFonts w:ascii="仿宋_GB2312" w:eastAsia="仿宋_GB2312" w:hAnsi="仿宋_GB2312" w:cs="仿宋_GB2312"/>
          <w:color w:val="FF0000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1.比赛时间安排：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val="en-US" w:eastAsia="zh-CN"/>
        </w:rPr>
        <w:t>10月20日上午10：30-12:30实操第一组考核，14:00-17:00实操第二组考核；10月21日上午8:30-12:30实操第三组考核；10月21日下午14:00至-15:30理论考试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2.试题：</w:t>
      </w:r>
    </w:p>
    <w:p>
      <w:pPr>
        <w:pStyle w:val="BodyTextFirstIndent"/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  <w:sectPr>
          <w:headerReference w:type="default" r:id="rId15"/>
          <w:footerReference w:type="default" r:id="rId16"/>
          <w:type w:val="nextPage"/>
          <w:pgSz w:w="11906" w:h="16838"/>
          <w:pgMar w:top="2098" w:right="1531" w:bottom="1814" w:left="1531" w:header="851" w:footer="1587" w:gutter="0"/>
          <w:pgNumType w:fmt="decimal" w:start="2"/>
          <w:cols w:num="1" w:space="0"/>
          <w:titlePg w:val="0"/>
          <w:docGrid w:type="linesAndChars" w:linePitch="319" w:charSpace="0"/>
        </w:sectPr>
      </w:pPr>
      <w:r>
        <w:rPr>
          <w:rFonts w:hint="eastAsia"/>
        </w:rPr>
        <w:t>笔试部分：</w:t>
      </w:r>
      <w:r>
        <w:rPr>
          <w:rFonts w:ascii="仿宋_GB2312" w:hAnsi="仿宋_GB2312" w:cs="仿宋_GB2312" w:hint="eastAsia"/>
          <w:szCs w:val="32"/>
        </w:rPr>
        <w:t>试题形式主要为单选题、多选题、判断题，采用线上统一时间答题。</w:t>
      </w:r>
    </w:p>
    <w:p>
      <w:pPr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实操部分：选手于竞赛现场采用规定压片机、天平、硬度仪和脆碎度仪等仪器设备，按比赛要求进行操作。</w:t>
      </w:r>
    </w:p>
    <w:p>
      <w:pPr>
        <w:pStyle w:val="BodyTextFirstIndent"/>
        <w:ind w:firstLine="632"/>
      </w:pPr>
      <w:r>
        <w:rPr>
          <w:rFonts w:hint="eastAsia"/>
        </w:rPr>
        <w:t>(1)</w:t>
      </w:r>
      <w:r>
        <w:rPr>
          <w:rFonts w:hint="eastAsia"/>
        </w:rPr>
        <w:tab/>
      </w:r>
      <w:r>
        <w:rPr>
          <w:rFonts w:hint="eastAsia"/>
        </w:rPr>
        <w:t>总分：100分，其中考前准备占5分、考后清场占6分，共占11分；压片操作考试总分占89分。</w:t>
      </w:r>
    </w:p>
    <w:p>
      <w:pPr>
        <w:pStyle w:val="BodyTextFirstIndent"/>
        <w:ind w:firstLine="632"/>
      </w:pPr>
      <w:r>
        <w:rPr>
          <w:rFonts w:hint="eastAsia"/>
        </w:rPr>
        <w:t>(2)</w:t>
      </w:r>
      <w:r>
        <w:rPr>
          <w:rFonts w:hint="eastAsia"/>
        </w:rPr>
        <w:tab/>
      </w:r>
      <w:r>
        <w:rPr>
          <w:rFonts w:hint="eastAsia"/>
        </w:rPr>
        <w:t>考核时间40分钟。考前准备、考后清场各占5分钟，共占10分钟；压片操作考试占30分钟。</w:t>
      </w:r>
    </w:p>
    <w:p>
      <w:pPr>
        <w:pStyle w:val="BodyTextFirstIndent"/>
        <w:ind w:firstLine="632"/>
      </w:pPr>
      <w:r>
        <w:rPr>
          <w:rFonts w:hint="eastAsia"/>
        </w:rPr>
        <w:t>(3)</w:t>
      </w:r>
      <w:r>
        <w:rPr>
          <w:rFonts w:hint="eastAsia"/>
        </w:rPr>
        <w:tab/>
      </w:r>
      <w:r>
        <w:rPr>
          <w:rFonts w:hint="eastAsia"/>
        </w:rPr>
        <w:t>本次考试唯一负分项为成品检测时间（成品检测包含在考试30min之内，超时扣分），即从满分100分中最多扣除5分，满分变为95~100分。</w:t>
      </w:r>
    </w:p>
    <w:p>
      <w:pPr>
        <w:pStyle w:val="BodyTextFirstIndent"/>
        <w:ind w:firstLine="632"/>
      </w:pPr>
      <w:r>
        <w:rPr>
          <w:rFonts w:hint="eastAsia"/>
        </w:rPr>
        <w:t>(4)</w:t>
      </w:r>
      <w:r>
        <w:rPr>
          <w:rFonts w:hint="eastAsia"/>
        </w:rPr>
        <w:tab/>
      </w:r>
      <w:r>
        <w:rPr>
          <w:rFonts w:hint="eastAsia"/>
        </w:rPr>
        <w:t>参赛形式：两人一组参赛。</w:t>
      </w:r>
    </w:p>
    <w:p>
      <w:pPr>
        <w:pStyle w:val="BodyTextFirstIndent"/>
        <w:ind w:firstLine="632"/>
      </w:pPr>
      <w:r>
        <w:rPr>
          <w:rFonts w:hint="eastAsia"/>
        </w:rPr>
        <w:t>(5)</w:t>
      </w:r>
      <w:r>
        <w:rPr>
          <w:rFonts w:hint="eastAsia"/>
        </w:rPr>
        <w:tab/>
      </w:r>
      <w:r>
        <w:rPr>
          <w:rFonts w:hint="eastAsia"/>
        </w:rPr>
        <w:t>比赛说明：现场设安全员和评委，安全员负责现场安全说明与维护，评委负责比赛评分。考场准备试验服、头套、鞋套、口罩、手套供参赛人员使用。每组提供3kg压片物料，请参赛者节约使用，后续不再提供。</w:t>
      </w:r>
    </w:p>
    <w:p>
      <w:pPr>
        <w:pStyle w:val="BodyTextFirstIndent"/>
        <w:ind w:firstLine="632"/>
      </w:pPr>
      <w:r>
        <w:rPr>
          <w:rFonts w:hint="eastAsia"/>
        </w:rPr>
        <w:t>(6)</w:t>
      </w:r>
      <w:r>
        <w:rPr>
          <w:rFonts w:hint="eastAsia"/>
        </w:rPr>
        <w:tab/>
      </w:r>
      <w:r>
        <w:rPr>
          <w:rFonts w:hint="eastAsia"/>
        </w:rPr>
        <w:t>比赛使用设备的厂家及型号：</w:t>
      </w:r>
    </w:p>
    <w:p>
      <w:pPr>
        <w:pStyle w:val="BodyTextFirstIndent"/>
        <w:ind w:firstLine="632"/>
      </w:pPr>
      <w:r>
        <w:rPr>
          <w:rFonts w:hint="eastAsia"/>
        </w:rPr>
        <w:t>压片机：翰林航宇公司的GZP-26A和GZP-40型高速压片机。</w:t>
      </w:r>
    </w:p>
    <w:p>
      <w:pPr>
        <w:pStyle w:val="BodyTextFirstIndent"/>
        <w:ind w:firstLine="632"/>
      </w:pPr>
      <w:r>
        <w:rPr>
          <w:rFonts w:hint="eastAsia"/>
        </w:rPr>
        <w:t>电子天平：梅特勒电子天平ME204E</w:t>
      </w:r>
    </w:p>
    <w:p>
      <w:pPr>
        <w:pStyle w:val="BodyTextFirstIndent"/>
        <w:ind w:firstLine="632"/>
      </w:pPr>
      <w:r>
        <w:rPr>
          <w:rFonts w:hint="eastAsia"/>
        </w:rPr>
        <w:t>硬度仪：Logan硬度仪HDT-400L或Varian硬度仪VK200</w:t>
      </w:r>
    </w:p>
    <w:p>
      <w:pPr>
        <w:pStyle w:val="BodyTextFirstIndent"/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  <w:sectPr>
          <w:headerReference w:type="default" r:id="rId17"/>
          <w:footerReference w:type="default" r:id="rId18"/>
          <w:type w:val="nextPage"/>
          <w:pgSz w:w="11906" w:h="16838"/>
          <w:pgMar w:top="2098" w:right="1531" w:bottom="1814" w:left="1531" w:header="851" w:footer="1587" w:gutter="0"/>
          <w:pgNumType w:fmt="decimal" w:start="3"/>
          <w:cols w:num="1" w:space="0"/>
          <w:titlePg w:val="0"/>
          <w:docGrid w:type="linesAndChars" w:linePitch="319" w:charSpace="0"/>
        </w:sectPr>
      </w:pPr>
      <w:r>
        <w:rPr>
          <w:rFonts w:hint="eastAsia"/>
        </w:rPr>
        <w:t>脆碎度仪：天大天发脆碎度检查仪FT-2000AE</w:t>
      </w:r>
    </w:p>
    <w:p>
      <w:pPr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/>
          <w:szCs w:val="32"/>
        </w:rPr>
        <w:t>3</w:t>
      </w:r>
      <w:r>
        <w:rPr>
          <w:rFonts w:ascii="仿宋_GB2312" w:eastAsia="仿宋_GB2312" w:hAnsi="仿宋_GB2312" w:cs="仿宋_GB2312" w:hint="eastAsia"/>
          <w:szCs w:val="32"/>
        </w:rPr>
        <w:t>.实操试题：</w:t>
      </w:r>
    </w:p>
    <w:p>
      <w:pPr>
        <w:pStyle w:val="BodyTextFirstIndent"/>
        <w:ind w:firstLine="632"/>
      </w:pPr>
      <w:r>
        <w:rPr>
          <w:rFonts w:hint="eastAsia"/>
        </w:rPr>
        <w:t>一、考试前准备（5分钟）</w:t>
      </w:r>
    </w:p>
    <w:p>
      <w:pPr>
        <w:pStyle w:val="BodyTextFirstIndent"/>
        <w:ind w:firstLine="632"/>
      </w:pPr>
      <w:r>
        <w:rPr>
          <w:rFonts w:hint="eastAsia"/>
        </w:rPr>
        <w:t>按照进入“一更”要求进行着装，并领取考试物料并复核</w:t>
      </w:r>
    </w:p>
    <w:p>
      <w:pPr>
        <w:pStyle w:val="BodyTextFirstIndent"/>
        <w:ind w:firstLine="632"/>
      </w:pPr>
    </w:p>
    <w:p>
      <w:pPr>
        <w:pStyle w:val="BodyTextFirstIndent"/>
        <w:ind w:firstLine="632"/>
      </w:pPr>
      <w:r>
        <w:rPr>
          <w:rFonts w:hint="eastAsia"/>
        </w:rPr>
        <w:t>二、压片考试（30分钟）</w:t>
      </w:r>
    </w:p>
    <w:p>
      <w:pPr>
        <w:pStyle w:val="BodyTextFirstIndent"/>
        <w:ind w:firstLine="632"/>
      </w:pPr>
      <w:r>
        <w:rPr>
          <w:rFonts w:hint="eastAsia"/>
        </w:rPr>
        <w:t>开始时间：     时    分</w:t>
      </w:r>
    </w:p>
    <w:p>
      <w:pPr>
        <w:pStyle w:val="BodyTextFirstIndent"/>
        <w:ind w:firstLine="632"/>
      </w:pPr>
      <w:r>
        <w:rPr>
          <w:rFonts w:hint="eastAsia"/>
        </w:rPr>
        <w:t>要求：片重：0.150g，平均硬度3~6KP，单片硬度差异2~7KP，脆碎度≤1%。</w:t>
      </w:r>
    </w:p>
    <w:p>
      <w:pPr>
        <w:pStyle w:val="BodyTextFirstIndent"/>
        <w:ind w:firstLine="632"/>
      </w:pPr>
      <w:r>
        <w:rPr>
          <w:rFonts w:hint="eastAsia"/>
        </w:rPr>
        <w:t>压片完毕，将全部成品交给裁判，用裁判取样的样品检测20片平均片重、片重差异，6片硬度，脆碎度。剩余成品称重。</w:t>
      </w:r>
    </w:p>
    <w:p>
      <w:pPr>
        <w:pStyle w:val="BodyTextFirstIndent"/>
        <w:ind w:firstLine="632"/>
      </w:pPr>
      <w:r>
        <w:rPr>
          <w:rFonts w:hint="eastAsia"/>
        </w:rPr>
        <w:t>所有打印条黏贴于背面。</w:t>
      </w:r>
    </w:p>
    <w:p>
      <w:pPr>
        <w:pStyle w:val="BodyTextFirstIndent"/>
        <w:ind w:firstLine="632"/>
      </w:pPr>
    </w:p>
    <w:p>
      <w:pPr>
        <w:pStyle w:val="BodyTextFirstIndent"/>
        <w:ind w:firstLine="632"/>
      </w:pPr>
      <w:r>
        <w:rPr>
          <w:rFonts w:hint="eastAsia"/>
        </w:rPr>
        <w:t>三、清场考试（5分钟）</w:t>
      </w:r>
    </w:p>
    <w:p>
      <w:pPr>
        <w:pStyle w:val="BodyTextFirstIndent"/>
        <w:spacing w:line="600" w:lineRule="exact"/>
        <w:ind w:firstLine="640" w:firstLineChars="200"/>
      </w:pPr>
      <w:r>
        <w:rPr>
          <w:rFonts w:hint="eastAsia"/>
        </w:rPr>
        <w:t>将压片机拆卸及清理至考前状态。</w:t>
      </w:r>
    </w:p>
    <w:p>
      <w:pPr>
        <w:pStyle w:val="BodyTextFirstIndent"/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</w:pPr>
    </w:p>
    <w:p>
      <w:pPr>
        <w:spacing w:line="600" w:lineRule="exact"/>
        <w:ind w:firstLine="640" w:firstLineChars="200"/>
        <w:rPr>
          <w:rFonts w:ascii="楷体_GB2312" w:eastAsia="楷体_GB2312" w:hAnsi="楷体_GB2312" w:cs="楷体_GB2312" w:hint="eastAsia"/>
          <w:b w:val="0"/>
          <w:bCs w:val="0"/>
          <w:szCs w:val="32"/>
        </w:rPr>
      </w:pPr>
      <w:r>
        <w:rPr>
          <w:rFonts w:ascii="楷体_GB2312" w:eastAsia="楷体_GB2312" w:hAnsi="楷体_GB2312" w:cs="楷体_GB2312" w:hint="eastAsia"/>
          <w:b w:val="0"/>
          <w:bCs w:val="0"/>
          <w:szCs w:val="32"/>
        </w:rPr>
        <w:t>（三）评判标准</w:t>
      </w:r>
    </w:p>
    <w:p>
      <w:pPr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1.分数权重：</w:t>
      </w:r>
    </w:p>
    <w:p>
      <w:pPr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  <w:sectPr>
          <w:headerReference w:type="default" r:id="rId19"/>
          <w:footerReference w:type="default" r:id="rId20"/>
          <w:type w:val="nextPage"/>
          <w:pgSz w:w="11906" w:h="16838"/>
          <w:pgMar w:top="2098" w:right="1531" w:bottom="1814" w:left="1531" w:header="851" w:footer="1587" w:gutter="0"/>
          <w:pgNumType w:fmt="decimal" w:start="4"/>
          <w:cols w:num="1" w:space="0"/>
          <w:titlePg w:val="0"/>
          <w:docGrid w:type="linesAndChars" w:linePitch="319" w:charSpace="0"/>
        </w:sectPr>
      </w:pPr>
      <w:r>
        <w:rPr>
          <w:rFonts w:ascii="仿宋_GB2312" w:eastAsia="仿宋_GB2312" w:hAnsi="仿宋_GB2312" w:cs="仿宋_GB2312" w:hint="eastAsia"/>
          <w:szCs w:val="32"/>
        </w:rPr>
        <w:t>药物制剂工竞赛分为笔试和实操两部分，个人成绩满分1</w:t>
      </w:r>
      <w:r>
        <w:rPr>
          <w:rFonts w:ascii="仿宋_GB2312" w:eastAsia="仿宋_GB2312" w:hAnsi="仿宋_GB2312" w:cs="仿宋_GB2312"/>
          <w:szCs w:val="32"/>
        </w:rPr>
        <w:t>00</w:t>
      </w:r>
    </w:p>
    <w:p>
      <w:pPr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  <w:lang w:val="en-US" w:eastAsia="zh-CN"/>
        </w:rPr>
        <w:t>分</w:t>
      </w:r>
      <w:r>
        <w:rPr>
          <w:rFonts w:ascii="仿宋_GB2312" w:eastAsia="仿宋_GB2312" w:hAnsi="仿宋_GB2312" w:cs="仿宋_GB2312" w:hint="eastAsia"/>
          <w:szCs w:val="32"/>
        </w:rPr>
        <w:t>，笔试和实操占比为</w:t>
      </w:r>
      <w:r>
        <w:rPr>
          <w:rFonts w:ascii="仿宋_GB2312" w:eastAsia="仿宋_GB2312" w:hAnsi="仿宋_GB2312" w:cs="仿宋_GB2312"/>
          <w:szCs w:val="32"/>
        </w:rPr>
        <w:t>2</w:t>
      </w:r>
      <w:r>
        <w:rPr>
          <w:rFonts w:ascii="仿宋_GB2312" w:eastAsia="仿宋_GB2312" w:hAnsi="仿宋_GB2312" w:cs="仿宋_GB2312" w:hint="eastAsia"/>
          <w:szCs w:val="32"/>
        </w:rPr>
        <w:t>:</w:t>
      </w:r>
      <w:r>
        <w:rPr>
          <w:rFonts w:ascii="仿宋_GB2312" w:eastAsia="仿宋_GB2312" w:hAnsi="仿宋_GB2312" w:cs="仿宋_GB2312"/>
          <w:szCs w:val="32"/>
        </w:rPr>
        <w:t>8</w:t>
      </w:r>
      <w:r>
        <w:rPr>
          <w:rFonts w:ascii="仿宋_GB2312" w:eastAsia="仿宋_GB2312" w:hAnsi="仿宋_GB2312" w:cs="仿宋_GB2312" w:hint="eastAsia"/>
          <w:szCs w:val="32"/>
        </w:rPr>
        <w:t>，笔试以个人成绩计入总成绩，实操两人一组，每组成绩计入个人总成绩。</w:t>
      </w:r>
    </w:p>
    <w:p>
      <w:pPr>
        <w:pStyle w:val="BodyTextFirstIndent"/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</w:pPr>
      <w:r>
        <w:rPr>
          <w:rFonts w:hint="eastAsia"/>
        </w:rPr>
        <w:t>排名以个人总成绩进行排名。</w:t>
      </w:r>
    </w:p>
    <w:p>
      <w:pPr>
        <w:spacing w:line="600" w:lineRule="exact"/>
        <w:ind w:firstLine="640" w:firstLineChars="20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2.评判方法：</w:t>
      </w:r>
    </w:p>
    <w:p>
      <w:pPr>
        <w:pStyle w:val="BodyTextFirstIndent"/>
        <w:spacing w:line="60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/>
        </w:rPr>
        <w:t>每场考试</w:t>
      </w:r>
      <w:r>
        <w:t>2</w:t>
      </w:r>
      <w:r>
        <w:rPr>
          <w:rFonts w:hint="eastAsia"/>
        </w:rPr>
        <w:t>组（4人）同时进行，由</w:t>
      </w:r>
      <w:r>
        <w:t>3</w:t>
      </w:r>
      <w:r>
        <w:rPr>
          <w:rFonts w:hint="eastAsia"/>
        </w:rPr>
        <w:t>名裁判共同</w:t>
      </w:r>
      <w:r>
        <w:rPr>
          <w:rFonts w:ascii="仿宋_GB2312" w:hAnsi="仿宋_GB2312" w:cs="仿宋_GB2312" w:hint="eastAsia"/>
          <w:szCs w:val="32"/>
        </w:rPr>
        <w:t>评判，其中一名为</w:t>
      </w:r>
      <w:r>
        <w:rPr>
          <w:rFonts w:hint="eastAsia"/>
        </w:rPr>
        <w:t>裁判长，另2名为裁判员，2名裁判员负责评分，裁判长负责统分，评分时2名裁判员</w:t>
      </w:r>
      <w:r>
        <w:rPr>
          <w:rFonts w:ascii="仿宋_GB2312" w:hAnsi="仿宋_GB2312" w:cs="仿宋_GB2312" w:hint="eastAsia"/>
          <w:szCs w:val="32"/>
        </w:rPr>
        <w:t>如出现评分差异过大时由裁判员根据选手现场表现酌情处理，确定最终分数。</w:t>
      </w:r>
    </w:p>
    <w:p>
      <w:pPr>
        <w:pStyle w:val="BodyTextFirstIndent"/>
        <w:ind w:firstLine="632"/>
      </w:pPr>
      <w:r>
        <w:rPr>
          <w:rFonts w:hint="eastAsia"/>
        </w:rPr>
        <w:t>2.1进行生产前准备</w:t>
      </w:r>
    </w:p>
    <w:p>
      <w:pPr>
        <w:pStyle w:val="BodyTextFirstIndent"/>
        <w:ind w:firstLine="632"/>
      </w:pPr>
      <w:r>
        <w:rPr>
          <w:rFonts w:hint="eastAsia"/>
        </w:rPr>
        <w:t>（1）抽取考试序号，总计</w:t>
      </w:r>
      <w:r>
        <w:t>14</w:t>
      </w:r>
      <w:r>
        <w:rPr>
          <w:rFonts w:hint="eastAsia"/>
        </w:rPr>
        <w:t>组，每台设备每次考试1组。考生在笔试完毕后，在线上抽取考试序号，按照下表安排按时到考场进行考试，过号做废。</w:t>
      </w:r>
    </w:p>
    <w:p>
      <w:pPr>
        <w:pStyle w:val="BodyTextFirstIndent"/>
        <w:ind w:firstLine="632"/>
      </w:pPr>
      <w:r>
        <w:rPr>
          <w:rFonts w:hint="eastAsia"/>
        </w:rPr>
        <w:t>（2）着装</w:t>
      </w:r>
    </w:p>
    <w:p>
      <w:pPr>
        <w:pStyle w:val="BodyTextFirstIndent"/>
        <w:ind w:firstLine="632"/>
      </w:pPr>
      <w:r>
        <w:rPr>
          <w:rFonts w:hint="eastAsia"/>
        </w:rPr>
        <w:t>按照进入洁净区要求穿戴白大褂、帽子、手套、口罩、鞋套。</w:t>
      </w:r>
    </w:p>
    <w:p>
      <w:pPr>
        <w:pStyle w:val="BodyTextFirstIndent"/>
        <w:ind w:firstLine="632"/>
      </w:pPr>
      <w:r>
        <w:rPr>
          <w:rFonts w:hint="eastAsia"/>
        </w:rPr>
        <w:t>（3）领用考试物料</w:t>
      </w:r>
    </w:p>
    <w:p>
      <w:pPr>
        <w:pStyle w:val="BodyTextFirstIndent"/>
        <w:ind w:firstLine="632"/>
      </w:pPr>
      <w:r>
        <w:rPr>
          <w:rFonts w:hint="eastAsia"/>
        </w:rPr>
        <w:t>考试后勤人员给考生发放考试用颗粒3kg，考试人员复核称重，确认颗粒重量是否正确，并打印重量，打印条签字，装颗粒的袋子上考生签上自己的名字。</w:t>
      </w:r>
    </w:p>
    <w:p>
      <w:pPr>
        <w:pStyle w:val="BodyTextFirstIndent"/>
        <w:ind w:firstLine="632"/>
        <w:sectPr>
          <w:headerReference w:type="default" r:id="rId21"/>
          <w:footerReference w:type="default" r:id="rId22"/>
          <w:type w:val="nextPage"/>
          <w:pgSz w:w="11906" w:h="16838"/>
          <w:pgMar w:top="2098" w:right="1531" w:bottom="1814" w:left="1531" w:header="851" w:footer="1587" w:gutter="0"/>
          <w:pgNumType w:fmt="decimal" w:start="5"/>
          <w:cols w:num="1" w:space="0"/>
          <w:titlePg w:val="0"/>
          <w:docGrid w:type="linesAndChars" w:linePitch="319" w:charSpace="0"/>
        </w:sectPr>
      </w:pPr>
      <w:r>
        <w:rPr>
          <w:rFonts w:hint="eastAsia"/>
        </w:rPr>
        <w:t>（4）考生领实操考试试卷及计分表，抽取考试设备及裁判</w:t>
      </w:r>
    </w:p>
    <w:p>
      <w:pPr>
        <w:pStyle w:val="BodyTextFirstIndent"/>
        <w:ind w:firstLine="632"/>
      </w:pPr>
      <w:r>
        <w:rPr>
          <w:rFonts w:hint="eastAsia"/>
        </w:rPr>
        <w:t>在考试评分表、考试试卷上签上名字和考号，将领用的考试物料打印条贴计分表背面，将计分表交给本机主考官。</w:t>
      </w:r>
    </w:p>
    <w:p>
      <w:pPr>
        <w:pStyle w:val="BodyTextFirstIndent"/>
        <w:ind w:firstLine="632"/>
      </w:pPr>
      <w:r>
        <w:rPr>
          <w:rFonts w:hint="eastAsia"/>
        </w:rPr>
        <w:t>以上时间控制在5分钟内。</w:t>
      </w:r>
    </w:p>
    <w:p>
      <w:pPr>
        <w:pStyle w:val="BodyTextFirstIndent"/>
        <w:ind w:firstLine="632"/>
      </w:pPr>
      <w:r>
        <w:rPr>
          <w:rFonts w:hint="eastAsia"/>
        </w:rPr>
        <w:t>（5）进入考场，考官宣读考试规则、安全员宣读安全注意事项后（时间控制在5min之内），由考官宣布考试开始，考官以秒表倒计时，考试时长30分钟，考官、安全员和考生确认秒表时间正确并正常运行，考生记录考试开始时间即开始考试。</w:t>
      </w:r>
    </w:p>
    <w:p>
      <w:pPr>
        <w:pStyle w:val="BodyTextFirstIndent"/>
        <w:ind w:firstLine="632"/>
      </w:pPr>
      <w:r>
        <w:rPr>
          <w:rFonts w:hint="eastAsia"/>
        </w:rPr>
        <w:t>2.2生产</w:t>
      </w:r>
    </w:p>
    <w:p>
      <w:pPr>
        <w:pStyle w:val="BodyTextFirstIndent"/>
        <w:ind w:firstLine="632"/>
      </w:pPr>
      <w:r>
        <w:rPr>
          <w:rFonts w:hint="eastAsia"/>
        </w:rPr>
        <w:t>按要求安装好压片机，调整压片机参数，将试验物料压制成符合要求的片子，将压制的所有合格基片交于考官，考官检查后，并随机在片子中抽取10g片子，考生用抽取的片子进行片重差异、硬度、脆碎度检测；取样后剩余的合格片子称重。</w:t>
      </w:r>
    </w:p>
    <w:p>
      <w:pPr>
        <w:pStyle w:val="BodyTextFirstIndent"/>
        <w:ind w:firstLine="632"/>
      </w:pPr>
      <w:r>
        <w:rPr>
          <w:rFonts w:hint="eastAsia"/>
        </w:rPr>
        <w:t>片子要求：</w:t>
      </w:r>
    </w:p>
    <w:p>
      <w:pPr>
        <w:pStyle w:val="BodyTextFirstIndent"/>
        <w:ind w:firstLine="632"/>
      </w:pPr>
      <w:r>
        <w:rPr>
          <w:rFonts w:hint="eastAsia"/>
        </w:rPr>
        <w:t>外观：应完整、光洁，色泽均匀。</w:t>
      </w:r>
    </w:p>
    <w:p>
      <w:pPr>
        <w:pStyle w:val="BodyTextFirstIndent"/>
        <w:ind w:firstLine="632"/>
      </w:pPr>
      <w:r>
        <w:rPr>
          <w:rFonts w:hint="eastAsia"/>
        </w:rPr>
        <w:t>理论片重：0.150g，平均片重：理论片重±3%</w:t>
      </w:r>
    </w:p>
    <w:p>
      <w:pPr>
        <w:pStyle w:val="BodyTextFirstIndent"/>
        <w:ind w:firstLine="632"/>
      </w:pPr>
      <w:r>
        <w:rPr>
          <w:rFonts w:hint="eastAsia"/>
        </w:rPr>
        <w:t>片重差异：±7.5%，超出重量差异限度的不得多于2片，并不得有1片超出限度1倍。</w:t>
      </w:r>
    </w:p>
    <w:p>
      <w:pPr>
        <w:pStyle w:val="BodyTextFirstIndent"/>
        <w:ind w:firstLine="632"/>
      </w:pPr>
      <w:r>
        <w:rPr>
          <w:rFonts w:hint="eastAsia"/>
        </w:rPr>
        <w:t>硬度：3~ 7kp</w:t>
      </w:r>
    </w:p>
    <w:p>
      <w:pPr>
        <w:pStyle w:val="BodyTextFirstIndent"/>
        <w:ind w:firstLine="632"/>
      </w:pPr>
      <w:r>
        <w:rPr>
          <w:rFonts w:hint="eastAsia"/>
        </w:rPr>
        <w:t>脆碎度：≤1%</w:t>
      </w:r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https://d.book118.com/147026154051006045</w:t>
        </w:r>
      </w:hyperlink>
    </w:p>
    <w:p>
      <w:pPr>
        <w:pStyle w:val="BodyTextFirstIndent"/>
        <w:ind w:firstLine="632"/>
      </w:pPr>
    </w:p>
    <w:sectPr>
      <w:headerReference w:type="default" r:id="rId24"/>
      <w:footerReference w:type="default" r:id="rId25"/>
      <w:type w:val="nextPage"/>
      <w:pgSz w:w="11906" w:h="16838"/>
      <w:pgMar w:top="2098" w:right="1531" w:bottom="1814" w:left="1531" w:header="851" w:footer="1587" w:gutter="0"/>
      <w:pgNumType w:fmt="decimal" w:start="6"/>
      <w:cols w:num="1" w:space="0"/>
      <w:titlePg w:val="0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4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Inria Serif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Frutiger LT Com 45 Light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Lin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</w:tabs>
    </w:pPr>
    <w:r>
      <w:rPr>
        <w:rFonts w:hint="eastAsia"/>
      </w:rPr>
      <w:tab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</w:tabs>
    </w:pPr>
    <w: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9983757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054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8480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</w:tabs>
    </w:pP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</w:tabs>
    </w:pPr>
    <w:r>
      <w:rPr>
        <w:rFonts w:hint="eastAsia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</w:tabs>
    </w:pPr>
    <w:r>
      <w:rPr>
        <w:rFonts w:hint="eastAsia"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049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58240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</w:tabs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699062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050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0288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</w:tabs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41412369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2336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</w:tabs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12527708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052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4384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</w:tabs>
    </w:pPr>
    <w: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36133765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053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-text-anchor:top;z-index:251666432" filled="f" fillcolor="this" stroked="f" strokeweight="0.5pt">
              <v:textbox style="mso-fit-shape-to-text:t" inset="0,0,0,0">
                <w:txbxContent>
                  <w:p>
                    <w:pPr>
                      <w:pStyle w:val="Footer"/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1" w:color="auto"/>
      </w:pBdr>
      <w:jc w:val="both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1" w:color="auto"/>
      </w:pBdr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1" w:color="auto"/>
      </w:pBdr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1" w:color="auto"/>
      </w:pBdr>
      <w:jc w:val="both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1" w:color="auto"/>
      </w:pBdr>
      <w:jc w:val="both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1" w:color="auto"/>
      </w:pBdr>
      <w:jc w:val="both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1" w:color="auto"/>
      </w:pBdr>
      <w:jc w:val="both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1" w:color="auto"/>
      </w:pBdr>
      <w:jc w:val="both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1" w:color="auto"/>
      </w:pBdr>
      <w:jc w:val="both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pBdr>
        <w:bottom w:val="none" w:sz="0" w:space="1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4"/>
      <w:numFmt w:val="japaneseCounting"/>
      <w:pStyle w:val="TableBullet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6524A289"/>
    <w:multiLevelType w:val="singleLevel"/>
    <w:tmpl w:val="6524A289"/>
    <w:lvl w:ilvl="0">
      <w:start w:val="2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E16CE6"/>
    <w:rsid w:val="07EA576B"/>
    <w:rsid w:val="36E16CE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BodyTextFirstInden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32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FirstIndent">
    <w:name w:val="Body Text First Indent"/>
    <w:basedOn w:val="BodyText"/>
    <w:pPr>
      <w:spacing w:line="560" w:lineRule="exact"/>
      <w:ind w:firstLine="721" w:firstLineChars="200"/>
    </w:pPr>
    <w:rPr>
      <w:rFonts w:ascii="Calibri"/>
    </w:rPr>
  </w:style>
  <w:style w:type="paragraph" w:styleId="BodyText">
    <w:name w:val="Body Text"/>
    <w:basedOn w:val="Normal"/>
    <w:next w:val="Footer"/>
    <w:rPr>
      <w:rFonts w:ascii="仿宋_GB2312" w:eastAsia="仿宋_GB2312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Title">
    <w:name w:val="Title"/>
    <w:basedOn w:val="Normal"/>
    <w:next w:val="Normal"/>
    <w:qFormat/>
    <w:pPr>
      <w:widowControl/>
      <w:spacing w:line="560" w:lineRule="exact"/>
      <w:contextualSpacing/>
    </w:pPr>
    <w:rPr>
      <w:rFonts w:ascii="Inria Serif" w:hAnsi="Inria Serif" w:cs="Times New Roman (Headings CS)"/>
      <w:b/>
      <w:color w:val="0084AD"/>
      <w:spacing w:val="-10"/>
      <w:kern w:val="28"/>
      <w:sz w:val="50"/>
      <w:szCs w:val="56"/>
      <w:lang w:val="en-AU" w:eastAsia="en-US"/>
    </w:rPr>
  </w:style>
  <w:style w:type="paragraph" w:customStyle="1" w:styleId="Editabletabletext">
    <w:name w:val="Editable table text"/>
    <w:basedOn w:val="Normal"/>
    <w:qFormat/>
    <w:pPr>
      <w:widowControl/>
    </w:pPr>
    <w:rPr>
      <w:rFonts w:ascii="Frutiger LT Com 45 Light" w:hAnsi="Frutiger LT Com 45 Light"/>
      <w:color w:val="62B5E5"/>
      <w:kern w:val="0"/>
      <w:sz w:val="20"/>
      <w:lang w:val="en-GB" w:eastAsia="en-US"/>
    </w:rPr>
  </w:style>
  <w:style w:type="paragraph" w:customStyle="1" w:styleId="TableBullet">
    <w:name w:val="Table Bullet"/>
    <w:basedOn w:val="Normal"/>
    <w:qFormat/>
    <w:pPr>
      <w:widowControl/>
      <w:numPr>
        <w:ilvl w:val="0"/>
        <w:numId w:val="1"/>
      </w:numPr>
      <w:spacing w:after="120"/>
      <w:ind w:left="284" w:hanging="284"/>
      <w:contextualSpacing/>
    </w:pPr>
    <w:rPr>
      <w:rFonts w:ascii="Frutiger LT Com 45 Light" w:hAnsi="Frutiger LT Com 45 Light"/>
      <w:kern w:val="0"/>
      <w:sz w:val="20"/>
      <w:szCs w:val="22"/>
      <w:lang w:val="en-GB" w:eastAsia="en-US"/>
    </w:rPr>
  </w:style>
  <w:style w:type="character" w:customStyle="1" w:styleId="Editable">
    <w:name w:val="Editable"/>
    <w:qFormat/>
    <w:rPr>
      <w:rFonts w:ascii="Times New Roman" w:eastAsia="宋体" w:hAnsi="Times New Roman" w:cs="Times New Roman" w:hint="default"/>
      <w:color w:val="62B5E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header" Target="header7.xml" /><Relationship Id="rId18" Type="http://schemas.openxmlformats.org/officeDocument/2006/relationships/footer" Target="footer7.xml" /><Relationship Id="rId19" Type="http://schemas.openxmlformats.org/officeDocument/2006/relationships/header" Target="header8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hyperlink" Target="https://d.book118.com/147026154051006045" TargetMode="External" /><Relationship Id="rId24" Type="http://schemas.openxmlformats.org/officeDocument/2006/relationships/header" Target="header10.xml" /><Relationship Id="rId25" Type="http://schemas.openxmlformats.org/officeDocument/2006/relationships/footer" Target="footer10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29" Type="http://schemas.microsoft.com/office/2011/relationships/people" Target="people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2023-10-16T08:52:00Z</dcterms:created>
  <dcterms:modified xsi:type="dcterms:W3CDTF">2023-10-16T09:14:49Z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