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医疗仪器设备及器械相关行业公司员工职业发展支持与推动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80" w:history="1">
        <w:r>
          <w:rPr>
            <w:rFonts w:ascii="仿宋" w:eastAsia="仿宋" w:hAnsi="仿宋" w:cs="仿宋" w:hint="eastAsia"/>
            <w:lang w:eastAsia="zh-CN"/>
          </w:rPr>
          <w:t>前言</w:t>
        </w:r>
        <w:r>
          <w:tab/>
        </w:r>
        <w:r>
          <w:fldChar w:fldCharType="begin"/>
        </w:r>
        <w:r>
          <w:instrText xml:space="preserve"> PAGEREF _Toc10080 \h </w:instrText>
        </w:r>
        <w:r>
          <w:fldChar w:fldCharType="separate"/>
        </w:r>
        <w:r>
          <w:t>3</w:t>
        </w:r>
        <w:r>
          <w:fldChar w:fldCharType="end"/>
        </w:r>
      </w:hyperlink>
    </w:p>
    <w:p>
      <w:pPr>
        <w:pStyle w:val="TOC1"/>
        <w:tabs>
          <w:tab w:val="right" w:leader="dot" w:pos="8306"/>
        </w:tabs>
      </w:pPr>
      <w:hyperlink w:anchor="_Toc27801" w:history="1">
        <w:r>
          <w:rPr>
            <w:rFonts w:ascii="仿宋" w:eastAsia="仿宋" w:hAnsi="仿宋" w:cs="仿宋" w:hint="eastAsia"/>
            <w:lang w:eastAsia="zh-CN"/>
          </w:rPr>
          <w:t>一、第七章员工培训与发展</w:t>
        </w:r>
        <w:r>
          <w:tab/>
        </w:r>
        <w:r>
          <w:fldChar w:fldCharType="begin"/>
        </w:r>
        <w:r>
          <w:instrText xml:space="preserve"> PAGEREF _Toc27801 \h </w:instrText>
        </w:r>
        <w:r>
          <w:fldChar w:fldCharType="separate"/>
        </w:r>
        <w:r>
          <w:t>3</w:t>
        </w:r>
        <w:r>
          <w:fldChar w:fldCharType="end"/>
        </w:r>
      </w:hyperlink>
    </w:p>
    <w:p>
      <w:pPr>
        <w:pStyle w:val="TOC2"/>
        <w:tabs>
          <w:tab w:val="right" w:leader="dot" w:pos="8306"/>
        </w:tabs>
      </w:pPr>
      <w:hyperlink w:anchor="_Toc15007" w:history="1">
        <w:r>
          <w:rPr>
            <w:rFonts w:ascii="仿宋" w:eastAsia="仿宋" w:hAnsi="仿宋" w:cs="仿宋" w:hint="eastAsia"/>
            <w:lang w:eastAsia="zh-CN"/>
          </w:rPr>
          <w:t>(一)、培训需求分析</w:t>
        </w:r>
        <w:r>
          <w:tab/>
        </w:r>
        <w:r>
          <w:fldChar w:fldCharType="begin"/>
        </w:r>
        <w:r>
          <w:instrText xml:space="preserve"> PAGEREF _Toc15007 \h </w:instrText>
        </w:r>
        <w:r>
          <w:fldChar w:fldCharType="separate"/>
        </w:r>
        <w:r>
          <w:t>3</w:t>
        </w:r>
        <w:r>
          <w:fldChar w:fldCharType="end"/>
        </w:r>
      </w:hyperlink>
    </w:p>
    <w:p>
      <w:pPr>
        <w:pStyle w:val="TOC2"/>
        <w:tabs>
          <w:tab w:val="right" w:leader="dot" w:pos="8306"/>
        </w:tabs>
      </w:pPr>
      <w:hyperlink w:anchor="_Toc31597" w:history="1">
        <w:r>
          <w:rPr>
            <w:rFonts w:ascii="仿宋" w:eastAsia="仿宋" w:hAnsi="仿宋" w:cs="仿宋" w:hint="eastAsia"/>
            <w:lang w:eastAsia="zh-CN"/>
          </w:rPr>
          <w:t>(二)、培训计划制定</w:t>
        </w:r>
        <w:r>
          <w:tab/>
        </w:r>
        <w:r>
          <w:fldChar w:fldCharType="begin"/>
        </w:r>
        <w:r>
          <w:instrText xml:space="preserve"> PAGEREF _Toc31597 \h </w:instrText>
        </w:r>
        <w:r>
          <w:fldChar w:fldCharType="separate"/>
        </w:r>
        <w:r>
          <w:t>4</w:t>
        </w:r>
        <w:r>
          <w:fldChar w:fldCharType="end"/>
        </w:r>
      </w:hyperlink>
    </w:p>
    <w:p>
      <w:pPr>
        <w:pStyle w:val="TOC2"/>
        <w:tabs>
          <w:tab w:val="right" w:leader="dot" w:pos="8306"/>
        </w:tabs>
      </w:pPr>
      <w:hyperlink w:anchor="_Toc27797" w:history="1">
        <w:r>
          <w:rPr>
            <w:rFonts w:ascii="仿宋" w:eastAsia="仿宋" w:hAnsi="仿宋" w:cs="仿宋" w:hint="eastAsia"/>
            <w:lang w:eastAsia="zh-CN"/>
          </w:rPr>
          <w:t>(三)、培训实施与评估</w:t>
        </w:r>
        <w:r>
          <w:tab/>
        </w:r>
        <w:r>
          <w:fldChar w:fldCharType="begin"/>
        </w:r>
        <w:r>
          <w:instrText xml:space="preserve"> PAGEREF _Toc27797 \h </w:instrText>
        </w:r>
        <w:r>
          <w:fldChar w:fldCharType="separate"/>
        </w:r>
        <w:r>
          <w:t>4</w:t>
        </w:r>
        <w:r>
          <w:fldChar w:fldCharType="end"/>
        </w:r>
      </w:hyperlink>
    </w:p>
    <w:p>
      <w:pPr>
        <w:pStyle w:val="TOC2"/>
        <w:tabs>
          <w:tab w:val="right" w:leader="dot" w:pos="8306"/>
        </w:tabs>
      </w:pPr>
      <w:hyperlink w:anchor="_Toc8663" w:history="1">
        <w:r>
          <w:rPr>
            <w:rFonts w:ascii="仿宋" w:eastAsia="仿宋" w:hAnsi="仿宋" w:cs="仿宋" w:hint="eastAsia"/>
            <w:lang w:eastAsia="zh-CN"/>
          </w:rPr>
          <w:t>(四)、持续学习与专业发展支持</w:t>
        </w:r>
        <w:r>
          <w:tab/>
        </w:r>
        <w:r>
          <w:fldChar w:fldCharType="begin"/>
        </w:r>
        <w:r>
          <w:instrText xml:space="preserve"> PAGEREF _Toc8663 \h </w:instrText>
        </w:r>
        <w:r>
          <w:fldChar w:fldCharType="separate"/>
        </w:r>
        <w:r>
          <w:t>6</w:t>
        </w:r>
        <w:r>
          <w:fldChar w:fldCharType="end"/>
        </w:r>
      </w:hyperlink>
    </w:p>
    <w:p>
      <w:pPr>
        <w:pStyle w:val="TOC1"/>
        <w:tabs>
          <w:tab w:val="right" w:leader="dot" w:pos="8306"/>
        </w:tabs>
      </w:pPr>
      <w:hyperlink w:anchor="_Toc15762" w:history="1">
        <w:r>
          <w:rPr>
            <w:rFonts w:ascii="仿宋" w:eastAsia="仿宋" w:hAnsi="仿宋" w:cs="仿宋" w:hint="eastAsia"/>
            <w:lang w:eastAsia="zh-CN"/>
          </w:rPr>
          <w:t>二、第八章员工绩效管理</w:t>
        </w:r>
        <w:r>
          <w:tab/>
        </w:r>
        <w:r>
          <w:fldChar w:fldCharType="begin"/>
        </w:r>
        <w:r>
          <w:instrText xml:space="preserve"> PAGEREF _Toc15762 \h </w:instrText>
        </w:r>
        <w:r>
          <w:fldChar w:fldCharType="separate"/>
        </w:r>
        <w:r>
          <w:t>7</w:t>
        </w:r>
        <w:r>
          <w:fldChar w:fldCharType="end"/>
        </w:r>
      </w:hyperlink>
    </w:p>
    <w:p>
      <w:pPr>
        <w:pStyle w:val="TOC2"/>
        <w:tabs>
          <w:tab w:val="right" w:leader="dot" w:pos="8306"/>
        </w:tabs>
      </w:pPr>
      <w:hyperlink w:anchor="_Toc30408" w:history="1">
        <w:r>
          <w:rPr>
            <w:rFonts w:ascii="仿宋" w:eastAsia="仿宋" w:hAnsi="仿宋" w:cs="仿宋" w:hint="eastAsia"/>
            <w:lang w:eastAsia="zh-CN"/>
          </w:rPr>
          <w:t>(一)、绩效评估体系建立</w:t>
        </w:r>
        <w:r>
          <w:tab/>
        </w:r>
        <w:r>
          <w:fldChar w:fldCharType="begin"/>
        </w:r>
        <w:r>
          <w:instrText xml:space="preserve"> PAGEREF _Toc30408 \h </w:instrText>
        </w:r>
        <w:r>
          <w:fldChar w:fldCharType="separate"/>
        </w:r>
        <w:r>
          <w:t>7</w:t>
        </w:r>
        <w:r>
          <w:fldChar w:fldCharType="end"/>
        </w:r>
      </w:hyperlink>
    </w:p>
    <w:p>
      <w:pPr>
        <w:pStyle w:val="TOC2"/>
        <w:tabs>
          <w:tab w:val="right" w:leader="dot" w:pos="8306"/>
        </w:tabs>
      </w:pPr>
      <w:hyperlink w:anchor="_Toc10529" w:history="1">
        <w:r>
          <w:rPr>
            <w:rFonts w:ascii="仿宋" w:eastAsia="仿宋" w:hAnsi="仿宋" w:cs="仿宋" w:hint="eastAsia"/>
            <w:lang w:eastAsia="zh-CN"/>
          </w:rPr>
          <w:t>(二)、绩效考核与反馈</w:t>
        </w:r>
        <w:r>
          <w:tab/>
        </w:r>
        <w:r>
          <w:fldChar w:fldCharType="begin"/>
        </w:r>
        <w:r>
          <w:instrText xml:space="preserve"> PAGEREF _Toc10529 \h </w:instrText>
        </w:r>
        <w:r>
          <w:fldChar w:fldCharType="separate"/>
        </w:r>
        <w:r>
          <w:t>8</w:t>
        </w:r>
        <w:r>
          <w:fldChar w:fldCharType="end"/>
        </w:r>
      </w:hyperlink>
    </w:p>
    <w:p>
      <w:pPr>
        <w:pStyle w:val="TOC2"/>
        <w:tabs>
          <w:tab w:val="right" w:leader="dot" w:pos="8306"/>
        </w:tabs>
      </w:pPr>
      <w:hyperlink w:anchor="_Toc11927" w:history="1">
        <w:r>
          <w:rPr>
            <w:rFonts w:ascii="仿宋" w:eastAsia="仿宋" w:hAnsi="仿宋" w:cs="仿宋" w:hint="eastAsia"/>
            <w:lang w:eastAsia="zh-CN"/>
          </w:rPr>
          <w:t>(三)、激励与奖惩机制</w:t>
        </w:r>
        <w:r>
          <w:tab/>
        </w:r>
        <w:r>
          <w:fldChar w:fldCharType="begin"/>
        </w:r>
        <w:r>
          <w:instrText xml:space="preserve"> PAGEREF _Toc11927 \h </w:instrText>
        </w:r>
        <w:r>
          <w:fldChar w:fldCharType="separate"/>
        </w:r>
        <w:r>
          <w:t>8</w:t>
        </w:r>
        <w:r>
          <w:fldChar w:fldCharType="end"/>
        </w:r>
      </w:hyperlink>
    </w:p>
    <w:p>
      <w:pPr>
        <w:pStyle w:val="TOC1"/>
        <w:tabs>
          <w:tab w:val="right" w:leader="dot" w:pos="8306"/>
        </w:tabs>
      </w:pPr>
      <w:hyperlink w:anchor="_Toc25958" w:history="1">
        <w:r>
          <w:rPr>
            <w:rFonts w:ascii="仿宋" w:eastAsia="仿宋" w:hAnsi="仿宋" w:cs="仿宋" w:hint="eastAsia"/>
            <w:lang w:eastAsia="zh-CN"/>
          </w:rPr>
          <w:t>三、薪酬制度管理</w:t>
        </w:r>
        <w:r>
          <w:tab/>
        </w:r>
        <w:r>
          <w:fldChar w:fldCharType="begin"/>
        </w:r>
        <w:r>
          <w:instrText xml:space="preserve"> PAGEREF _Toc25958 \h </w:instrText>
        </w:r>
        <w:r>
          <w:fldChar w:fldCharType="separate"/>
        </w:r>
        <w:r>
          <w:t>9</w:t>
        </w:r>
        <w:r>
          <w:fldChar w:fldCharType="end"/>
        </w:r>
      </w:hyperlink>
    </w:p>
    <w:p>
      <w:pPr>
        <w:pStyle w:val="TOC2"/>
        <w:tabs>
          <w:tab w:val="right" w:leader="dot" w:pos="8306"/>
        </w:tabs>
      </w:pPr>
      <w:hyperlink w:anchor="_Toc21844" w:history="1">
        <w:r>
          <w:rPr>
            <w:rFonts w:ascii="仿宋" w:eastAsia="仿宋" w:hAnsi="仿宋" w:cs="仿宋" w:hint="eastAsia"/>
            <w:lang w:eastAsia="zh-CN"/>
          </w:rPr>
          <w:t>(一)、薪酬管理制度</w:t>
        </w:r>
        <w:r>
          <w:tab/>
        </w:r>
        <w:r>
          <w:fldChar w:fldCharType="begin"/>
        </w:r>
        <w:r>
          <w:instrText xml:space="preserve"> PAGEREF _Toc21844 \h </w:instrText>
        </w:r>
        <w:r>
          <w:fldChar w:fldCharType="separate"/>
        </w:r>
        <w:r>
          <w:t>9</w:t>
        </w:r>
        <w:r>
          <w:fldChar w:fldCharType="end"/>
        </w:r>
      </w:hyperlink>
    </w:p>
    <w:p>
      <w:pPr>
        <w:pStyle w:val="TOC2"/>
        <w:tabs>
          <w:tab w:val="right" w:leader="dot" w:pos="8306"/>
        </w:tabs>
      </w:pPr>
      <w:hyperlink w:anchor="_Toc19113" w:history="1">
        <w:r>
          <w:rPr>
            <w:rFonts w:ascii="仿宋" w:eastAsia="仿宋" w:hAnsi="仿宋" w:cs="仿宋" w:hint="eastAsia"/>
            <w:lang w:eastAsia="zh-CN"/>
          </w:rPr>
          <w:t>(二)、奖金制度的制定</w:t>
        </w:r>
        <w:r>
          <w:tab/>
        </w:r>
        <w:r>
          <w:fldChar w:fldCharType="begin"/>
        </w:r>
        <w:r>
          <w:instrText xml:space="preserve"> PAGEREF _Toc19113 \h </w:instrText>
        </w:r>
        <w:r>
          <w:fldChar w:fldCharType="separate"/>
        </w:r>
        <w:r>
          <w:t>12</w:t>
        </w:r>
        <w:r>
          <w:fldChar w:fldCharType="end"/>
        </w:r>
      </w:hyperlink>
    </w:p>
    <w:p>
      <w:pPr>
        <w:pStyle w:val="TOC2"/>
        <w:tabs>
          <w:tab w:val="right" w:leader="dot" w:pos="8306"/>
        </w:tabs>
      </w:pPr>
      <w:hyperlink w:anchor="_Toc21691" w:history="1">
        <w:r>
          <w:rPr>
            <w:rFonts w:ascii="仿宋" w:eastAsia="仿宋" w:hAnsi="仿宋" w:cs="仿宋" w:hint="eastAsia"/>
            <w:lang w:eastAsia="zh-CN"/>
          </w:rPr>
          <w:t>(三)、岗位薪酬体系设计</w:t>
        </w:r>
        <w:r>
          <w:tab/>
        </w:r>
        <w:r>
          <w:fldChar w:fldCharType="begin"/>
        </w:r>
        <w:r>
          <w:instrText xml:space="preserve"> PAGEREF _Toc21691 \h </w:instrText>
        </w:r>
        <w:r>
          <w:fldChar w:fldCharType="separate"/>
        </w:r>
        <w:r>
          <w:t>15</w:t>
        </w:r>
        <w:r>
          <w:fldChar w:fldCharType="end"/>
        </w:r>
      </w:hyperlink>
    </w:p>
    <w:p>
      <w:pPr>
        <w:pStyle w:val="TOC2"/>
        <w:tabs>
          <w:tab w:val="right" w:leader="dot" w:pos="8306"/>
        </w:tabs>
      </w:pPr>
      <w:hyperlink w:anchor="_Toc3074" w:history="1">
        <w:r>
          <w:rPr>
            <w:rFonts w:ascii="仿宋" w:eastAsia="仿宋" w:hAnsi="仿宋" w:cs="仿宋" w:hint="eastAsia"/>
            <w:lang w:eastAsia="zh-CN"/>
          </w:rPr>
          <w:t>(四)、绩效薪酬体系设计</w:t>
        </w:r>
        <w:r>
          <w:tab/>
        </w:r>
        <w:r>
          <w:fldChar w:fldCharType="begin"/>
        </w:r>
        <w:r>
          <w:instrText xml:space="preserve"> PAGEREF _Toc3074 \h </w:instrText>
        </w:r>
        <w:r>
          <w:fldChar w:fldCharType="separate"/>
        </w:r>
        <w:r>
          <w:t>17</w:t>
        </w:r>
        <w:r>
          <w:fldChar w:fldCharType="end"/>
        </w:r>
      </w:hyperlink>
    </w:p>
    <w:p>
      <w:pPr>
        <w:pStyle w:val="TOC1"/>
        <w:tabs>
          <w:tab w:val="right" w:leader="dot" w:pos="8306"/>
        </w:tabs>
      </w:pPr>
      <w:hyperlink w:anchor="_Toc27304" w:history="1">
        <w:r>
          <w:rPr>
            <w:rFonts w:ascii="仿宋" w:eastAsia="仿宋" w:hAnsi="仿宋" w:cs="仿宋" w:hint="eastAsia"/>
            <w:lang w:eastAsia="zh-CN"/>
          </w:rPr>
          <w:t>四、员工沟通技巧培训与人际关系管理</w:t>
        </w:r>
        <w:r>
          <w:tab/>
        </w:r>
        <w:r>
          <w:fldChar w:fldCharType="begin"/>
        </w:r>
        <w:r>
          <w:instrText xml:space="preserve"> PAGEREF _Toc27304 \h </w:instrText>
        </w:r>
        <w:r>
          <w:fldChar w:fldCharType="separate"/>
        </w:r>
        <w:r>
          <w:t>18</w:t>
        </w:r>
        <w:r>
          <w:fldChar w:fldCharType="end"/>
        </w:r>
      </w:hyperlink>
    </w:p>
    <w:p>
      <w:pPr>
        <w:pStyle w:val="TOC2"/>
        <w:tabs>
          <w:tab w:val="right" w:leader="dot" w:pos="8306"/>
        </w:tabs>
      </w:pPr>
      <w:hyperlink w:anchor="_Toc29303" w:history="1">
        <w:r>
          <w:rPr>
            <w:rFonts w:ascii="仿宋" w:eastAsia="仿宋" w:hAnsi="仿宋" w:cs="仿宋" w:hint="eastAsia"/>
            <w:lang w:eastAsia="zh-CN"/>
          </w:rPr>
          <w:t>(一)、沟通技巧的重要性及培训计划</w:t>
        </w:r>
        <w:r>
          <w:tab/>
        </w:r>
        <w:r>
          <w:fldChar w:fldCharType="begin"/>
        </w:r>
        <w:r>
          <w:instrText xml:space="preserve"> PAGEREF _Toc29303 \h </w:instrText>
        </w:r>
        <w:r>
          <w:fldChar w:fldCharType="separate"/>
        </w:r>
        <w:r>
          <w:t>18</w:t>
        </w:r>
        <w:r>
          <w:fldChar w:fldCharType="end"/>
        </w:r>
      </w:hyperlink>
    </w:p>
    <w:p>
      <w:pPr>
        <w:pStyle w:val="TOC2"/>
        <w:tabs>
          <w:tab w:val="right" w:leader="dot" w:pos="8306"/>
        </w:tabs>
      </w:pPr>
      <w:hyperlink w:anchor="_Toc7225" w:history="1">
        <w:r>
          <w:rPr>
            <w:rFonts w:ascii="仿宋" w:eastAsia="仿宋" w:hAnsi="仿宋" w:cs="仿宋" w:hint="eastAsia"/>
            <w:lang w:eastAsia="zh-CN"/>
          </w:rPr>
          <w:t>(二)、人际关系管理的原则与方法</w:t>
        </w:r>
        <w:r>
          <w:tab/>
        </w:r>
        <w:r>
          <w:fldChar w:fldCharType="begin"/>
        </w:r>
        <w:r>
          <w:instrText xml:space="preserve"> PAGEREF _Toc7225 \h </w:instrText>
        </w:r>
        <w:r>
          <w:fldChar w:fldCharType="separate"/>
        </w:r>
        <w:r>
          <w:t>19</w:t>
        </w:r>
        <w:r>
          <w:fldChar w:fldCharType="end"/>
        </w:r>
      </w:hyperlink>
    </w:p>
    <w:p>
      <w:pPr>
        <w:pStyle w:val="TOC2"/>
        <w:tabs>
          <w:tab w:val="right" w:leader="dot" w:pos="8306"/>
        </w:tabs>
      </w:pPr>
      <w:hyperlink w:anchor="_Toc5653" w:history="1">
        <w:r>
          <w:rPr>
            <w:rFonts w:ascii="仿宋" w:eastAsia="仿宋" w:hAnsi="仿宋" w:cs="仿宋" w:hint="eastAsia"/>
            <w:lang w:eastAsia="zh-CN"/>
          </w:rPr>
          <w:t>(三)、良好人际关系的建立与维护</w:t>
        </w:r>
        <w:r>
          <w:tab/>
        </w:r>
        <w:r>
          <w:fldChar w:fldCharType="begin"/>
        </w:r>
        <w:r>
          <w:instrText xml:space="preserve"> PAGEREF _Toc5653 \h </w:instrText>
        </w:r>
        <w:r>
          <w:fldChar w:fldCharType="separate"/>
        </w:r>
        <w:r>
          <w:t>20</w:t>
        </w:r>
        <w:r>
          <w:fldChar w:fldCharType="end"/>
        </w:r>
      </w:hyperlink>
    </w:p>
    <w:p>
      <w:pPr>
        <w:pStyle w:val="TOC1"/>
        <w:tabs>
          <w:tab w:val="right" w:leader="dot" w:pos="8306"/>
        </w:tabs>
      </w:pPr>
      <w:hyperlink w:anchor="_Toc21257" w:history="1">
        <w:r>
          <w:rPr>
            <w:rFonts w:ascii="仿宋" w:eastAsia="仿宋" w:hAnsi="仿宋" w:cs="仿宋" w:hint="eastAsia"/>
            <w:lang w:eastAsia="zh-CN"/>
          </w:rPr>
          <w:t>五、公司简介</w:t>
        </w:r>
        <w:r>
          <w:tab/>
        </w:r>
        <w:r>
          <w:fldChar w:fldCharType="begin"/>
        </w:r>
        <w:r>
          <w:instrText xml:space="preserve"> PAGEREF _Toc21257 \h </w:instrText>
        </w:r>
        <w:r>
          <w:fldChar w:fldCharType="separate"/>
        </w:r>
        <w:r>
          <w:t>20</w:t>
        </w:r>
        <w:r>
          <w:fldChar w:fldCharType="end"/>
        </w:r>
      </w:hyperlink>
    </w:p>
    <w:p>
      <w:pPr>
        <w:pStyle w:val="TOC2"/>
        <w:tabs>
          <w:tab w:val="right" w:leader="dot" w:pos="8306"/>
        </w:tabs>
      </w:pPr>
      <w:hyperlink w:anchor="_Toc11466" w:history="1">
        <w:r>
          <w:rPr>
            <w:rFonts w:ascii="仿宋" w:eastAsia="仿宋" w:hAnsi="仿宋" w:cs="仿宋" w:hint="eastAsia"/>
            <w:lang w:eastAsia="zh-CN"/>
          </w:rPr>
          <w:t>(一)、公司基本信息</w:t>
        </w:r>
        <w:r>
          <w:tab/>
        </w:r>
        <w:r>
          <w:fldChar w:fldCharType="begin"/>
        </w:r>
        <w:r>
          <w:instrText xml:space="preserve"> PAGEREF _Toc11466 \h </w:instrText>
        </w:r>
        <w:r>
          <w:fldChar w:fldCharType="separate"/>
        </w:r>
        <w:r>
          <w:t>20</w:t>
        </w:r>
        <w:r>
          <w:fldChar w:fldCharType="end"/>
        </w:r>
      </w:hyperlink>
    </w:p>
    <w:p>
      <w:pPr>
        <w:pStyle w:val="TOC2"/>
        <w:tabs>
          <w:tab w:val="right" w:leader="dot" w:pos="8306"/>
        </w:tabs>
      </w:pPr>
      <w:hyperlink w:anchor="_Toc32031" w:history="1">
        <w:r>
          <w:rPr>
            <w:rFonts w:ascii="仿宋" w:eastAsia="仿宋" w:hAnsi="仿宋" w:cs="仿宋" w:hint="eastAsia"/>
            <w:lang w:eastAsia="zh-CN"/>
          </w:rPr>
          <w:t>(二)、公司简介</w:t>
        </w:r>
        <w:r>
          <w:tab/>
        </w:r>
        <w:r>
          <w:fldChar w:fldCharType="begin"/>
        </w:r>
        <w:r>
          <w:instrText xml:space="preserve"> PAGEREF _Toc32031 \h </w:instrText>
        </w:r>
        <w:r>
          <w:fldChar w:fldCharType="separate"/>
        </w:r>
        <w:r>
          <w:t>21</w:t>
        </w:r>
        <w:r>
          <w:fldChar w:fldCharType="end"/>
        </w:r>
      </w:hyperlink>
    </w:p>
    <w:p>
      <w:pPr>
        <w:pStyle w:val="TOC2"/>
        <w:tabs>
          <w:tab w:val="right" w:leader="dot" w:pos="8306"/>
        </w:tabs>
      </w:pPr>
      <w:hyperlink w:anchor="_Toc1287" w:history="1">
        <w:r>
          <w:rPr>
            <w:rFonts w:ascii="仿宋" w:eastAsia="仿宋" w:hAnsi="仿宋" w:cs="仿宋" w:hint="eastAsia"/>
            <w:lang w:eastAsia="zh-CN"/>
          </w:rPr>
          <w:t>(三)、核心人员介绍</w:t>
        </w:r>
        <w:r>
          <w:tab/>
        </w:r>
        <w:r>
          <w:fldChar w:fldCharType="begin"/>
        </w:r>
        <w:r>
          <w:instrText xml:space="preserve"> PAGEREF _Toc1287 \h </w:instrText>
        </w:r>
        <w:r>
          <w:fldChar w:fldCharType="separate"/>
        </w:r>
        <w:r>
          <w:t>23</w:t>
        </w:r>
        <w:r>
          <w:fldChar w:fldCharType="end"/>
        </w:r>
      </w:hyperlink>
    </w:p>
    <w:p>
      <w:pPr>
        <w:pStyle w:val="TOC1"/>
        <w:tabs>
          <w:tab w:val="right" w:leader="dot" w:pos="8306"/>
        </w:tabs>
      </w:pPr>
      <w:hyperlink w:anchor="_Toc3469" w:history="1">
        <w:r>
          <w:rPr>
            <w:rFonts w:ascii="仿宋" w:eastAsia="仿宋" w:hAnsi="仿宋" w:cs="仿宋" w:hint="eastAsia"/>
            <w:lang w:eastAsia="zh-CN"/>
          </w:rPr>
          <w:t>六、第二十八章公司与员工法律关系</w:t>
        </w:r>
        <w:r>
          <w:tab/>
        </w:r>
        <w:r>
          <w:fldChar w:fldCharType="begin"/>
        </w:r>
        <w:r>
          <w:instrText xml:space="preserve"> PAGEREF _Toc3469 \h </w:instrText>
        </w:r>
        <w:r>
          <w:fldChar w:fldCharType="separate"/>
        </w:r>
        <w:r>
          <w:t>25</w:t>
        </w:r>
        <w:r>
          <w:fldChar w:fldCharType="end"/>
        </w:r>
      </w:hyperlink>
    </w:p>
    <w:p>
      <w:pPr>
        <w:pStyle w:val="TOC2"/>
        <w:tabs>
          <w:tab w:val="right" w:leader="dot" w:pos="8306"/>
        </w:tabs>
      </w:pPr>
      <w:hyperlink w:anchor="_Toc12912" w:history="1">
        <w:r>
          <w:rPr>
            <w:rFonts w:ascii="仿宋" w:eastAsia="仿宋" w:hAnsi="仿宋" w:cs="仿宋" w:hint="eastAsia"/>
            <w:lang w:eastAsia="zh-CN"/>
          </w:rPr>
          <w:t>(一)、劳动合同管理</w:t>
        </w:r>
        <w:r>
          <w:tab/>
        </w:r>
        <w:r>
          <w:fldChar w:fldCharType="begin"/>
        </w:r>
        <w:r>
          <w:instrText xml:space="preserve"> PAGEREF _Toc12912 \h </w:instrText>
        </w:r>
        <w:r>
          <w:fldChar w:fldCharType="separate"/>
        </w:r>
        <w:r>
          <w:t>25</w:t>
        </w:r>
        <w:r>
          <w:fldChar w:fldCharType="end"/>
        </w:r>
      </w:hyperlink>
    </w:p>
    <w:p>
      <w:pPr>
        <w:pStyle w:val="TOC2"/>
        <w:tabs>
          <w:tab w:val="right" w:leader="dot" w:pos="8306"/>
        </w:tabs>
      </w:pPr>
      <w:hyperlink w:anchor="_Toc27348" w:history="1">
        <w:r>
          <w:rPr>
            <w:rFonts w:ascii="仿宋" w:eastAsia="仿宋" w:hAnsi="仿宋" w:cs="仿宋" w:hint="eastAsia"/>
            <w:lang w:eastAsia="zh-CN"/>
          </w:rPr>
          <w:t>(二)、法定假期与劳动保障</w:t>
        </w:r>
        <w:r>
          <w:tab/>
        </w:r>
        <w:r>
          <w:fldChar w:fldCharType="begin"/>
        </w:r>
        <w:r>
          <w:instrText xml:space="preserve"> PAGEREF _Toc27348 \h </w:instrText>
        </w:r>
        <w:r>
          <w:fldChar w:fldCharType="separate"/>
        </w:r>
        <w:r>
          <w:t>26</w:t>
        </w:r>
        <w:r>
          <w:fldChar w:fldCharType="end"/>
        </w:r>
      </w:hyperlink>
    </w:p>
    <w:p>
      <w:pPr>
        <w:pStyle w:val="TOC2"/>
        <w:tabs>
          <w:tab w:val="right" w:leader="dot" w:pos="8306"/>
        </w:tabs>
      </w:pPr>
      <w:hyperlink w:anchor="_Toc25903" w:history="1">
        <w:r>
          <w:rPr>
            <w:rFonts w:ascii="仿宋" w:eastAsia="仿宋" w:hAnsi="仿宋" w:cs="仿宋" w:hint="eastAsia"/>
            <w:lang w:eastAsia="zh-CN"/>
          </w:rPr>
          <w:t>(三)、合规经营与风险防范</w:t>
        </w:r>
        <w:r>
          <w:tab/>
        </w:r>
        <w:r>
          <w:fldChar w:fldCharType="begin"/>
        </w:r>
        <w:r>
          <w:instrText xml:space="preserve"> PAGEREF _Toc25903 \h </w:instrText>
        </w:r>
        <w:r>
          <w:fldChar w:fldCharType="separate"/>
        </w:r>
        <w:r>
          <w:t>27</w:t>
        </w:r>
        <w:r>
          <w:fldChar w:fldCharType="end"/>
        </w:r>
      </w:hyperlink>
    </w:p>
    <w:p>
      <w:pPr>
        <w:pStyle w:val="TOC1"/>
        <w:tabs>
          <w:tab w:val="right" w:leader="dot" w:pos="8306"/>
        </w:tabs>
      </w:pPr>
      <w:hyperlink w:anchor="_Toc383" w:history="1">
        <w:r>
          <w:rPr>
            <w:rFonts w:ascii="仿宋" w:eastAsia="仿宋" w:hAnsi="仿宋" w:cs="仿宋" w:hint="eastAsia"/>
            <w:lang w:eastAsia="zh-CN"/>
          </w:rPr>
          <w:t>七、员工社会责任履行及参与公益活动</w:t>
        </w:r>
        <w:r>
          <w:tab/>
        </w:r>
        <w:r>
          <w:fldChar w:fldCharType="begin"/>
        </w:r>
        <w:r>
          <w:instrText xml:space="preserve"> PAGEREF _Toc383 \h </w:instrText>
        </w:r>
        <w:r>
          <w:fldChar w:fldCharType="separate"/>
        </w:r>
        <w:r>
          <w:t>28</w:t>
        </w:r>
        <w:r>
          <w:fldChar w:fldCharType="end"/>
        </w:r>
      </w:hyperlink>
    </w:p>
    <w:p>
      <w:pPr>
        <w:pStyle w:val="TOC2"/>
        <w:tabs>
          <w:tab w:val="right" w:leader="dot" w:pos="8306"/>
        </w:tabs>
      </w:pPr>
      <w:hyperlink w:anchor="_Toc26775" w:history="1">
        <w:r>
          <w:rPr>
            <w:rFonts w:ascii="仿宋" w:eastAsia="仿宋" w:hAnsi="仿宋" w:cs="仿宋" w:hint="eastAsia"/>
            <w:lang w:eastAsia="zh-CN"/>
          </w:rPr>
          <w:t>(一)、员工社会责任的内涵及履行方式</w:t>
        </w:r>
        <w:r>
          <w:tab/>
        </w:r>
        <w:r>
          <w:fldChar w:fldCharType="begin"/>
        </w:r>
        <w:r>
          <w:instrText xml:space="preserve"> PAGEREF _Toc26775 \h </w:instrText>
        </w:r>
        <w:r>
          <w:fldChar w:fldCharType="separate"/>
        </w:r>
        <w:r>
          <w:t>28</w:t>
        </w:r>
        <w:r>
          <w:fldChar w:fldCharType="end"/>
        </w:r>
      </w:hyperlink>
    </w:p>
    <w:p>
      <w:pPr>
        <w:pStyle w:val="TOC2"/>
        <w:tabs>
          <w:tab w:val="right" w:leader="dot" w:pos="8306"/>
        </w:tabs>
      </w:pPr>
      <w:hyperlink w:anchor="_Toc9376" w:history="1">
        <w:r>
          <w:rPr>
            <w:rFonts w:ascii="仿宋" w:eastAsia="仿宋" w:hAnsi="仿宋" w:cs="仿宋" w:hint="eastAsia"/>
            <w:lang w:eastAsia="zh-CN"/>
          </w:rPr>
          <w:t>(二)、参与公益活动的意义及实施策略</w:t>
        </w:r>
        <w:r>
          <w:tab/>
        </w:r>
        <w:r>
          <w:fldChar w:fldCharType="begin"/>
        </w:r>
        <w:r>
          <w:instrText xml:space="preserve"> PAGEREF _Toc9376 \h </w:instrText>
        </w:r>
        <w:r>
          <w:fldChar w:fldCharType="separate"/>
        </w:r>
        <w:r>
          <w:t>29</w:t>
        </w:r>
        <w:r>
          <w:fldChar w:fldCharType="end"/>
        </w:r>
      </w:hyperlink>
    </w:p>
    <w:p>
      <w:pPr>
        <w:pStyle w:val="TOC2"/>
        <w:tabs>
          <w:tab w:val="right" w:leader="dot" w:pos="8306"/>
        </w:tabs>
      </w:pPr>
      <w:hyperlink w:anchor="_Toc27718" w:history="1">
        <w:r>
          <w:rPr>
            <w:rFonts w:ascii="仿宋" w:eastAsia="仿宋" w:hAnsi="仿宋" w:cs="仿宋" w:hint="eastAsia"/>
            <w:lang w:eastAsia="zh-CN"/>
          </w:rPr>
          <w:t>(三)、社会责任履行及公益活动参与的持续推进</w:t>
        </w:r>
        <w:r>
          <w:tab/>
        </w:r>
        <w:r>
          <w:fldChar w:fldCharType="begin"/>
        </w:r>
        <w:r>
          <w:instrText xml:space="preserve"> PAGEREF _Toc27718 \h </w:instrText>
        </w:r>
        <w:r>
          <w:fldChar w:fldCharType="separate"/>
        </w:r>
        <w:r>
          <w:t>29</w:t>
        </w:r>
        <w:r>
          <w:fldChar w:fldCharType="end"/>
        </w:r>
      </w:hyperlink>
    </w:p>
    <w:p>
      <w:pPr>
        <w:pStyle w:val="TOC1"/>
        <w:tabs>
          <w:tab w:val="right" w:leader="dot" w:pos="8306"/>
        </w:tabs>
      </w:pPr>
      <w:hyperlink w:anchor="_Toc29446" w:history="1">
        <w:r>
          <w:rPr>
            <w:rFonts w:ascii="仿宋" w:eastAsia="仿宋" w:hAnsi="仿宋" w:cs="仿宋" w:hint="eastAsia"/>
            <w:lang w:eastAsia="zh-CN"/>
          </w:rPr>
          <w:t>八、第三十八章员工社交媒体管理</w:t>
        </w:r>
        <w:r>
          <w:tab/>
        </w:r>
        <w:r>
          <w:fldChar w:fldCharType="begin"/>
        </w:r>
        <w:r>
          <w:instrText xml:space="preserve"> PAGEREF _Toc29446 \h </w:instrText>
        </w:r>
        <w:r>
          <w:fldChar w:fldCharType="separate"/>
        </w:r>
        <w:r>
          <w:t>30</w:t>
        </w:r>
        <w:r>
          <w:fldChar w:fldCharType="end"/>
        </w:r>
      </w:hyperlink>
    </w:p>
    <w:p>
      <w:pPr>
        <w:pStyle w:val="TOC2"/>
        <w:tabs>
          <w:tab w:val="right" w:leader="dot" w:pos="8306"/>
        </w:tabs>
      </w:pPr>
      <w:hyperlink w:anchor="_Toc4833" w:history="1">
        <w:r>
          <w:rPr>
            <w:rFonts w:ascii="仿宋" w:eastAsia="仿宋" w:hAnsi="仿宋" w:cs="仿宋" w:hint="eastAsia"/>
            <w:lang w:eastAsia="zh-CN"/>
          </w:rPr>
          <w:t>(一)、员工社交媒体政策</w:t>
        </w:r>
        <w:r>
          <w:tab/>
        </w:r>
        <w:r>
          <w:fldChar w:fldCharType="begin"/>
        </w:r>
        <w:r>
          <w:instrText xml:space="preserve"> PAGEREF _Toc4833 \h </w:instrText>
        </w:r>
        <w:r>
          <w:fldChar w:fldCharType="separate"/>
        </w:r>
        <w:r>
          <w:t>30</w:t>
        </w:r>
        <w:r>
          <w:fldChar w:fldCharType="end"/>
        </w:r>
      </w:hyperlink>
    </w:p>
    <w:p>
      <w:pPr>
        <w:pStyle w:val="TOC2"/>
        <w:tabs>
          <w:tab w:val="right" w:leader="dot" w:pos="8306"/>
        </w:tabs>
      </w:pPr>
      <w:hyperlink w:anchor="_Toc28526" w:history="1">
        <w:r>
          <w:rPr>
            <w:rFonts w:ascii="仿宋" w:eastAsia="仿宋" w:hAnsi="仿宋" w:cs="仿宋" w:hint="eastAsia"/>
            <w:lang w:eastAsia="zh-CN"/>
          </w:rPr>
          <w:t>(二)、个人品牌与公司形象的关联</w:t>
        </w:r>
        <w:r>
          <w:tab/>
        </w:r>
        <w:r>
          <w:fldChar w:fldCharType="begin"/>
        </w:r>
        <w:r>
          <w:instrText xml:space="preserve"> PAGEREF _Toc28526 \h </w:instrText>
        </w:r>
        <w:r>
          <w:fldChar w:fldCharType="separate"/>
        </w:r>
        <w:r>
          <w:t>31</w:t>
        </w:r>
        <w:r>
          <w:fldChar w:fldCharType="end"/>
        </w:r>
      </w:hyperlink>
    </w:p>
    <w:p>
      <w:pPr>
        <w:pStyle w:val="TOC2"/>
        <w:tabs>
          <w:tab w:val="right" w:leader="dot" w:pos="8306"/>
        </w:tabs>
      </w:pPr>
      <w:hyperlink w:anchor="_Toc23579" w:history="1">
        <w:r>
          <w:rPr>
            <w:rFonts w:ascii="仿宋" w:eastAsia="仿宋" w:hAnsi="仿宋" w:cs="仿宋" w:hint="eastAsia"/>
            <w:lang w:eastAsia="zh-CN"/>
          </w:rPr>
          <w:t>(三)、社交媒体使用准则</w:t>
        </w:r>
        <w:r>
          <w:tab/>
        </w:r>
        <w:r>
          <w:fldChar w:fldCharType="begin"/>
        </w:r>
        <w:r>
          <w:instrText xml:space="preserve"> PAGEREF _Toc23579 \h </w:instrText>
        </w:r>
        <w:r>
          <w:fldChar w:fldCharType="separate"/>
        </w:r>
        <w:r>
          <w:t>32</w:t>
        </w:r>
        <w:r>
          <w:fldChar w:fldCharType="end"/>
        </w:r>
      </w:hyperlink>
    </w:p>
    <w:p>
      <w:pPr>
        <w:pStyle w:val="TOC2"/>
        <w:tabs>
          <w:tab w:val="right" w:leader="dot" w:pos="8306"/>
        </w:tabs>
      </w:pPr>
      <w:hyperlink w:anchor="_Toc11010" w:history="1">
        <w:r>
          <w:rPr>
            <w:rFonts w:ascii="仿宋" w:eastAsia="仿宋" w:hAnsi="仿宋" w:cs="仿宋" w:hint="eastAsia"/>
            <w:lang w:eastAsia="zh-CN"/>
          </w:rPr>
          <w:t>(四)、公司与员工互动</w:t>
        </w:r>
        <w:r>
          <w:tab/>
        </w:r>
        <w:r>
          <w:fldChar w:fldCharType="begin"/>
        </w:r>
        <w:r>
          <w:instrText xml:space="preserve"> PAGEREF _Toc11010 \h </w:instrText>
        </w:r>
        <w:r>
          <w:fldChar w:fldCharType="separate"/>
        </w:r>
        <w:r>
          <w:t>34</w:t>
        </w:r>
        <w:r>
          <w:fldChar w:fldCharType="end"/>
        </w:r>
      </w:hyperlink>
    </w:p>
    <w:p>
      <w:pPr>
        <w:pStyle w:val="TOC2"/>
        <w:tabs>
          <w:tab w:val="right" w:leader="dot" w:pos="8306"/>
        </w:tabs>
      </w:pPr>
      <w:hyperlink w:anchor="_Toc27574" w:history="1">
        <w:r>
          <w:rPr>
            <w:rFonts w:ascii="仿宋" w:eastAsia="仿宋" w:hAnsi="仿宋" w:cs="仿宋" w:hint="eastAsia"/>
            <w:lang w:eastAsia="zh-CN"/>
          </w:rPr>
          <w:t>(五)、公司社交媒体账号管理</w:t>
        </w:r>
        <w:r>
          <w:tab/>
        </w:r>
        <w:r>
          <w:fldChar w:fldCharType="begin"/>
        </w:r>
        <w:r>
          <w:instrText xml:space="preserve"> PAGEREF _Toc27574 \h </w:instrText>
        </w:r>
        <w:r>
          <w:fldChar w:fldCharType="separate"/>
        </w:r>
        <w:r>
          <w:t>36</w:t>
        </w:r>
        <w:r>
          <w:fldChar w:fldCharType="end"/>
        </w:r>
      </w:hyperlink>
    </w:p>
    <w:p>
      <w:pPr>
        <w:pStyle w:val="TOC2"/>
        <w:tabs>
          <w:tab w:val="right" w:leader="dot" w:pos="8306"/>
        </w:tabs>
      </w:pPr>
      <w:hyperlink w:anchor="_Toc7377" w:history="1">
        <w:r>
          <w:rPr>
            <w:rFonts w:ascii="仿宋" w:eastAsia="仿宋" w:hAnsi="仿宋" w:cs="仿宋" w:hint="eastAsia"/>
            <w:lang w:eastAsia="zh-CN"/>
          </w:rPr>
          <w:t>(六)、职业发展机会的分享与推广</w:t>
        </w:r>
        <w:r>
          <w:tab/>
        </w:r>
        <w:r>
          <w:fldChar w:fldCharType="begin"/>
        </w:r>
        <w:r>
          <w:instrText xml:space="preserve"> PAGEREF _Toc7377 \h </w:instrText>
        </w:r>
        <w:r>
          <w:fldChar w:fldCharType="separate"/>
        </w:r>
        <w:r>
          <w:t>37</w:t>
        </w:r>
        <w:r>
          <w:fldChar w:fldCharType="end"/>
        </w:r>
      </w:hyperlink>
    </w:p>
    <w:p>
      <w:pPr>
        <w:pStyle w:val="TOC1"/>
        <w:tabs>
          <w:tab w:val="right" w:leader="dot" w:pos="8306"/>
        </w:tabs>
      </w:pPr>
      <w:hyperlink w:anchor="_Toc32137" w:history="1">
        <w:r>
          <w:rPr>
            <w:rFonts w:ascii="仿宋" w:eastAsia="仿宋" w:hAnsi="仿宋" w:cs="仿宋" w:hint="eastAsia"/>
            <w:lang w:eastAsia="zh-CN"/>
          </w:rPr>
          <w:t>九、员工家庭与工作平衡支持计划</w:t>
        </w:r>
        <w:r>
          <w:tab/>
        </w:r>
        <w:r>
          <w:fldChar w:fldCharType="begin"/>
        </w:r>
        <w:r>
          <w:instrText xml:space="preserve"> PAGEREF _Toc32137 \h </w:instrText>
        </w:r>
        <w:r>
          <w:fldChar w:fldCharType="separate"/>
        </w:r>
        <w:r>
          <w:t>38</w:t>
        </w:r>
        <w:r>
          <w:fldChar w:fldCharType="end"/>
        </w:r>
      </w:hyperlink>
    </w:p>
    <w:p>
      <w:pPr>
        <w:pStyle w:val="TOC2"/>
        <w:tabs>
          <w:tab w:val="right" w:leader="dot" w:pos="8306"/>
        </w:tabs>
      </w:pPr>
      <w:hyperlink w:anchor="_Toc22071" w:history="1">
        <w:r>
          <w:rPr>
            <w:rFonts w:ascii="仿宋" w:eastAsia="仿宋" w:hAnsi="仿宋" w:cs="仿宋" w:hint="eastAsia"/>
            <w:lang w:eastAsia="zh-CN"/>
          </w:rPr>
          <w:t>(一)、家庭与工作平衡的重要性分析</w:t>
        </w:r>
        <w:r>
          <w:tab/>
        </w:r>
        <w:r>
          <w:fldChar w:fldCharType="begin"/>
        </w:r>
        <w:r>
          <w:instrText xml:space="preserve"> PAGEREF _Toc22071 \h </w:instrText>
        </w:r>
        <w:r>
          <w:fldChar w:fldCharType="separate"/>
        </w:r>
        <w:r>
          <w:t>38</w:t>
        </w:r>
        <w:r>
          <w:fldChar w:fldCharType="end"/>
        </w:r>
      </w:hyperlink>
    </w:p>
    <w:p>
      <w:pPr>
        <w:pStyle w:val="TOC2"/>
        <w:tabs>
          <w:tab w:val="right" w:leader="dot" w:pos="8306"/>
        </w:tabs>
      </w:pPr>
      <w:hyperlink w:anchor="_Toc5854" w:history="1">
        <w:r>
          <w:rPr>
            <w:rFonts w:ascii="仿宋" w:eastAsia="仿宋" w:hAnsi="仿宋" w:cs="仿宋" w:hint="eastAsia"/>
            <w:lang w:eastAsia="zh-CN"/>
          </w:rPr>
          <w:t>(二)、支持计划的制定与实施步骤</w:t>
        </w:r>
        <w:r>
          <w:tab/>
        </w:r>
        <w:r>
          <w:fldChar w:fldCharType="begin"/>
        </w:r>
        <w:r>
          <w:instrText xml:space="preserve"> PAGEREF _Toc5854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8" w:history="1">
        <w:r>
          <w:rPr>
            <w:rFonts w:ascii="仿宋" w:eastAsia="仿宋" w:hAnsi="仿宋" w:cs="仿宋" w:hint="eastAsia"/>
            <w:lang w:eastAsia="zh-CN"/>
          </w:rPr>
          <w:t>(三)、平衡效果的评估及调整优化</w:t>
        </w:r>
        <w:r>
          <w:tab/>
        </w:r>
        <w:r>
          <w:fldChar w:fldCharType="begin"/>
        </w:r>
        <w:r>
          <w:instrText xml:space="preserve"> PAGEREF _Toc838 \h </w:instrText>
        </w:r>
        <w:r>
          <w:fldChar w:fldCharType="separate"/>
        </w:r>
        <w:r>
          <w:t>39</w:t>
        </w:r>
        <w:r>
          <w:fldChar w:fldCharType="end"/>
        </w:r>
      </w:hyperlink>
    </w:p>
    <w:p>
      <w:pPr>
        <w:pStyle w:val="TOC1"/>
        <w:tabs>
          <w:tab w:val="right" w:leader="dot" w:pos="8306"/>
        </w:tabs>
      </w:pPr>
      <w:hyperlink w:anchor="_Toc18342" w:history="1">
        <w:r>
          <w:rPr>
            <w:rFonts w:ascii="仿宋" w:eastAsia="仿宋" w:hAnsi="仿宋" w:cs="仿宋" w:hint="eastAsia"/>
            <w:lang w:eastAsia="zh-CN"/>
          </w:rPr>
          <w:t>十、第十二章职业伦理与社会责任</w:t>
        </w:r>
        <w:r>
          <w:tab/>
        </w:r>
        <w:r>
          <w:fldChar w:fldCharType="begin"/>
        </w:r>
        <w:r>
          <w:instrText xml:space="preserve"> PAGEREF _Toc18342 \h </w:instrText>
        </w:r>
        <w:r>
          <w:fldChar w:fldCharType="separate"/>
        </w:r>
        <w:r>
          <w:t>40</w:t>
        </w:r>
        <w:r>
          <w:fldChar w:fldCharType="end"/>
        </w:r>
      </w:hyperlink>
    </w:p>
    <w:p>
      <w:pPr>
        <w:pStyle w:val="TOC2"/>
        <w:tabs>
          <w:tab w:val="right" w:leader="dot" w:pos="8306"/>
        </w:tabs>
      </w:pPr>
      <w:hyperlink w:anchor="_Toc24493" w:history="1">
        <w:r>
          <w:rPr>
            <w:rFonts w:ascii="仿宋" w:eastAsia="仿宋" w:hAnsi="仿宋" w:cs="仿宋" w:hint="eastAsia"/>
            <w:lang w:eastAsia="zh-CN"/>
          </w:rPr>
          <w:t>(一)、职业道德规范</w:t>
        </w:r>
        <w:r>
          <w:tab/>
        </w:r>
        <w:r>
          <w:fldChar w:fldCharType="begin"/>
        </w:r>
        <w:r>
          <w:instrText xml:space="preserve"> PAGEREF _Toc24493 \h </w:instrText>
        </w:r>
        <w:r>
          <w:fldChar w:fldCharType="separate"/>
        </w:r>
        <w:r>
          <w:t>40</w:t>
        </w:r>
        <w:r>
          <w:fldChar w:fldCharType="end"/>
        </w:r>
      </w:hyperlink>
    </w:p>
    <w:p>
      <w:pPr>
        <w:pStyle w:val="TOC2"/>
        <w:tabs>
          <w:tab w:val="right" w:leader="dot" w:pos="8306"/>
        </w:tabs>
      </w:pPr>
      <w:hyperlink w:anchor="_Toc8783" w:history="1">
        <w:r>
          <w:rPr>
            <w:rFonts w:ascii="仿宋" w:eastAsia="仿宋" w:hAnsi="仿宋" w:cs="仿宋" w:hint="eastAsia"/>
            <w:lang w:eastAsia="zh-CN"/>
          </w:rPr>
          <w:t>(二)、社会责任履行</w:t>
        </w:r>
        <w:r>
          <w:tab/>
        </w:r>
        <w:r>
          <w:fldChar w:fldCharType="begin"/>
        </w:r>
        <w:r>
          <w:instrText xml:space="preserve"> PAGEREF _Toc8783 \h </w:instrText>
        </w:r>
        <w:r>
          <w:fldChar w:fldCharType="separate"/>
        </w:r>
        <w:r>
          <w:t>41</w:t>
        </w:r>
        <w:r>
          <w:fldChar w:fldCharType="end"/>
        </w:r>
      </w:hyperlink>
    </w:p>
    <w:p>
      <w:pPr>
        <w:pStyle w:val="TOC1"/>
        <w:tabs>
          <w:tab w:val="right" w:leader="dot" w:pos="8306"/>
        </w:tabs>
      </w:pPr>
      <w:hyperlink w:anchor="_Toc19385" w:history="1">
        <w:r>
          <w:rPr>
            <w:rFonts w:ascii="仿宋" w:eastAsia="仿宋" w:hAnsi="仿宋" w:cs="仿宋" w:hint="eastAsia"/>
            <w:lang w:eastAsia="zh-CN"/>
          </w:rPr>
          <w:t>十一、员工满意度调查与提升策略</w:t>
        </w:r>
        <w:r>
          <w:tab/>
        </w:r>
        <w:r>
          <w:fldChar w:fldCharType="begin"/>
        </w:r>
        <w:r>
          <w:instrText xml:space="preserve"> PAGEREF _Toc19385 \h </w:instrText>
        </w:r>
        <w:r>
          <w:fldChar w:fldCharType="separate"/>
        </w:r>
        <w:r>
          <w:t>41</w:t>
        </w:r>
        <w:r>
          <w:fldChar w:fldCharType="end"/>
        </w:r>
      </w:hyperlink>
    </w:p>
    <w:p>
      <w:pPr>
        <w:pStyle w:val="TOC2"/>
        <w:tabs>
          <w:tab w:val="right" w:leader="dot" w:pos="8306"/>
        </w:tabs>
      </w:pPr>
      <w:hyperlink w:anchor="_Toc1854" w:history="1">
        <w:r>
          <w:rPr>
            <w:rFonts w:ascii="仿宋" w:eastAsia="仿宋" w:hAnsi="仿宋" w:cs="仿宋" w:hint="eastAsia"/>
            <w:lang w:eastAsia="zh-CN"/>
          </w:rPr>
          <w:t>(一)、满意度调查的设计与实施</w:t>
        </w:r>
        <w:r>
          <w:tab/>
        </w:r>
        <w:r>
          <w:fldChar w:fldCharType="begin"/>
        </w:r>
        <w:r>
          <w:instrText xml:space="preserve"> PAGEREF _Toc1854 \h </w:instrText>
        </w:r>
        <w:r>
          <w:fldChar w:fldCharType="separate"/>
        </w:r>
        <w:r>
          <w:t>41</w:t>
        </w:r>
        <w:r>
          <w:fldChar w:fldCharType="end"/>
        </w:r>
      </w:hyperlink>
    </w:p>
    <w:p>
      <w:pPr>
        <w:pStyle w:val="TOC2"/>
        <w:tabs>
          <w:tab w:val="right" w:leader="dot" w:pos="8306"/>
        </w:tabs>
      </w:pPr>
      <w:hyperlink w:anchor="_Toc19030" w:history="1">
        <w:r>
          <w:rPr>
            <w:rFonts w:ascii="仿宋" w:eastAsia="仿宋" w:hAnsi="仿宋" w:cs="仿宋" w:hint="eastAsia"/>
            <w:lang w:eastAsia="zh-CN"/>
          </w:rPr>
          <w:t>(二)、员工满意度的分析与解读</w:t>
        </w:r>
        <w:r>
          <w:tab/>
        </w:r>
        <w:r>
          <w:fldChar w:fldCharType="begin"/>
        </w:r>
        <w:r>
          <w:instrText xml:space="preserve"> PAGEREF _Toc19030 \h </w:instrText>
        </w:r>
        <w:r>
          <w:fldChar w:fldCharType="separate"/>
        </w:r>
        <w:r>
          <w:t>43</w:t>
        </w:r>
        <w:r>
          <w:fldChar w:fldCharType="end"/>
        </w:r>
      </w:hyperlink>
    </w:p>
    <w:p>
      <w:pPr>
        <w:pStyle w:val="TOC2"/>
        <w:tabs>
          <w:tab w:val="right" w:leader="dot" w:pos="8306"/>
        </w:tabs>
      </w:pPr>
      <w:hyperlink w:anchor="_Toc2371" w:history="1">
        <w:r>
          <w:rPr>
            <w:rFonts w:ascii="仿宋" w:eastAsia="仿宋" w:hAnsi="仿宋" w:cs="仿宋" w:hint="eastAsia"/>
            <w:lang w:eastAsia="zh-CN"/>
          </w:rPr>
          <w:t>(三)、提升员工满意度的措施与行动计划</w:t>
        </w:r>
        <w:r>
          <w:tab/>
        </w:r>
        <w:r>
          <w:fldChar w:fldCharType="begin"/>
        </w:r>
        <w:r>
          <w:instrText xml:space="preserve"> PAGEREF _Toc2371 \h </w:instrText>
        </w:r>
        <w:r>
          <w:fldChar w:fldCharType="separate"/>
        </w:r>
        <w:r>
          <w:t>45</w:t>
        </w:r>
        <w:r>
          <w:fldChar w:fldCharType="end"/>
        </w:r>
      </w:hyperlink>
    </w:p>
    <w:p>
      <w:pPr>
        <w:pStyle w:val="TOC1"/>
        <w:tabs>
          <w:tab w:val="right" w:leader="dot" w:pos="8306"/>
        </w:tabs>
      </w:pPr>
      <w:hyperlink w:anchor="_Toc14410" w:history="1">
        <w:r>
          <w:rPr>
            <w:rFonts w:ascii="仿宋" w:eastAsia="仿宋" w:hAnsi="仿宋" w:cs="仿宋" w:hint="eastAsia"/>
            <w:lang w:eastAsia="zh-CN"/>
          </w:rPr>
          <w:t>十二、员工职业发展教育与培训</w:t>
        </w:r>
        <w:r>
          <w:tab/>
        </w:r>
        <w:r>
          <w:fldChar w:fldCharType="begin"/>
        </w:r>
        <w:r>
          <w:instrText xml:space="preserve"> PAGEREF _Toc14410 \h </w:instrText>
        </w:r>
        <w:r>
          <w:fldChar w:fldCharType="separate"/>
        </w:r>
        <w:r>
          <w:t>46</w:t>
        </w:r>
        <w:r>
          <w:fldChar w:fldCharType="end"/>
        </w:r>
      </w:hyperlink>
    </w:p>
    <w:p>
      <w:pPr>
        <w:pStyle w:val="TOC2"/>
        <w:tabs>
          <w:tab w:val="right" w:leader="dot" w:pos="8306"/>
        </w:tabs>
      </w:pPr>
      <w:hyperlink w:anchor="_Toc6784" w:history="1">
        <w:r>
          <w:rPr>
            <w:rFonts w:ascii="仿宋" w:eastAsia="仿宋" w:hAnsi="仿宋" w:cs="仿宋" w:hint="eastAsia"/>
            <w:lang w:eastAsia="zh-CN"/>
          </w:rPr>
          <w:t>(一)、职业发展教育的目标与实施策略</w:t>
        </w:r>
        <w:r>
          <w:tab/>
        </w:r>
        <w:r>
          <w:fldChar w:fldCharType="begin"/>
        </w:r>
        <w:r>
          <w:instrText xml:space="preserve"> PAGEREF _Toc6784 \h </w:instrText>
        </w:r>
        <w:r>
          <w:fldChar w:fldCharType="separate"/>
        </w:r>
        <w:r>
          <w:t>46</w:t>
        </w:r>
        <w:r>
          <w:fldChar w:fldCharType="end"/>
        </w:r>
      </w:hyperlink>
    </w:p>
    <w:p>
      <w:pPr>
        <w:pStyle w:val="TOC2"/>
        <w:tabs>
          <w:tab w:val="right" w:leader="dot" w:pos="8306"/>
        </w:tabs>
      </w:pPr>
      <w:hyperlink w:anchor="_Toc19954" w:history="1">
        <w:r>
          <w:rPr>
            <w:rFonts w:ascii="仿宋" w:eastAsia="仿宋" w:hAnsi="仿宋" w:cs="仿宋" w:hint="eastAsia"/>
            <w:lang w:eastAsia="zh-CN"/>
          </w:rPr>
          <w:t>(二)、培训计划的设计与实施步骤</w:t>
        </w:r>
        <w:r>
          <w:tab/>
        </w:r>
        <w:r>
          <w:fldChar w:fldCharType="begin"/>
        </w:r>
        <w:r>
          <w:instrText xml:space="preserve"> PAGEREF _Toc19954 \h </w:instrText>
        </w:r>
        <w:r>
          <w:fldChar w:fldCharType="separate"/>
        </w:r>
        <w:r>
          <w:t>47</w:t>
        </w:r>
        <w:r>
          <w:fldChar w:fldCharType="end"/>
        </w:r>
      </w:hyperlink>
    </w:p>
    <w:p>
      <w:pPr>
        <w:pStyle w:val="TOC2"/>
        <w:tabs>
          <w:tab w:val="right" w:leader="dot" w:pos="8306"/>
        </w:tabs>
      </w:pPr>
      <w:hyperlink w:anchor="_Toc28046" w:history="1">
        <w:r>
          <w:rPr>
            <w:rFonts w:ascii="仿宋" w:eastAsia="仿宋" w:hAnsi="仿宋" w:cs="仿宋" w:hint="eastAsia"/>
            <w:lang w:eastAsia="zh-CN"/>
          </w:rPr>
          <w:t>(三)、培训效果的评估与反馈机制</w:t>
        </w:r>
        <w:r>
          <w:tab/>
        </w:r>
        <w:r>
          <w:fldChar w:fldCharType="begin"/>
        </w:r>
        <w:r>
          <w:instrText xml:space="preserve"> PAGEREF _Toc28046 \h </w:instrText>
        </w:r>
        <w:r>
          <w:fldChar w:fldCharType="separate"/>
        </w:r>
        <w:r>
          <w:t>48</w:t>
        </w:r>
        <w:r>
          <w:fldChar w:fldCharType="end"/>
        </w:r>
      </w:hyperlink>
    </w:p>
    <w:p>
      <w:pPr>
        <w:pStyle w:val="TOC1"/>
        <w:tabs>
          <w:tab w:val="right" w:leader="dot" w:pos="8306"/>
        </w:tabs>
      </w:pPr>
      <w:hyperlink w:anchor="_Toc18512" w:history="1">
        <w:r>
          <w:rPr>
            <w:rFonts w:ascii="仿宋" w:eastAsia="仿宋" w:hAnsi="仿宋" w:cs="仿宋" w:hint="eastAsia"/>
            <w:lang w:eastAsia="zh-CN"/>
          </w:rPr>
          <w:t>十三、第四十五章员工品牌建设</w:t>
        </w:r>
        <w:r>
          <w:tab/>
        </w:r>
        <w:r>
          <w:fldChar w:fldCharType="begin"/>
        </w:r>
        <w:r>
          <w:instrText xml:space="preserve"> PAGEREF _Toc18512 \h </w:instrText>
        </w:r>
        <w:r>
          <w:fldChar w:fldCharType="separate"/>
        </w:r>
        <w:r>
          <w:t>49</w:t>
        </w:r>
        <w:r>
          <w:fldChar w:fldCharType="end"/>
        </w:r>
      </w:hyperlink>
    </w:p>
    <w:p>
      <w:pPr>
        <w:pStyle w:val="TOC2"/>
        <w:tabs>
          <w:tab w:val="right" w:leader="dot" w:pos="8306"/>
        </w:tabs>
      </w:pPr>
      <w:hyperlink w:anchor="_Toc5366" w:history="1">
        <w:r>
          <w:rPr>
            <w:rFonts w:ascii="仿宋" w:eastAsia="仿宋" w:hAnsi="仿宋" w:cs="仿宋" w:hint="eastAsia"/>
            <w:lang w:eastAsia="zh-CN"/>
          </w:rPr>
          <w:t>(一)、个人品牌管理</w:t>
        </w:r>
        <w:r>
          <w:tab/>
        </w:r>
        <w:r>
          <w:fldChar w:fldCharType="begin"/>
        </w:r>
        <w:r>
          <w:instrText xml:space="preserve"> PAGEREF _Toc5366 \h </w:instrText>
        </w:r>
        <w:r>
          <w:fldChar w:fldCharType="separate"/>
        </w:r>
        <w:r>
          <w:t>49</w:t>
        </w:r>
        <w:r>
          <w:fldChar w:fldCharType="end"/>
        </w:r>
      </w:hyperlink>
    </w:p>
    <w:p>
      <w:pPr>
        <w:pStyle w:val="TOC2"/>
        <w:tabs>
          <w:tab w:val="right" w:leader="dot" w:pos="8306"/>
        </w:tabs>
      </w:pPr>
      <w:hyperlink w:anchor="_Toc15152" w:history="1">
        <w:r>
          <w:rPr>
            <w:rFonts w:ascii="仿宋" w:eastAsia="仿宋" w:hAnsi="仿宋" w:cs="仿宋" w:hint="eastAsia"/>
            <w:lang w:eastAsia="zh-CN"/>
          </w:rPr>
          <w:t>(二)、在医疗仪器设备及器械行业内建立个人影响力</w:t>
        </w:r>
        <w:r>
          <w:tab/>
        </w:r>
        <w:r>
          <w:fldChar w:fldCharType="begin"/>
        </w:r>
        <w:r>
          <w:instrText xml:space="preserve"> PAGEREF _Toc15152 \h </w:instrText>
        </w:r>
        <w:r>
          <w:fldChar w:fldCharType="separate"/>
        </w:r>
        <w:r>
          <w:t>49</w:t>
        </w:r>
        <w:r>
          <w:fldChar w:fldCharType="end"/>
        </w:r>
      </w:hyperlink>
    </w:p>
    <w:p>
      <w:pPr>
        <w:pStyle w:val="TOC2"/>
        <w:tabs>
          <w:tab w:val="right" w:leader="dot" w:pos="8306"/>
        </w:tabs>
      </w:pPr>
      <w:hyperlink w:anchor="_Toc31535" w:history="1">
        <w:r>
          <w:rPr>
            <w:rFonts w:ascii="仿宋" w:eastAsia="仿宋" w:hAnsi="仿宋" w:cs="仿宋" w:hint="eastAsia"/>
            <w:lang w:eastAsia="zh-CN"/>
          </w:rPr>
          <w:t>(三)、个人品牌与公司品牌的关联</w:t>
        </w:r>
        <w:r>
          <w:tab/>
        </w:r>
        <w:r>
          <w:fldChar w:fldCharType="begin"/>
        </w:r>
        <w:r>
          <w:instrText xml:space="preserve"> PAGEREF _Toc31535 \h </w:instrText>
        </w:r>
        <w:r>
          <w:fldChar w:fldCharType="separate"/>
        </w:r>
        <w:r>
          <w:t>51</w:t>
        </w:r>
        <w:r>
          <w:fldChar w:fldCharType="end"/>
        </w:r>
      </w:hyperlink>
    </w:p>
    <w:p>
      <w:pPr>
        <w:pStyle w:val="TOC2"/>
        <w:tabs>
          <w:tab w:val="right" w:leader="dot" w:pos="8306"/>
        </w:tabs>
      </w:pPr>
      <w:hyperlink w:anchor="_Toc23966" w:history="1">
        <w:r>
          <w:rPr>
            <w:rFonts w:ascii="仿宋" w:eastAsia="仿宋" w:hAnsi="仿宋" w:cs="仿宋" w:hint="eastAsia"/>
            <w:lang w:eastAsia="zh-CN"/>
          </w:rPr>
          <w:t>(四)、社交媒体与个人品牌</w:t>
        </w:r>
        <w:r>
          <w:tab/>
        </w:r>
        <w:r>
          <w:fldChar w:fldCharType="begin"/>
        </w:r>
        <w:r>
          <w:instrText xml:space="preserve"> PAGEREF _Toc23966 \h </w:instrText>
        </w:r>
        <w:r>
          <w:fldChar w:fldCharType="separate"/>
        </w:r>
        <w:r>
          <w:t>51</w:t>
        </w:r>
        <w:r>
          <w:fldChar w:fldCharType="end"/>
        </w:r>
      </w:hyperlink>
    </w:p>
    <w:p>
      <w:pPr>
        <w:pStyle w:val="TOC2"/>
        <w:tabs>
          <w:tab w:val="right" w:leader="dot" w:pos="8306"/>
        </w:tabs>
      </w:pPr>
      <w:hyperlink w:anchor="_Toc24507" w:history="1">
        <w:r>
          <w:rPr>
            <w:rFonts w:ascii="仿宋" w:eastAsia="仿宋" w:hAnsi="仿宋" w:cs="仿宋" w:hint="eastAsia"/>
            <w:lang w:eastAsia="zh-CN"/>
          </w:rPr>
          <w:t>(五)、个人品牌的社交媒体传播</w:t>
        </w:r>
        <w:r>
          <w:tab/>
        </w:r>
        <w:r>
          <w:fldChar w:fldCharType="begin"/>
        </w:r>
        <w:r>
          <w:instrText xml:space="preserve"> PAGEREF _Toc24507 \h </w:instrText>
        </w:r>
        <w:r>
          <w:fldChar w:fldCharType="separate"/>
        </w:r>
        <w:r>
          <w:t>52</w:t>
        </w:r>
        <w:r>
          <w:fldChar w:fldCharType="end"/>
        </w:r>
      </w:hyperlink>
    </w:p>
    <w:p>
      <w:pPr>
        <w:pStyle w:val="TOC2"/>
        <w:tabs>
          <w:tab w:val="right" w:leader="dot" w:pos="8306"/>
        </w:tabs>
      </w:pPr>
      <w:hyperlink w:anchor="_Toc27414" w:history="1">
        <w:r>
          <w:rPr>
            <w:rFonts w:ascii="仿宋" w:eastAsia="仿宋" w:hAnsi="仿宋" w:cs="仿宋" w:hint="eastAsia"/>
            <w:lang w:eastAsia="zh-CN"/>
          </w:rPr>
          <w:t>(六)、员工品牌建设与公司形象一致性</w:t>
        </w:r>
        <w:r>
          <w:tab/>
        </w:r>
        <w:r>
          <w:fldChar w:fldCharType="begin"/>
        </w:r>
        <w:r>
          <w:instrText xml:space="preserve"> PAGEREF _Toc27414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医疗仪器设备及器械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27801"/>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15007"/>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个性化和差异化原则：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31597"/>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27797"/>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灵活的教学方法：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8663"/>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提供灵活的在线学习平台，使员工可以随时随地获取各类学习资源。这包括医疗仪器设备及器械行业报告、网络课程、研讨会等，帮助员工自主学习和获取最新的专业知识。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鼓励并支持员工获取相关的专业认证，例如医疗仪器设备及器械行业认可的证书或资格。组织可以提供学习资源、报名费用支持等，以激发员工的学习积极性。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定期培训活动：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定期组织专业培训活动，邀请医疗仪器设备及器械行业专家或内外部讲师进行知识分享和培训。这有助于员工深入了解医疗仪器设备及器械行业趋势，拓展视野，提高综合素质。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建立知识管理平台，鼓励员工分享经验、医疗仪器设备及器械行业见解和学习心得。这有助于构建学习型组织，促使知识在团队内部流动和共享。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15762"/>
      <w:r>
        <w:rPr>
          <w:rFonts w:ascii="仿宋" w:eastAsia="仿宋" w:hAnsi="仿宋" w:cs="仿宋" w:hint="eastAsia"/>
          <w:sz w:val="28"/>
          <w:lang w:eastAsia="zh-CN"/>
        </w:rPr>
        <w:t>二、第八章员工绩效管理</w:t>
      </w:r>
      <w:bookmarkEnd w:id="7"/>
    </w:p>
    <w:p>
      <w:pPr>
        <w:pStyle w:val="Heading2"/>
        <w:rPr>
          <w:rFonts w:ascii="仿宋" w:eastAsia="仿宋" w:hAnsi="仿宋" w:cs="仿宋" w:hint="eastAsia"/>
          <w:lang w:eastAsia="zh-CN"/>
        </w:rPr>
      </w:pPr>
      <w:bookmarkStart w:id="8" w:name="_Toc30408"/>
      <w:r>
        <w:rPr>
          <w:rFonts w:ascii="仿宋" w:eastAsia="仿宋" w:hAnsi="仿宋" w:cs="仿宋" w:hint="eastAsia"/>
          <w:lang w:eastAsia="zh-CN"/>
        </w:rPr>
        <w:t>(一)、绩效评估体系建立</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9" w:name="_Toc10529"/>
      <w:r>
        <w:rPr>
          <w:rFonts w:ascii="仿宋" w:eastAsia="仿宋" w:hAnsi="仿宋" w:cs="仿宋" w:hint="eastAsia"/>
          <w:sz w:val="28"/>
          <w:lang w:eastAsia="zh-CN"/>
        </w:rPr>
        <w:t>(二)、绩效考核与反馈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10" w:name="_Toc11927"/>
      <w:r>
        <w:rPr>
          <w:rFonts w:ascii="仿宋" w:eastAsia="仿宋" w:hAnsi="仿宋" w:cs="仿宋" w:hint="eastAsia"/>
          <w:sz w:val="28"/>
          <w:lang w:eastAsia="zh-CN"/>
        </w:rPr>
        <w:t>(三)、激励与奖惩机制</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11" w:name="_Toc25958"/>
      <w:r>
        <w:rPr>
          <w:rFonts w:ascii="仿宋" w:eastAsia="仿宋" w:hAnsi="仿宋" w:cs="仿宋" w:hint="eastAsia"/>
          <w:sz w:val="28"/>
          <w:lang w:eastAsia="zh-CN"/>
        </w:rPr>
        <w:t>三、薪酬制度管理</w:t>
      </w:r>
      <w:bookmarkEnd w:id="11"/>
    </w:p>
    <w:p>
      <w:pPr>
        <w:pStyle w:val="Heading2"/>
        <w:rPr>
          <w:rFonts w:ascii="仿宋" w:eastAsia="仿宋" w:hAnsi="仿宋" w:cs="仿宋" w:hint="eastAsia"/>
          <w:lang w:eastAsia="zh-CN"/>
        </w:rPr>
      </w:pPr>
      <w:bookmarkStart w:id="12" w:name="_Toc21844"/>
      <w:r>
        <w:rPr>
          <w:rFonts w:ascii="仿宋" w:eastAsia="仿宋" w:hAnsi="仿宋" w:cs="仿宋" w:hint="eastAsia"/>
          <w:lang w:eastAsia="zh-CN"/>
        </w:rPr>
        <w:t>(一)、薪酬管理制度</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医疗仪器设备及器械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9113"/>
      <w:r>
        <w:rPr>
          <w:rFonts w:ascii="仿宋" w:eastAsia="仿宋" w:hAnsi="仿宋" w:cs="仿宋" w:hint="eastAsia"/>
          <w:sz w:val="28"/>
          <w:lang w:eastAsia="zh-CN"/>
        </w:rPr>
        <w:t>(二)、奖金制度的制定</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奖金总额确定：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奖励员工参与和完成相关技能培训，提高员工的专业素养。设立明确的培训计划和奖金发放标准，鼓励员工持续学习和提升自身技能，以适应市场和医疗仪器设备及器械行业的变化。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1691"/>
      <w:r>
        <w:rPr>
          <w:rFonts w:ascii="仿宋" w:eastAsia="仿宋" w:hAnsi="仿宋" w:cs="仿宋" w:hint="eastAsia"/>
          <w:sz w:val="28"/>
          <w:lang w:eastAsia="zh-CN"/>
        </w:rPr>
        <w:t>(三)、岗位薪酬体系设计</w:t>
      </w:r>
      <w:bookmarkEnd w:id="1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5" w:name="_Toc3074"/>
      <w:r>
        <w:rPr>
          <w:rFonts w:ascii="仿宋" w:eastAsia="仿宋" w:hAnsi="仿宋" w:cs="仿宋" w:hint="eastAsia"/>
          <w:sz w:val="28"/>
          <w:lang w:eastAsia="zh-CN"/>
        </w:rPr>
        <w:t>(四)、绩效薪酬体系设计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6" w:name="_Toc27304"/>
      <w:r>
        <w:rPr>
          <w:rFonts w:ascii="仿宋" w:eastAsia="仿宋" w:hAnsi="仿宋" w:cs="仿宋" w:hint="eastAsia"/>
          <w:sz w:val="28"/>
          <w:lang w:eastAsia="zh-CN"/>
        </w:rPr>
        <w:t>四、员工沟通技巧培训与人际关系管理</w:t>
      </w:r>
      <w:bookmarkEnd w:id="16"/>
    </w:p>
    <w:p>
      <w:pPr>
        <w:pStyle w:val="Heading2"/>
        <w:rPr>
          <w:rFonts w:ascii="仿宋" w:eastAsia="仿宋" w:hAnsi="仿宋" w:cs="仿宋" w:hint="eastAsia"/>
          <w:lang w:eastAsia="zh-CN"/>
        </w:rPr>
      </w:pPr>
      <w:bookmarkStart w:id="17" w:name="_Toc29303"/>
      <w:r>
        <w:rPr>
          <w:rFonts w:ascii="仿宋" w:eastAsia="仿宋" w:hAnsi="仿宋" w:cs="仿宋" w:hint="eastAsia"/>
          <w:lang w:eastAsia="zh-CN"/>
        </w:rPr>
        <w:t>(一)、沟通技巧的重要性及培训计划</w:t>
      </w:r>
      <w:bookmarkEnd w:id="17"/>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8" w:name="_Toc7225"/>
      <w:r>
        <w:rPr>
          <w:rFonts w:ascii="仿宋" w:eastAsia="仿宋" w:hAnsi="仿宋" w:cs="仿宋" w:hint="eastAsia"/>
          <w:sz w:val="28"/>
          <w:lang w:eastAsia="zh-CN"/>
        </w:rPr>
        <w:t>(二)、人际关系管理的原则与方法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9" w:name="_Toc5653"/>
      <w:r>
        <w:rPr>
          <w:rFonts w:ascii="仿宋" w:eastAsia="仿宋" w:hAnsi="仿宋" w:cs="仿宋" w:hint="eastAsia"/>
          <w:sz w:val="28"/>
          <w:lang w:eastAsia="zh-CN"/>
        </w:rPr>
        <w:t>(三)、良好人际关系的建立与维护</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20" w:name="_Toc21257"/>
      <w:r>
        <w:rPr>
          <w:rFonts w:ascii="仿宋" w:eastAsia="仿宋" w:hAnsi="仿宋" w:cs="仿宋" w:hint="eastAsia"/>
          <w:sz w:val="28"/>
          <w:lang w:eastAsia="zh-CN"/>
        </w:rPr>
        <w:t>五、公司简介</w:t>
      </w:r>
      <w:bookmarkEnd w:id="20"/>
    </w:p>
    <w:p>
      <w:pPr>
        <w:pStyle w:val="Heading2"/>
        <w:rPr>
          <w:rFonts w:ascii="仿宋" w:eastAsia="仿宋" w:hAnsi="仿宋" w:cs="仿宋" w:hint="eastAsia"/>
          <w:lang w:eastAsia="zh-CN"/>
        </w:rPr>
      </w:pPr>
      <w:bookmarkStart w:id="21" w:name="_Toc11466"/>
      <w:r>
        <w:rPr>
          <w:rFonts w:ascii="仿宋" w:eastAsia="仿宋" w:hAnsi="仿宋" w:cs="仿宋" w:hint="eastAsia"/>
          <w:lang w:eastAsia="zh-CN"/>
        </w:rPr>
        <w:t>(一)、公司基本信息</w:t>
      </w:r>
      <w:bookmarkEnd w:id="2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2" w:name="_Toc32031"/>
      <w:r>
        <w:rPr>
          <w:rFonts w:ascii="仿宋" w:eastAsia="仿宋" w:hAnsi="仿宋" w:cs="仿宋" w:hint="eastAsia"/>
          <w:sz w:val="28"/>
          <w:lang w:eastAsia="zh-CN"/>
        </w:rPr>
        <w:t>(二)、公司简介</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医疗仪器设备及器械 项目公司是一家致力于 医疗仪器设备及器械医疗仪器设备及器械行业的公司，成立于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医疗仪器设备及器械</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提升医疗仪器设备及器械医疗仪器设备及器械行业的整体水平。公司的愿景是</w:t>
      </w: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医疗仪器设备及器械</w:t>
      </w:r>
      <w:r>
        <w:rPr>
          <w:rFonts w:ascii="仿宋" w:eastAsia="仿宋" w:hAnsi="仿宋" w:cs="仿宋" w:hint="eastAsia"/>
          <w:sz w:val="28"/>
          <w:lang w:eastAsia="zh-CN"/>
        </w:rPr>
        <w:t xml:space="preserve"> 中的领军企业，引领医疗仪器设备及器械行业未来的发展方向。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医疗仪器设备及器械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3" w:name="_Toc1287"/>
      <w:r>
        <w:rPr>
          <w:rFonts w:ascii="仿宋" w:eastAsia="仿宋" w:hAnsi="仿宋" w:cs="仿宋" w:hint="eastAsia"/>
          <w:sz w:val="28"/>
          <w:lang w:eastAsia="zh-CN"/>
        </w:rPr>
        <w:t>(三)、核心人员介绍</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https://d.book118.com/147032044116006025</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257E82"/>
    <w:rsid w:val="77257E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147032044116006025"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2023-12-09T00:25:00Z</dcterms:created>
  <dcterms:modified xsi:type="dcterms:W3CDTF">2023-12-09T00:25:30Z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EB8CBD0FE6F9419D90E4198FFB823903_11</vt:lpwstr>
  </property>
  <property fmtid="{D5CDD505-2E9C-101B-9397-08002B2CF9AE}" pid="3" name="KSOProductBuildVer">
    <vt:lpwstr>2052-12.1.0.15712</vt:lpwstr>
  </property>
</Properties>
</file>