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542" w:lineRule="exact"/>
        <w:ind w:firstLine="527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02.85pt;height:76.6pt;margin-top:353.89pt;margin-left:329.24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before="20" w:line="863" w:lineRule="exact"/>
                    <w:ind w:left="20"/>
                    <w:rPr>
                      <w:rFonts w:ascii="Microsoft YaHei" w:eastAsia="Microsoft YaHei" w:hAnsi="Microsoft YaHei" w:cs="Microsoft YaHei"/>
                      <w:sz w:val="48"/>
                      <w:szCs w:val="4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02060"/>
                      <w:spacing w:val="-3"/>
                      <w:position w:val="29"/>
                      <w:sz w:val="48"/>
                      <w:szCs w:val="48"/>
                    </w:rPr>
                    <w:t>中国信通院  泰尔认证研究所</w:t>
                  </w:r>
                </w:p>
                <w:p>
                  <w:pPr>
                    <w:spacing w:before="3" w:line="182" w:lineRule="auto"/>
                    <w:ind w:left="1820"/>
                    <w:rPr>
                      <w:rFonts w:ascii="Microsoft YaHei" w:eastAsia="Microsoft YaHei" w:hAnsi="Microsoft YaHei" w:cs="Microsoft YaHei"/>
                      <w:sz w:val="48"/>
                      <w:szCs w:val="4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02060"/>
                      <w:spacing w:val="-5"/>
                      <w:sz w:val="48"/>
                      <w:szCs w:val="48"/>
                    </w:rPr>
                    <w:t>2023年7月</w:t>
                  </w:r>
                </w:p>
              </w:txbxContent>
            </v:textbox>
          </v:shape>
        </w:pict>
      </w:r>
      <w:r>
        <w:rPr>
          <w:position w:val="-10"/>
        </w:rPr>
        <w:drawing>
          <wp:inline distT="0" distB="0" distL="0" distR="0">
            <wp:extent cx="2918459" cy="34442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18459" cy="34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spacing w:before="442" w:line="169" w:lineRule="auto"/>
        <w:ind w:left="6518"/>
        <w:outlineLvl w:val="0"/>
        <w:rPr>
          <w:rFonts w:ascii="Microsoft YaHei" w:eastAsia="Microsoft YaHei" w:hAnsi="Microsoft YaHei" w:cs="Microsoft YaHei"/>
          <w:sz w:val="103"/>
          <w:szCs w:val="103"/>
        </w:rPr>
      </w:pPr>
      <w:r>
        <w:rPr>
          <w:rFonts w:ascii="Microsoft YaHei" w:eastAsia="Microsoft YaHei" w:hAnsi="Microsoft YaHei" w:cs="Microsoft YaHei"/>
          <w:b/>
          <w:bCs/>
          <w:color w:val="002060"/>
          <w:spacing w:val="2"/>
          <w:sz w:val="103"/>
          <w:szCs w:val="103"/>
        </w:rPr>
        <w:t>以贯标为牵引</w:t>
      </w:r>
    </w:p>
    <w:p>
      <w:pPr>
        <w:spacing w:before="7" w:line="183" w:lineRule="auto"/>
        <w:ind w:left="4938"/>
        <w:rPr>
          <w:rFonts w:ascii="Microsoft YaHei" w:eastAsia="Microsoft YaHei" w:hAnsi="Microsoft YaHei" w:cs="Microsoft YaHei"/>
          <w:sz w:val="103"/>
          <w:szCs w:val="103"/>
        </w:rPr>
      </w:pPr>
      <w:r>
        <w:rPr>
          <w:rFonts w:ascii="Microsoft YaHei" w:eastAsia="Microsoft YaHei" w:hAnsi="Microsoft YaHei" w:cs="Microsoft YaHei"/>
          <w:b/>
          <w:bCs/>
          <w:color w:val="002060"/>
          <w:spacing w:val="7"/>
          <w:sz w:val="103"/>
          <w:szCs w:val="103"/>
        </w:rPr>
        <w:t>助力企业数字化转型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before="224" w:line="182" w:lineRule="auto"/>
        <w:ind w:left="8824"/>
        <w:rPr>
          <w:rFonts w:ascii="Microsoft YaHei" w:eastAsia="Microsoft YaHei" w:hAnsi="Microsoft YaHei" w:cs="Microsoft YaHei"/>
          <w:sz w:val="52"/>
          <w:szCs w:val="52"/>
        </w:rPr>
      </w:pPr>
      <w:r>
        <w:rPr>
          <w:rFonts w:ascii="Microsoft YaHei" w:eastAsia="Microsoft YaHei" w:hAnsi="Microsoft YaHei" w:cs="Microsoft YaHei"/>
          <w:b/>
          <w:bCs/>
          <w:color w:val="002060"/>
          <w:spacing w:val="-2"/>
          <w:sz w:val="52"/>
          <w:szCs w:val="52"/>
        </w:rPr>
        <w:t>李思桥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  <w:sectPr>
          <w:pgSz w:w="19200" w:h="10800"/>
          <w:pgMar w:top="525" w:right="0" w:bottom="0" w:left="0" w:header="0" w:footer="0" w:gutter="0"/>
          <w:cols w:space="708"/>
        </w:sectPr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78" w:line="178" w:lineRule="auto"/>
        <w:ind w:left="18755"/>
        <w:rPr>
          <w:rFonts w:ascii="Microsoft YaHei" w:eastAsia="Microsoft YaHei" w:hAnsi="Microsoft YaHei" w:cs="Microsoft YaHei"/>
          <w:sz w:val="18"/>
          <w:szCs w:val="1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-1824657</wp:posOffset>
            </wp:positionV>
            <wp:extent cx="12191998" cy="219856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1998" cy="2198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00125E"/>
          <w:sz w:val="18"/>
          <w:szCs w:val="18"/>
        </w:rPr>
        <w:t>1</w:t>
      </w:r>
    </w:p>
    <w:p>
      <w:pPr>
        <w:spacing w:line="178" w:lineRule="auto"/>
        <w:rPr>
          <w:rFonts w:ascii="Microsoft YaHei" w:eastAsia="Microsoft YaHei" w:hAnsi="Microsoft YaHei" w:cs="Microsoft YaHei"/>
          <w:sz w:val="18"/>
          <w:szCs w:val="18"/>
        </w:rPr>
        <w:sectPr>
          <w:type w:val="nextPage"/>
          <w:pgSz w:w="19200" w:h="10800"/>
          <w:pgMar w:top="525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28" w:line="459" w:lineRule="exact"/>
        <w:ind w:firstLine="11942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2262039</wp:posOffset>
            </wp:positionV>
            <wp:extent cx="2387489" cy="184014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7489" cy="1840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10300716</wp:posOffset>
            </wp:positionH>
            <wp:positionV relativeFrom="page">
              <wp:posOffset>192024</wp:posOffset>
            </wp:positionV>
            <wp:extent cx="1641347" cy="329183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1347" cy="32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2462771" cy="29108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62771" cy="291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9" w:lineRule="auto"/>
      </w:pPr>
    </w:p>
    <w:p>
      <w:pPr>
        <w:spacing w:line="64" w:lineRule="exact"/>
      </w:pPr>
      <w:r>
        <w:rPr>
          <w:position w:val="-1"/>
        </w:rPr>
        <w:drawing>
          <wp:inline distT="0" distB="0" distL="0" distR="0">
            <wp:extent cx="12190473" cy="4114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190473" cy="41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236" w:line="185" w:lineRule="auto"/>
        <w:ind w:left="5667"/>
        <w:outlineLvl w:val="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b/>
          <w:bCs/>
          <w:color w:val="002060"/>
          <w:spacing w:val="6"/>
          <w:sz w:val="55"/>
          <w:szCs w:val="55"/>
        </w:rPr>
        <w:t>01. 企业数字化转型核心驱动力</w:t>
      </w:r>
    </w:p>
    <w:p>
      <w:pPr>
        <w:pStyle w:val="BodyText"/>
        <w:spacing w:line="378" w:lineRule="auto"/>
      </w:pPr>
    </w:p>
    <w:p>
      <w:pPr>
        <w:spacing w:before="235" w:line="185" w:lineRule="auto"/>
        <w:ind w:left="5667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b/>
          <w:bCs/>
          <w:color w:val="A6A6A6"/>
          <w:spacing w:val="6"/>
          <w:sz w:val="55"/>
          <w:szCs w:val="55"/>
        </w:rPr>
        <w:t>02. 数字化转型背景下的质量管理</w:t>
      </w:r>
    </w:p>
    <w:p>
      <w:pPr>
        <w:pStyle w:val="BodyText"/>
        <w:spacing w:line="378" w:lineRule="auto"/>
      </w:pPr>
    </w:p>
    <w:p>
      <w:pPr>
        <w:spacing w:before="236" w:line="185" w:lineRule="auto"/>
        <w:ind w:left="5667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b/>
          <w:bCs/>
          <w:color w:val="A6A6A6"/>
          <w:spacing w:val="7"/>
          <w:sz w:val="55"/>
          <w:szCs w:val="55"/>
        </w:rPr>
        <w:t>03. 以贯标为牵引，推动质量管理数字化</w:t>
      </w:r>
    </w:p>
    <w:p>
      <w:pPr>
        <w:spacing w:line="185" w:lineRule="auto"/>
        <w:rPr>
          <w:rFonts w:ascii="Microsoft YaHei" w:eastAsia="Microsoft YaHei" w:hAnsi="Microsoft YaHei" w:cs="Microsoft YaHei"/>
          <w:sz w:val="55"/>
          <w:szCs w:val="55"/>
        </w:rPr>
        <w:sectPr>
          <w:footerReference w:type="default" r:id="rId10"/>
          <w:pgSz w:w="19200" w:h="10800"/>
          <w:pgMar w:top="302" w:right="2" w:bottom="513" w:left="0" w:header="0" w:footer="284" w:gutter="0"/>
          <w:pgNumType w:start="3"/>
          <w:cols w:space="708"/>
        </w:sectPr>
      </w:pPr>
    </w:p>
    <w:p>
      <w:pPr>
        <w:spacing w:before="104" w:line="185" w:lineRule="auto"/>
        <w:ind w:left="716"/>
        <w:outlineLvl w:val="0"/>
        <w:rPr>
          <w:sz w:val="48"/>
          <w:szCs w:val="48"/>
        </w:rPr>
      </w:pPr>
      <w:r>
        <w:pict>
          <v:shape id="_x0000_s1026" type="#_x0000_t202" style="width:468.65pt;height:23.55pt;margin-top:118.92pt;margin-left:478.92pt;mso-position-horizontal-relative:page;mso-position-vertical-relative:page;position:absolute;z-index:251666432" o:allowincell="f" filled="t" fillcolor="#002060" stroked="f">
            <o:lock v:ext="edit" aspectratio="f"/>
            <v:textbox inset="0,0,0,0">
              <w:txbxContent>
                <w:p>
                  <w:pPr>
                    <w:spacing w:before="108" w:line="187" w:lineRule="auto"/>
                    <w:ind w:left="2140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00"/>
                      <w:spacing w:val="8"/>
                      <w:sz w:val="31"/>
                      <w:szCs w:val="31"/>
                    </w:rPr>
                    <w:t>工信部《中小企业数字化转型指南》</w:t>
                  </w:r>
                </w:p>
              </w:txbxContent>
            </v:textbox>
          </v:shape>
        </w:pict>
      </w:r>
      <w:r>
        <w:pict>
          <v:shape id="_x0000_s1027" type="#_x0000_t202" style="width:417.45pt;height:47.3pt;margin-top:130.31pt;margin-left:32.78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hd w:val="clear" w:color="auto" w:fill="002060"/>
                    <w:spacing w:before="21" w:line="204" w:lineRule="auto"/>
                    <w:ind w:left="2520" w:right="20" w:hanging="2500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00"/>
                      <w:spacing w:val="9"/>
                      <w:sz w:val="31"/>
                      <w:szCs w:val="31"/>
                    </w:rPr>
                    <w:t>《中华人民共和国国民经济和社会发展第十四个五年规划和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00"/>
                      <w:spacing w:val="13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00"/>
                      <w:spacing w:val="6"/>
                      <w:sz w:val="31"/>
                      <w:szCs w:val="31"/>
                    </w:rPr>
                    <w:t>2035年远景目标纲要》</w:t>
                  </w:r>
                </w:p>
              </w:txbxContent>
            </v:textbox>
          </v:shape>
        </w:pict>
      </w:r>
      <w:r>
        <w:pict>
          <v:shape id="_x0000_s1028" type="#_x0000_t202" style="width:457.6pt;height:124.6pt;margin-top:177.3pt;margin-left:12.54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9091" w:type="dxa"/>
                    <w:tblInd w:w="3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</w:tblBorders>
                    <w:tblLayout w:type="fixed"/>
                  </w:tblPr>
                  <w:tblGrid>
                    <w:gridCol w:w="9091"/>
                  </w:tblGrid>
                  <w:tr>
                    <w:tblPrEx>
                      <w:tblW w:w="9091" w:type="dxa"/>
                      <w:tblInd w:w="30" w:type="dxa"/>
                      <w:tblBorders>
                        <w:top w:val="single" w:sz="8" w:space="0" w:color="D9D9D9"/>
                        <w:left w:val="single" w:sz="8" w:space="0" w:color="D9D9D9"/>
                        <w:bottom w:val="single" w:sz="8" w:space="0" w:color="D9D9D9"/>
                        <w:right w:val="single" w:sz="8" w:space="0" w:color="D9D9D9"/>
                      </w:tblBorders>
                      <w:tblLayout w:type="fixed"/>
                    </w:tblPrEx>
                    <w:trPr>
                      <w:trHeight w:val="2411"/>
                    </w:trPr>
                    <w:tc>
                      <w:tcPr>
                        <w:tcW w:w="9091" w:type="dxa"/>
                        <w:vAlign w:val="top"/>
                      </w:tcPr>
                      <w:p>
                        <w:pPr>
                          <w:pStyle w:val="TableText"/>
                          <w:spacing w:before="91" w:line="168" w:lineRule="auto"/>
                          <w:ind w:left="284"/>
                        </w:pPr>
                        <w:r>
                          <w:rPr>
                            <w:b/>
                            <w:bCs/>
                          </w:rPr>
                          <w:t>第十五章 打造数字经济新优势</w:t>
                        </w:r>
                      </w:p>
                      <w:p>
                        <w:pPr>
                          <w:pStyle w:val="TableText"/>
                          <w:spacing w:before="1" w:line="177" w:lineRule="auto"/>
                          <w:ind w:left="284"/>
                        </w:pPr>
                        <w:r>
                          <w:rPr>
                            <w:b/>
                            <w:bCs/>
                          </w:rPr>
                          <w:t>第三节 推进产业数字化转型</w:t>
                        </w:r>
                      </w:p>
                      <w:p>
                        <w:pPr>
                          <w:pStyle w:val="TableText"/>
                          <w:spacing w:before="3" w:line="195" w:lineRule="auto"/>
                          <w:ind w:left="740" w:right="207" w:hanging="433"/>
                        </w:pPr>
                        <w:r>
                          <w:rPr>
                            <w:rFonts w:ascii="Wingdings" w:eastAsia="Wingdings" w:hAnsi="Wingdings" w:cs="Wingdings"/>
                            <w:spacing w:val="-8"/>
                            <w14:textOutline w14:w="3175">
                              <w14:solidFill>
                                <w14:srgbClr w14:val="000000"/>
                              </w14:solidFill>
                              <w14:prstDash w14:val="solid"/>
                              <w14:miter w14:lim="0"/>
                            </w14:textOutline>
                          </w:rPr>
                          <w:t>.</w:t>
                        </w:r>
                        <w:r>
                          <w:rPr>
                            <w:rFonts w:ascii="Wingdings" w:eastAsia="Wingdings" w:hAnsi="Wingdings" w:cs="Wingdings"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8"/>
                          </w:rPr>
                          <w:t>在重点行业和区域建设若干国际水准的工业互联网平台和</w:t>
                        </w:r>
                        <w:r>
                          <w:rPr>
                            <w:b/>
                            <w:bCs/>
                            <w:color w:val="FF0000"/>
                            <w:spacing w:val="-8"/>
                          </w:rPr>
                          <w:t>数字化转</w:t>
                        </w:r>
                        <w:r>
                          <w:rPr>
                            <w:b/>
                            <w:bCs/>
                            <w:color w:val="FF0000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FF0000"/>
                            <w:spacing w:val="-1"/>
                          </w:rPr>
                          <w:t>型促进中心</w:t>
                        </w:r>
                      </w:p>
                      <w:p>
                        <w:pPr>
                          <w:pStyle w:val="TableText"/>
                          <w:spacing w:before="21" w:line="196" w:lineRule="auto"/>
                          <w:ind w:left="742" w:right="207" w:hanging="435"/>
                        </w:pPr>
                        <w:r>
                          <w:rPr>
                            <w:rFonts w:ascii="Wingdings" w:eastAsia="Wingdings" w:hAnsi="Wingdings" w:cs="Wingdings"/>
                            <w:spacing w:val="-8"/>
                            <w14:textOutline w14:w="3175">
                              <w14:solidFill>
                                <w14:srgbClr w14:val="000000"/>
                              </w14:solidFill>
                              <w14:prstDash w14:val="solid"/>
                              <w14:miter w14:lim="0"/>
                            </w14:textOutline>
                          </w:rPr>
                          <w:t>.</w:t>
                        </w:r>
                        <w:r>
                          <w:rPr>
                            <w:rFonts w:ascii="Wingdings" w:eastAsia="Wingdings" w:hAnsi="Wingdings" w:cs="Wingdings"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8"/>
                          </w:rPr>
                          <w:t>深化研发设计、生产制造、经营管理、市场服务等环节的</w:t>
                        </w:r>
                        <w:r>
                          <w:rPr>
                            <w:b/>
                            <w:bCs/>
                            <w:color w:val="FF0000"/>
                            <w:spacing w:val="-8"/>
                          </w:rPr>
                          <w:t>数字化应</w:t>
                        </w:r>
                        <w:r>
                          <w:rPr>
                            <w:b/>
                            <w:bCs/>
                            <w:color w:val="FF0000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FF0000"/>
                            <w:spacing w:val="-8"/>
                          </w:rPr>
                          <w:t>用</w:t>
                        </w:r>
                        <w:r>
                          <w:rPr>
                            <w:b/>
                            <w:bCs/>
                            <w:spacing w:val="-8"/>
                          </w:rPr>
                          <w:t>，培育发展个性定制、  柔性制造等新模式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29" type="#_x0000_t202" style="width:454.7pt;height:26.65pt;margin-top:304.32pt;margin-left:13.2pt;mso-position-horizontal-relative:page;mso-position-vertical-relative:page;position:absolute;z-index:251665408" o:allowincell="f" filled="t" fillcolor="#002060" stroked="f">
            <o:lock v:ext="edit" aspectratio="f"/>
            <v:textbox inset="0,0,0,0">
              <w:txbxContent>
                <w:p>
                  <w:pPr>
                    <w:spacing w:before="39" w:line="235" w:lineRule="auto"/>
                    <w:ind w:left="553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00"/>
                      <w:spacing w:val="9"/>
                      <w:sz w:val="31"/>
                      <w:szCs w:val="31"/>
                    </w:rPr>
                    <w:t>《国务院关于印发“十四五”数字经济发展规划的通知》</w:t>
                  </w:r>
                </w:p>
              </w:txbxContent>
            </v:textbox>
          </v:shape>
        </w:pict>
      </w:r>
      <w:r>
        <w:pict>
          <v:shape id="_x0000_s1030" type="#_x0000_t202" style="width:457.7pt;height:169.95pt;margin-top:331.86pt;margin-left:11.7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9093" w:type="dxa"/>
                    <w:tblInd w:w="3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</w:tblBorders>
                    <w:tblLayout w:type="fixed"/>
                  </w:tblPr>
                  <w:tblGrid>
                    <w:gridCol w:w="9093"/>
                  </w:tblGrid>
                  <w:tr>
                    <w:tblPrEx>
                      <w:tblW w:w="9093" w:type="dxa"/>
                      <w:tblInd w:w="30" w:type="dxa"/>
                      <w:tblBorders>
                        <w:top w:val="single" w:sz="8" w:space="0" w:color="D9D9D9"/>
                        <w:left w:val="single" w:sz="8" w:space="0" w:color="D9D9D9"/>
                        <w:bottom w:val="single" w:sz="8" w:space="0" w:color="D9D9D9"/>
                        <w:right w:val="single" w:sz="8" w:space="0" w:color="D9D9D9"/>
                      </w:tblBorders>
                      <w:tblLayout w:type="fixed"/>
                    </w:tblPrEx>
                    <w:trPr>
                      <w:trHeight w:val="3318"/>
                    </w:trPr>
                    <w:tc>
                      <w:tcPr>
                        <w:tcW w:w="9093" w:type="dxa"/>
                        <w:vAlign w:val="top"/>
                      </w:tcPr>
                      <w:p>
                        <w:pPr>
                          <w:pStyle w:val="TableText"/>
                          <w:spacing w:before="64" w:line="225" w:lineRule="auto"/>
                          <w:ind w:left="276"/>
                        </w:pPr>
                        <w:r>
                          <w:rPr>
                            <w:b/>
                            <w:bCs/>
                            <w:spacing w:val="-2"/>
                          </w:rPr>
                          <w:t>(一)加快企业数字化转型</w:t>
                        </w:r>
                      </w:p>
                      <w:p>
                        <w:pPr>
                          <w:pStyle w:val="TableText"/>
                          <w:spacing w:before="116" w:line="196" w:lineRule="auto"/>
                          <w:ind w:left="616" w:right="611" w:hanging="340"/>
                        </w:pPr>
                        <w:r>
                          <w:rPr>
                            <w:rFonts w:ascii="Wingdings" w:eastAsia="Wingdings" w:hAnsi="Wingdings" w:cs="Wingdings"/>
                            <w:spacing w:val="-4"/>
                            <w14:textOutline w14:w="3175">
                              <w14:solidFill>
                                <w14:srgbClr w14:val="000000"/>
                              </w14:solidFill>
                              <w14:prstDash w14:val="solid"/>
                              <w14:miter w14:lim="0"/>
                            </w14:textOutline>
                          </w:rPr>
                          <w:sym w:font="Wingdings" w:char="F070"/>
                        </w:r>
                        <w:r>
                          <w:rPr>
                            <w:rFonts w:ascii="Wingdings" w:eastAsia="Wingdings" w:hAnsi="Wingdings" w:cs="Wingdings"/>
                            <w:spacing w:val="-130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4"/>
                          </w:rPr>
                          <w:t>引导企业</w:t>
                        </w:r>
                        <w:r>
                          <w:rPr>
                            <w:b/>
                            <w:bCs/>
                            <w:color w:val="FF0000"/>
                            <w:spacing w:val="-4"/>
                          </w:rPr>
                          <w:t>强化数字化思维</w:t>
                        </w:r>
                        <w:r>
                          <w:rPr>
                            <w:b/>
                            <w:bCs/>
                            <w:spacing w:val="-4"/>
                          </w:rPr>
                          <w:t xml:space="preserve">，提升员工数字技能和数据管理能力， </w:t>
                        </w:r>
                        <w:r>
                          <w:rPr>
                            <w:b/>
                            <w:bCs/>
                          </w:rPr>
                          <w:t>全面系统推动企业研发设计、生产加工、经营管理、销售服务等</w:t>
                        </w:r>
                      </w:p>
                      <w:p>
                        <w:pPr>
                          <w:pStyle w:val="TableText"/>
                          <w:spacing w:before="36" w:line="183" w:lineRule="auto"/>
                          <w:ind w:left="618"/>
                        </w:pPr>
                        <w:r>
                          <w:rPr>
                            <w:b/>
                            <w:bCs/>
                            <w:color w:val="FF0000"/>
                            <w:spacing w:val="-1"/>
                          </w:rPr>
                          <w:t>业务数字化转型</w:t>
                        </w:r>
                      </w:p>
                      <w:p>
                        <w:pPr>
                          <w:pStyle w:val="TableText"/>
                          <w:spacing w:before="141" w:line="196" w:lineRule="auto"/>
                          <w:ind w:left="618" w:right="611" w:hanging="342"/>
                        </w:pPr>
                        <w:r>
                          <w:rPr>
                            <w:rFonts w:ascii="Wingdings" w:eastAsia="Wingdings" w:hAnsi="Wingdings" w:cs="Wingdings"/>
                            <w:spacing w:val="-2"/>
                            <w14:textOutline w14:w="3175">
                              <w14:solidFill>
                                <w14:srgbClr w14:val="000000"/>
                              </w14:solidFill>
                              <w14:prstDash w14:val="solid"/>
                              <w14:miter w14:lim="0"/>
                            </w14:textOutline>
                          </w:rPr>
                          <w:sym w:font="Wingdings" w:char="F070"/>
                        </w:r>
                        <w:r>
                          <w:rPr>
                            <w:rFonts w:ascii="Wingdings" w:eastAsia="Wingdings" w:hAnsi="Wingdings" w:cs="Wingdings"/>
                            <w:spacing w:val="-129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2"/>
                          </w:rPr>
                          <w:t>支持中小企业从</w:t>
                        </w:r>
                        <w:r>
                          <w:rPr>
                            <w:b/>
                            <w:bCs/>
                            <w:color w:val="FF0000"/>
                            <w:spacing w:val="-2"/>
                          </w:rPr>
                          <w:t>数字化转型需求迫切的环节入手</w:t>
                        </w:r>
                        <w:r>
                          <w:rPr>
                            <w:b/>
                            <w:bCs/>
                            <w:spacing w:val="-2"/>
                          </w:rPr>
                          <w:t>，加快推进线上</w:t>
                        </w:r>
                        <w:r>
                          <w:rPr>
                            <w:b/>
                            <w:bCs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5"/>
                          </w:rPr>
                          <w:t>营销、远程协作、数字化办公、智能生产线等应用</w:t>
                        </w:r>
                        <w:r>
                          <w:rPr>
                            <w:b/>
                            <w:bCs/>
                            <w:spacing w:val="-6"/>
                          </w:rPr>
                          <w:t>，</w:t>
                        </w:r>
                        <w:r>
                          <w:rPr>
                            <w:b/>
                            <w:bCs/>
                            <w:spacing w:val="6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6"/>
                          </w:rPr>
                          <w:t>由点及面向</w:t>
                        </w:r>
                      </w:p>
                      <w:p>
                        <w:pPr>
                          <w:pStyle w:val="TableText"/>
                          <w:spacing w:before="37" w:line="183" w:lineRule="auto"/>
                          <w:ind w:left="617"/>
                        </w:pPr>
                        <w:r>
                          <w:rPr>
                            <w:b/>
                            <w:bCs/>
                            <w:color w:val="FF0000"/>
                          </w:rPr>
                          <w:t>全业务全流程数字化转型延伸拓展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b/>
          <w:bCs/>
          <w:color w:val="000F83"/>
          <w:spacing w:val="-4"/>
          <w:sz w:val="48"/>
          <w:szCs w:val="48"/>
        </w:rPr>
        <w:t>1.1 数字化转型政策引领</w:t>
      </w:r>
      <w:r>
        <w:rPr>
          <w:rFonts w:ascii="Microsoft YaHei" w:eastAsia="Microsoft YaHei" w:hAnsi="Microsoft YaHei" w:cs="Microsoft YaHei"/>
          <w:b/>
          <w:bCs/>
          <w:color w:val="000F83"/>
          <w:spacing w:val="2"/>
          <w:sz w:val="48"/>
          <w:szCs w:val="48"/>
        </w:rPr>
        <w:t xml:space="preserve">                                     </w:t>
      </w:r>
      <w:r>
        <w:rPr>
          <w:rFonts w:ascii="Microsoft YaHei" w:eastAsia="Microsoft YaHei" w:hAnsi="Microsoft YaHei" w:cs="Microsoft YaHei"/>
          <w:b/>
          <w:bCs/>
          <w:color w:val="000F83"/>
          <w:spacing w:val="1"/>
          <w:sz w:val="48"/>
          <w:szCs w:val="48"/>
        </w:rPr>
        <w:t xml:space="preserve">     </w:t>
      </w:r>
      <w:r>
        <w:rPr>
          <w:position w:val="-11"/>
          <w:sz w:val="48"/>
          <w:szCs w:val="48"/>
        </w:rPr>
        <w:drawing>
          <wp:inline distT="0" distB="0" distL="0" distR="0">
            <wp:extent cx="4358639" cy="329183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58639" cy="329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8" w:line="65" w:lineRule="exact"/>
      </w:pPr>
      <w:r>
        <w:rPr>
          <w:position w:val="-1"/>
        </w:rPr>
        <w:drawing>
          <wp:inline distT="0" distB="0" distL="0" distR="0">
            <wp:extent cx="12190473" cy="4114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190473" cy="41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7" w:line="201" w:lineRule="auto"/>
        <w:ind w:left="133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b/>
          <w:bCs/>
          <w:spacing w:val="-1"/>
          <w:sz w:val="36"/>
          <w:szCs w:val="36"/>
        </w:rPr>
        <w:t>企业作为我国经济发展的重要单元，十四五期间，支持企业在产业</w:t>
      </w:r>
      <w:r>
        <w:rPr>
          <w:rFonts w:ascii="Microsoft YaHei" w:eastAsia="Microsoft YaHei" w:hAnsi="Microsoft YaHei" w:cs="Microsoft YaHei"/>
          <w:b/>
          <w:bCs/>
          <w:spacing w:val="-2"/>
          <w:sz w:val="36"/>
          <w:szCs w:val="36"/>
        </w:rPr>
        <w:t>数字化转型、科技创新驱动、产业分工合作、</w:t>
      </w:r>
    </w:p>
    <w:p>
      <w:pPr>
        <w:spacing w:before="1" w:line="183" w:lineRule="auto"/>
        <w:ind w:left="57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b/>
          <w:bCs/>
          <w:spacing w:val="-2"/>
          <w:sz w:val="36"/>
          <w:szCs w:val="36"/>
        </w:rPr>
        <w:t>绿色节能发展等方面发挥更大作用，成为我国产业、经济、社会高质量发展的重要引擎。</w:t>
      </w:r>
    </w:p>
    <w:p>
      <w:pPr>
        <w:spacing w:before="16"/>
      </w:pPr>
    </w:p>
    <w:p>
      <w:pPr>
        <w:spacing w:before="16"/>
      </w:pPr>
    </w:p>
    <w:tbl>
      <w:tblPr>
        <w:tblStyle w:val="TableNormal0"/>
        <w:tblW w:w="9436" w:type="dxa"/>
        <w:tblInd w:w="9578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tblLayout w:type="fixed"/>
      </w:tblPr>
      <w:tblGrid>
        <w:gridCol w:w="9436"/>
      </w:tblGrid>
      <w:tr>
        <w:tblPrEx>
          <w:tblW w:w="9436" w:type="dxa"/>
          <w:tblInd w:w="9578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tblLayout w:type="fixed"/>
        </w:tblPrEx>
        <w:trPr>
          <w:trHeight w:val="2087"/>
        </w:trPr>
        <w:tc>
          <w:tcPr>
            <w:tcW w:w="9436" w:type="dxa"/>
            <w:vAlign w:val="top"/>
          </w:tcPr>
          <w:p>
            <w:pPr>
              <w:pStyle w:val="TableText"/>
              <w:spacing w:before="93" w:line="196" w:lineRule="auto"/>
              <w:ind w:left="566" w:hanging="448"/>
            </w:pPr>
            <w:r>
              <w:rPr>
                <w:rFonts w:ascii="Wingdings" w:eastAsia="Wingdings" w:hAnsi="Wingdings" w:cs="Wingdings"/>
                <w:spacing w:val="3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sym w:font="Wingdings" w:char="F070"/>
            </w:r>
            <w:r>
              <w:rPr>
                <w:rFonts w:ascii="Wingdings" w:eastAsia="Wingdings" w:hAnsi="Wingdings" w:cs="Wingdings"/>
                <w:spacing w:val="-34"/>
              </w:rPr>
              <w:t xml:space="preserve"> </w:t>
            </w:r>
            <w:r>
              <w:rPr>
                <w:b/>
                <w:bCs/>
                <w:spacing w:val="3"/>
              </w:rPr>
              <w:t>开展</w:t>
            </w:r>
            <w:r>
              <w:rPr>
                <w:b/>
                <w:bCs/>
                <w:color w:val="FF0000"/>
                <w:spacing w:val="3"/>
              </w:rPr>
              <w:t>数字化评估</w:t>
            </w:r>
            <w:r>
              <w:rPr>
                <w:b/>
                <w:bCs/>
                <w:spacing w:val="3"/>
              </w:rPr>
              <w:t>。</w:t>
            </w:r>
            <w:r>
              <w:rPr>
                <w:b/>
                <w:bCs/>
                <w:spacing w:val="-59"/>
              </w:rPr>
              <w:t xml:space="preserve"> </w:t>
            </w:r>
            <w:r>
              <w:rPr>
                <w:b/>
                <w:bCs/>
                <w:spacing w:val="3"/>
              </w:rPr>
              <w:t>中小企业需从</w:t>
            </w:r>
            <w:r>
              <w:rPr>
                <w:b/>
                <w:bCs/>
                <w:color w:val="FF0000"/>
                <w:spacing w:val="3"/>
              </w:rPr>
              <w:t>数字化基础水平、企业经营管理现状、</w:t>
            </w:r>
            <w:r>
              <w:rPr>
                <w:b/>
                <w:bCs/>
                <w:color w:val="FF0000"/>
              </w:rPr>
              <w:t xml:space="preserve"> </w:t>
            </w:r>
            <w:r>
              <w:rPr>
                <w:b/>
                <w:bCs/>
                <w:color w:val="FF0000"/>
                <w:spacing w:val="-1"/>
              </w:rPr>
              <w:t>内外部转型资源</w:t>
            </w:r>
            <w:r>
              <w:rPr>
                <w:b/>
                <w:bCs/>
                <w:spacing w:val="-1"/>
              </w:rPr>
              <w:t>等方面进行数字化评估，明确数字化转型</w:t>
            </w:r>
            <w:r>
              <w:rPr>
                <w:b/>
                <w:bCs/>
                <w:spacing w:val="-2"/>
              </w:rPr>
              <w:t>优先级</w:t>
            </w:r>
          </w:p>
          <w:p>
            <w:pPr>
              <w:pStyle w:val="TableText"/>
              <w:spacing w:before="21" w:line="196" w:lineRule="auto"/>
              <w:ind w:left="549" w:right="208" w:hanging="431"/>
            </w:pPr>
            <w:r>
              <w:rPr>
                <w:rFonts w:ascii="Wingdings" w:eastAsia="Wingdings" w:hAnsi="Wingdings" w:cs="Wingdings"/>
                <w:spacing w:val="6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sym w:font="Wingdings" w:char="F070"/>
            </w:r>
            <w:r>
              <w:rPr>
                <w:rFonts w:ascii="Wingdings" w:eastAsia="Wingdings" w:hAnsi="Wingdings" w:cs="Wingdings"/>
                <w:spacing w:val="-52"/>
              </w:rPr>
              <w:t xml:space="preserve"> </w:t>
            </w:r>
            <w:r>
              <w:rPr>
                <w:b/>
                <w:bCs/>
                <w:spacing w:val="6"/>
              </w:rPr>
              <w:t>优化</w:t>
            </w:r>
            <w:r>
              <w:rPr>
                <w:b/>
                <w:bCs/>
                <w:color w:val="FF0000"/>
                <w:spacing w:val="6"/>
              </w:rPr>
              <w:t>数字化实践</w:t>
            </w:r>
            <w:r>
              <w:rPr>
                <w:b/>
                <w:bCs/>
                <w:spacing w:val="6"/>
              </w:rPr>
              <w:t>。</w:t>
            </w:r>
            <w:r>
              <w:rPr>
                <w:b/>
                <w:bCs/>
                <w:spacing w:val="-58"/>
              </w:rPr>
              <w:t xml:space="preserve"> </w:t>
            </w:r>
            <w:r>
              <w:rPr>
                <w:b/>
                <w:bCs/>
                <w:spacing w:val="6"/>
              </w:rPr>
              <w:t>中小企业应从</w:t>
            </w:r>
            <w:r>
              <w:rPr>
                <w:b/>
                <w:bCs/>
                <w:color w:val="FF0000"/>
                <w:spacing w:val="6"/>
              </w:rPr>
              <w:t>数字化水平和企业经营管理水平</w:t>
            </w:r>
            <w:r>
              <w:rPr>
                <w:b/>
                <w:bCs/>
                <w:color w:val="FF0000"/>
                <w:spacing w:val="5"/>
              </w:rPr>
              <w:t>等方</w:t>
            </w:r>
            <w:r>
              <w:rPr>
                <w:b/>
                <w:bCs/>
                <w:color w:val="FF0000"/>
              </w:rPr>
              <w:t xml:space="preserve"> </w:t>
            </w:r>
            <w:r>
              <w:rPr>
                <w:b/>
                <w:bCs/>
                <w:color w:val="FF0000"/>
                <w:spacing w:val="7"/>
              </w:rPr>
              <w:t>面评估数字化转型成效</w:t>
            </w:r>
            <w:r>
              <w:rPr>
                <w:b/>
                <w:bCs/>
                <w:color w:val="FF0000"/>
                <w:spacing w:val="-39"/>
              </w:rPr>
              <w:t xml:space="preserve"> </w:t>
            </w:r>
            <w:r>
              <w:rPr>
                <w:b/>
                <w:bCs/>
                <w:spacing w:val="7"/>
              </w:rPr>
              <w:t>，根据现阶段资源禀赋和转型现状调整数字化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转型策略，选用相应的数字化产品和服务，提升转型策略的适配性</w:t>
            </w:r>
          </w:p>
        </w:tc>
      </w:tr>
    </w:tbl>
    <w:p>
      <w:pPr>
        <w:shd w:val="clear" w:color="auto" w:fill="002060"/>
        <w:spacing w:before="139" w:line="171" w:lineRule="auto"/>
        <w:ind w:left="13483" w:right="448" w:hanging="367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color w:val="FFFF00"/>
          <w:spacing w:val="9"/>
          <w:sz w:val="31"/>
          <w:szCs w:val="31"/>
        </w:rPr>
        <w:t>工信部、财政部《关于开展财政支持中小企业数字化转型试点工</w:t>
      </w:r>
      <w:r>
        <w:rPr>
          <w:rFonts w:ascii="Microsoft YaHei" w:eastAsia="Microsoft YaHei" w:hAnsi="Microsoft YaHei" w:cs="Microsoft YaHei"/>
          <w:b/>
          <w:bCs/>
          <w:color w:val="FFFF00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00"/>
          <w:spacing w:val="8"/>
          <w:sz w:val="31"/>
          <w:szCs w:val="31"/>
        </w:rPr>
        <w:t>作的通知》</w:t>
      </w:r>
    </w:p>
    <w:tbl>
      <w:tblPr>
        <w:tblStyle w:val="TableNormal0"/>
        <w:tblW w:w="9352" w:type="dxa"/>
        <w:tblInd w:w="9597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tblLayout w:type="fixed"/>
      </w:tblPr>
      <w:tblGrid>
        <w:gridCol w:w="9352"/>
      </w:tblGrid>
      <w:tr>
        <w:tblPrEx>
          <w:tblW w:w="9352" w:type="dxa"/>
          <w:tblInd w:w="9597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tblLayout w:type="fixed"/>
        </w:tblPrEx>
        <w:trPr>
          <w:trHeight w:val="1972"/>
        </w:trPr>
        <w:tc>
          <w:tcPr>
            <w:tcW w:w="9352" w:type="dxa"/>
            <w:vAlign w:val="top"/>
          </w:tcPr>
          <w:p>
            <w:pPr>
              <w:pStyle w:val="TableText"/>
              <w:spacing w:before="16" w:line="196" w:lineRule="auto"/>
              <w:ind w:left="648" w:right="355" w:hanging="445"/>
            </w:pPr>
            <w:r>
              <w:rPr>
                <w:rFonts w:ascii="Wingdings" w:eastAsia="Wingdings" w:hAnsi="Wingdings" w:cs="Wingdings"/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sym w:font="Wingdings" w:char="F070"/>
            </w:r>
            <w:r>
              <w:rPr>
                <w:rFonts w:ascii="Wingdings" w:eastAsia="Wingdings" w:hAnsi="Wingdings" w:cs="Wingdings"/>
                <w:spacing w:val="-53"/>
              </w:rPr>
              <w:t xml:space="preserve"> </w:t>
            </w:r>
            <w:r>
              <w:rPr>
                <w:b/>
                <w:bCs/>
                <w:spacing w:val="-1"/>
              </w:rPr>
              <w:t>从2022年到2025年，中央财政计划分</w:t>
            </w:r>
            <w:r>
              <w:rPr>
                <w:b/>
                <w:bCs/>
                <w:color w:val="FF0000"/>
                <w:spacing w:val="-1"/>
              </w:rPr>
              <w:t>三批围绕</w:t>
            </w:r>
            <w:r>
              <w:rPr>
                <w:b/>
                <w:bCs/>
                <w:color w:val="FF0000"/>
                <w:spacing w:val="-2"/>
              </w:rPr>
              <w:t>100个细分行业开展</w:t>
            </w:r>
            <w:r>
              <w:rPr>
                <w:b/>
                <w:bCs/>
                <w:color w:val="FF0000"/>
              </w:rPr>
              <w:t xml:space="preserve"> </w:t>
            </w:r>
            <w:r>
              <w:rPr>
                <w:b/>
                <w:bCs/>
                <w:color w:val="FF0000"/>
                <w:spacing w:val="-1"/>
              </w:rPr>
              <w:t>中小企业数字化转型试点</w:t>
            </w:r>
            <w:r>
              <w:rPr>
                <w:b/>
                <w:bCs/>
                <w:spacing w:val="-1"/>
              </w:rPr>
              <w:t>。</w:t>
            </w:r>
          </w:p>
          <w:p>
            <w:pPr>
              <w:pStyle w:val="TableText"/>
              <w:spacing w:before="21" w:line="196" w:lineRule="auto"/>
              <w:ind w:left="638" w:right="333" w:hanging="434"/>
            </w:pPr>
            <w:r>
              <w:rPr>
                <w:rFonts w:ascii="Wingdings" w:eastAsia="Wingdings" w:hAnsi="Wingdings" w:cs="Wingdings"/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sym w:font="Wingdings" w:char="F070"/>
            </w:r>
            <w:r>
              <w:rPr>
                <w:rFonts w:ascii="Wingdings" w:eastAsia="Wingdings" w:hAnsi="Wingdings" w:cs="Wingdings"/>
                <w:spacing w:val="-50"/>
              </w:rPr>
              <w:t xml:space="preserve"> </w:t>
            </w:r>
            <w:r>
              <w:rPr>
                <w:b/>
                <w:bCs/>
                <w:spacing w:val="-1"/>
              </w:rPr>
              <w:t>计划在全国范围内支持</w:t>
            </w:r>
            <w:r>
              <w:rPr>
                <w:b/>
                <w:bCs/>
                <w:color w:val="FF0000"/>
                <w:spacing w:val="-1"/>
              </w:rPr>
              <w:t>300个左右</w:t>
            </w:r>
            <w:r>
              <w:rPr>
                <w:b/>
                <w:bCs/>
                <w:spacing w:val="-1"/>
              </w:rPr>
              <w:t>公共</w:t>
            </w:r>
            <w:r>
              <w:rPr>
                <w:b/>
                <w:bCs/>
                <w:spacing w:val="-2"/>
              </w:rPr>
              <w:t>服务平台，进一步提升存量数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字化公共服务平台服务能力</w:t>
            </w:r>
          </w:p>
          <w:p>
            <w:pPr>
              <w:pStyle w:val="TableText"/>
              <w:spacing w:before="22" w:line="166" w:lineRule="auto"/>
              <w:ind w:left="204"/>
            </w:pPr>
            <w:r>
              <w:rPr>
                <w:rFonts w:ascii="Wingdings" w:eastAsia="Wingdings" w:hAnsi="Wingdings" w:cs="Wingdings"/>
                <w:spacing w:val="-3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sym w:font="Wingdings" w:char="F070"/>
            </w:r>
            <w:r>
              <w:rPr>
                <w:rFonts w:ascii="Wingdings" w:eastAsia="Wingdings" w:hAnsi="Wingdings" w:cs="Wingdings"/>
                <w:spacing w:val="-36"/>
              </w:rPr>
              <w:t xml:space="preserve"> </w:t>
            </w:r>
            <w:r>
              <w:rPr>
                <w:b/>
                <w:bCs/>
                <w:spacing w:val="-3"/>
              </w:rPr>
              <w:t>打造</w:t>
            </w:r>
            <w:r>
              <w:rPr>
                <w:b/>
                <w:bCs/>
                <w:color w:val="FF0000"/>
                <w:spacing w:val="-3"/>
              </w:rPr>
              <w:t>4000-6000家“小灯塔”企业</w:t>
            </w:r>
          </w:p>
        </w:tc>
      </w:tr>
    </w:tbl>
    <w:p>
      <w:pPr>
        <w:spacing w:before="108" w:line="533" w:lineRule="exact"/>
        <w:ind w:firstLine="9643"/>
      </w:pPr>
      <w:r>
        <w:rPr>
          <w:position w:val="-10"/>
        </w:rPr>
        <w:pict>
          <v:shape id="_x0000_i1031" type="#_x0000_t202" style="width:468.65pt;height:26.65pt;mso-position-horizontal-relative:char;mso-position-vertical-relative:line" filled="t" fillcolor="#002060" stroked="f">
            <o:lock v:ext="edit" aspectratio="f"/>
            <v:textbox inset="0,0,0,0">
              <w:txbxContent>
                <w:p>
                  <w:pPr>
                    <w:spacing w:before="106" w:line="188" w:lineRule="auto"/>
                    <w:ind w:left="700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00"/>
                      <w:spacing w:val="9"/>
                      <w:sz w:val="31"/>
                      <w:szCs w:val="31"/>
                    </w:rPr>
                    <w:t>工信部等九部门《质量标准品牌赋值中小企业专项行动》</w:t>
                  </w:r>
                </w:p>
              </w:txbxContent>
            </v:textbox>
            <w10:wrap type="none"/>
          </v:shape>
        </w:pict>
      </w:r>
    </w:p>
    <w:p>
      <w:pPr>
        <w:spacing w:line="30" w:lineRule="exact"/>
        <w:sectPr>
          <w:footerReference w:type="default" r:id="rId12"/>
          <w:pgSz w:w="19200" w:h="10800"/>
          <w:pgMar w:top="192" w:right="2" w:bottom="107" w:left="0" w:header="0" w:footer="0" w:gutter="0"/>
          <w:pgNumType w:start="4"/>
          <w:cols w:space="708"/>
        </w:sectPr>
      </w:pPr>
    </w:p>
    <w:tbl>
      <w:tblPr>
        <w:tblStyle w:val="TableNormal1"/>
        <w:tblW w:w="9372" w:type="dxa"/>
        <w:tblInd w:w="9643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</w:tblBorders>
        <w:tblLayout w:type="fixed"/>
      </w:tblPr>
      <w:tblGrid>
        <w:gridCol w:w="9372"/>
      </w:tblGrid>
      <w:tr>
        <w:tblPrEx>
          <w:tblW w:w="9372" w:type="dxa"/>
          <w:tblInd w:w="9643" w:type="dxa"/>
          <w:tblBorders>
            <w:top w:val="single" w:sz="8" w:space="0" w:color="D9D9D9"/>
            <w:left w:val="single" w:sz="8" w:space="0" w:color="D9D9D9"/>
            <w:bottom w:val="single" w:sz="8" w:space="0" w:color="D9D9D9"/>
            <w:right w:val="single" w:sz="8" w:space="0" w:color="D9D9D9"/>
          </w:tblBorders>
          <w:tblLayout w:type="fixed"/>
        </w:tblPrEx>
        <w:trPr>
          <w:trHeight w:val="2075"/>
        </w:trPr>
        <w:tc>
          <w:tcPr>
            <w:tcW w:w="9372" w:type="dxa"/>
            <w:vAlign w:val="top"/>
          </w:tcPr>
          <w:p>
            <w:pPr>
              <w:pStyle w:val="TableText"/>
              <w:spacing w:before="89" w:line="199" w:lineRule="auto"/>
              <w:ind w:left="550" w:right="145" w:hanging="432"/>
            </w:pPr>
            <w:r>
              <w:rPr>
                <w:rFonts w:ascii="Wingdings" w:eastAsia="Wingdings" w:hAnsi="Wingdings" w:cs="Wingdings"/>
                <w:spacing w:val="4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sym w:font="Wingdings" w:char="F070"/>
            </w:r>
            <w:r>
              <w:rPr>
                <w:rFonts w:ascii="Wingdings" w:eastAsia="Wingdings" w:hAnsi="Wingdings" w:cs="Wingdings"/>
                <w:spacing w:val="-35"/>
              </w:rPr>
              <w:t xml:space="preserve"> </w:t>
            </w:r>
            <w:r>
              <w:rPr>
                <w:b/>
                <w:bCs/>
                <w:spacing w:val="4"/>
              </w:rPr>
              <w:t>推广</w:t>
            </w:r>
            <w:r>
              <w:rPr>
                <w:b/>
                <w:bCs/>
                <w:color w:val="FF0000"/>
                <w:spacing w:val="4"/>
              </w:rPr>
              <w:t>质量管理数字化</w:t>
            </w:r>
            <w:r>
              <w:rPr>
                <w:b/>
                <w:bCs/>
                <w:spacing w:val="4"/>
              </w:rPr>
              <w:t>。推广</w:t>
            </w:r>
            <w:r>
              <w:rPr>
                <w:b/>
                <w:bCs/>
                <w:color w:val="FF0000"/>
                <w:spacing w:val="4"/>
              </w:rPr>
              <w:t>成熟数字化、</w:t>
            </w:r>
            <w:r>
              <w:rPr>
                <w:b/>
                <w:bCs/>
                <w:color w:val="FF0000"/>
                <w:spacing w:val="-60"/>
              </w:rPr>
              <w:t xml:space="preserve"> </w:t>
            </w:r>
            <w:r>
              <w:rPr>
                <w:b/>
                <w:bCs/>
                <w:color w:val="FF0000"/>
                <w:spacing w:val="4"/>
              </w:rPr>
              <w:t>智能化质量管控模式</w:t>
            </w:r>
            <w:r>
              <w:rPr>
                <w:b/>
                <w:bCs/>
                <w:color w:val="FF0000"/>
                <w:spacing w:val="-40"/>
              </w:rPr>
              <w:t xml:space="preserve"> </w:t>
            </w:r>
            <w:r>
              <w:rPr>
                <w:b/>
                <w:bCs/>
                <w:spacing w:val="4"/>
              </w:rPr>
              <w:t>，为中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7"/>
              </w:rPr>
              <w:t>小企业提供有针对性的质量管理数字化解决方案</w:t>
            </w:r>
            <w:r>
              <w:rPr>
                <w:b/>
                <w:bCs/>
                <w:spacing w:val="-40"/>
              </w:rPr>
              <w:t xml:space="preserve"> </w:t>
            </w:r>
            <w:r>
              <w:rPr>
                <w:b/>
                <w:bCs/>
                <w:spacing w:val="7"/>
              </w:rPr>
              <w:t>，组织开展典型案例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7"/>
              </w:rPr>
              <w:t>遴选及经验交流活动。提高</w:t>
            </w:r>
            <w:r>
              <w:rPr>
                <w:b/>
                <w:bCs/>
                <w:color w:val="FF0000"/>
                <w:spacing w:val="7"/>
              </w:rPr>
              <w:t>质量管理数字化实施成效</w:t>
            </w:r>
            <w:r>
              <w:rPr>
                <w:b/>
                <w:bCs/>
                <w:color w:val="FF0000"/>
                <w:spacing w:val="-38"/>
              </w:rPr>
              <w:t xml:space="preserve"> </w:t>
            </w:r>
            <w:r>
              <w:rPr>
                <w:b/>
                <w:bCs/>
                <w:spacing w:val="7"/>
              </w:rPr>
              <w:t>，支持专业</w:t>
            </w:r>
            <w:r>
              <w:rPr>
                <w:b/>
                <w:bCs/>
                <w:spacing w:val="6"/>
              </w:rPr>
              <w:t>机构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7"/>
              </w:rPr>
              <w:t>为中小企业提供转型咨询、诊断评估、数字化水平评测等服务</w:t>
            </w:r>
            <w:r>
              <w:rPr>
                <w:b/>
                <w:bCs/>
                <w:spacing w:val="-40"/>
              </w:rPr>
              <w:t xml:space="preserve"> </w:t>
            </w:r>
            <w:r>
              <w:rPr>
                <w:b/>
                <w:bCs/>
                <w:spacing w:val="7"/>
              </w:rPr>
              <w:t>，帮助</w:t>
            </w:r>
          </w:p>
          <w:p>
            <w:pPr>
              <w:pStyle w:val="TableText"/>
              <w:spacing w:before="17" w:line="182" w:lineRule="auto"/>
              <w:ind w:left="563"/>
              <w:rPr>
                <w:sz w:val="18"/>
                <w:szCs w:val="18"/>
              </w:rPr>
            </w:pPr>
            <w:r>
              <w:rPr>
                <w:b/>
                <w:bCs/>
                <w:spacing w:val="-3"/>
              </w:rPr>
              <w:t xml:space="preserve">中小企业聚焦重点业务环节， </w:t>
            </w:r>
            <w:r>
              <w:rPr>
                <w:b/>
                <w:bCs/>
                <w:color w:val="FF0000"/>
                <w:spacing w:val="-3"/>
              </w:rPr>
              <w:t>用好质量管理数字化工具</w:t>
            </w:r>
            <w:r>
              <w:rPr>
                <w:b/>
                <w:bCs/>
                <w:spacing w:val="-3"/>
              </w:rPr>
              <w:t xml:space="preserve">。                   </w:t>
            </w:r>
            <w:r>
              <w:rPr>
                <w:color w:val="00125E"/>
                <w:spacing w:val="-3"/>
                <w:position w:val="10"/>
                <w:sz w:val="18"/>
                <w:szCs w:val="18"/>
              </w:rPr>
              <w:t>3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</w:pPr>
      <w:r>
        <w:rPr>
          <w:sz w:val="2"/>
          <w:szCs w:val="2"/>
        </w:rPr>
        <w:br/>
      </w:r>
      <w:r>
        <w:rPr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https://d.book118.com/147050126110006042</w:t>
        </w:r>
      </w:hyperlink>
    </w:p>
    <w:p>
      <w:pPr>
        <w:spacing w:line="14" w:lineRule="auto"/>
        <w:rPr>
          <w:sz w:val="2"/>
          <w:szCs w:val="2"/>
        </w:rPr>
      </w:pPr>
    </w:p>
    <w:sectPr>
      <w:footerReference w:type="default" r:id="rId14"/>
      <w:type w:val="nextPage"/>
      <w:pgSz w:w="19200" w:h="10800"/>
      <w:pgMar w:top="192" w:right="2" w:bottom="107" w:left="0" w:header="0" w:footer="0" w:gutter="0"/>
      <w:pgNumType w:start="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9" w:lineRule="auto"/>
      <w:ind w:left="18747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color w:val="00125E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7.png" /><Relationship Id="rId12" Type="http://schemas.openxmlformats.org/officeDocument/2006/relationships/footer" Target="footer2.xml" /><Relationship Id="rId13" Type="http://schemas.openxmlformats.org/officeDocument/2006/relationships/hyperlink" Target="https://d.book118.com/147050126110006042" TargetMode="Externa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董 仕华</dc:creator>
  <cp:revision>0</cp:revision>
  <dcterms:created xsi:type="dcterms:W3CDTF">2024-02-18T20:20:57Z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2024-02-18T20:33:03Z</vt:filetime>
  </property>
  <property fmtid="{D5CDD505-2E9C-101B-9397-08002B2CF9AE}" pid="3" name="CRO">
    <vt:lpwstr>wqlLaW5nc29mdCBQREYgdG8gV1BTIDkw</vt:lpwstr>
  </property>
</Properties>
</file>