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hint="eastAsia"/>
          <w:b/>
          <w:sz w:val="48"/>
          <w:szCs w:val="48"/>
        </w:rPr>
      </w:pPr>
      <w:r>
        <w:rPr>
          <w:rFonts w:hint="eastAsia"/>
          <w:b/>
          <w:sz w:val="48"/>
          <w:szCs w:val="48"/>
        </w:rPr>
        <w:t>目     录</w:t>
      </w:r>
    </w:p>
    <w:p>
      <w:pPr>
        <w:rPr>
          <w:rFonts w:hint="eastAsia"/>
          <w:sz w:val="32"/>
          <w:szCs w:val="32"/>
        </w:rPr>
      </w:pPr>
    </w:p>
    <w:p>
      <w:pPr>
        <w:spacing w:line="480" w:lineRule="auto"/>
        <w:rPr>
          <w:rFonts w:ascii="宋体" w:eastAsia="宋体" w:hAnsi="宋体" w:cs="宋体"/>
          <w:b/>
          <w:bCs/>
          <w:sz w:val="32"/>
          <w:szCs w:val="32"/>
        </w:rPr>
      </w:pPr>
      <w:r>
        <w:rPr>
          <w:rFonts w:ascii="宋体" w:eastAsia="宋体" w:hAnsi="宋体" w:cs="宋体" w:hint="eastAsia"/>
          <w:b/>
          <w:bCs/>
          <w:sz w:val="32"/>
          <w:szCs w:val="32"/>
        </w:rPr>
        <w:t xml:space="preserve">  </w:t>
      </w:r>
    </w:p>
    <w:p>
      <w:pPr>
        <w:pStyle w:val="TOC1"/>
        <w:tabs>
          <w:tab w:val="right" w:leader="dot" w:pos="9071"/>
        </w:tabs>
        <w:rPr>
          <w:rFonts w:ascii="宋体" w:eastAsia="宋体" w:hAnsi="宋体" w:cs="宋体"/>
          <w:b/>
          <w:bCs/>
          <w:sz w:val="32"/>
          <w:szCs w:val="32"/>
        </w:rPr>
      </w:pP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TOC \o "1-1" \h \u </w:instrText>
      </w:r>
      <w:r>
        <w:rPr>
          <w:rFonts w:ascii="宋体" w:eastAsia="宋体" w:hAnsi="宋体" w:cs="宋体" w:hint="eastAsia"/>
          <w:b/>
          <w:bCs/>
          <w:sz w:val="32"/>
          <w:szCs w:val="32"/>
        </w:rPr>
        <w:fldChar w:fldCharType="separate"/>
      </w:r>
      <w:hyperlink w:anchor="_Toc20604" w:history="1">
        <w:r>
          <w:rPr>
            <w:rFonts w:ascii="宋体" w:eastAsia="宋体" w:hAnsi="宋体" w:cs="宋体" w:hint="eastAsia"/>
            <w:b/>
            <w:bCs/>
            <w:sz w:val="32"/>
            <w:szCs w:val="32"/>
          </w:rPr>
          <w:t>一、编制依据：</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_Toc20604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2</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10595" w:history="1">
        <w:r>
          <w:rPr>
            <w:rFonts w:ascii="宋体" w:eastAsia="宋体" w:hAnsi="宋体" w:cs="宋体" w:hint="eastAsia"/>
            <w:b/>
            <w:bCs/>
            <w:sz w:val="32"/>
            <w:szCs w:val="32"/>
          </w:rPr>
          <w:t>二、工程概况</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_Toc10595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2</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2074" w:history="1">
        <w:r>
          <w:rPr>
            <w:rFonts w:ascii="宋体" w:eastAsia="宋体" w:hAnsi="宋体" w:cs="宋体" w:hint="eastAsia"/>
            <w:b/>
            <w:bCs/>
            <w:sz w:val="32"/>
            <w:szCs w:val="32"/>
          </w:rPr>
          <w:t>三、施工准备</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_Toc2074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2</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17122" w:history="1">
        <w:r>
          <w:rPr>
            <w:rFonts w:ascii="宋体" w:eastAsia="宋体" w:hAnsi="宋体" w:cs="宋体" w:hint="eastAsia"/>
            <w:b/>
            <w:bCs/>
            <w:sz w:val="32"/>
            <w:szCs w:val="32"/>
          </w:rPr>
          <w:t>四、施工部署</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_Toc17122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3</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5167" w:history="1">
        <w:r>
          <w:rPr>
            <w:rFonts w:ascii="宋体" w:eastAsia="宋体" w:hAnsi="宋体" w:cs="宋体" w:hint="eastAsia"/>
            <w:b/>
            <w:bCs/>
            <w:sz w:val="32"/>
            <w:szCs w:val="32"/>
          </w:rPr>
          <w:t>五、主要施工方法</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_Toc5167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6</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18445" w:history="1">
        <w:r>
          <w:rPr>
            <w:rFonts w:ascii="宋体" w:eastAsia="宋体" w:hAnsi="宋体" w:cs="宋体" w:hint="eastAsia"/>
            <w:b/>
            <w:bCs/>
            <w:sz w:val="32"/>
            <w:szCs w:val="32"/>
          </w:rPr>
          <w:t>六、成品保护</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_Toc18445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25</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28435" w:history="1">
        <w:r>
          <w:rPr>
            <w:rFonts w:ascii="宋体" w:eastAsia="宋体" w:hAnsi="宋体" w:cs="宋体" w:hint="eastAsia"/>
            <w:b/>
            <w:bCs/>
            <w:sz w:val="32"/>
            <w:szCs w:val="32"/>
          </w:rPr>
          <w:t>七、质量保证措施</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_Toc28435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28</w:t>
        </w:r>
        <w:r>
          <w:rPr>
            <w:rFonts w:ascii="宋体" w:eastAsia="宋体" w:hAnsi="宋体" w:cs="宋体" w:hint="eastAsia"/>
            <w:b/>
            <w:bCs/>
            <w:sz w:val="32"/>
            <w:szCs w:val="32"/>
          </w:rPr>
          <w:fldChar w:fldCharType="end"/>
        </w:r>
      </w:hyperlink>
    </w:p>
    <w:p>
      <w:pPr>
        <w:pStyle w:val="TOC1"/>
        <w:tabs>
          <w:tab w:val="right" w:leader="dot" w:pos="9071"/>
        </w:tabs>
        <w:rPr>
          <w:rFonts w:ascii="宋体" w:eastAsia="宋体" w:hAnsi="宋体" w:cs="宋体"/>
          <w:b/>
          <w:bCs/>
          <w:sz w:val="32"/>
          <w:szCs w:val="32"/>
        </w:rPr>
      </w:pPr>
    </w:p>
    <w:p>
      <w:pPr>
        <w:pStyle w:val="TOC1"/>
        <w:tabs>
          <w:tab w:val="right" w:leader="dot" w:pos="9071"/>
        </w:tabs>
        <w:rPr>
          <w:rFonts w:ascii="宋体" w:eastAsia="宋体" w:hAnsi="宋体" w:cs="宋体"/>
          <w:b/>
          <w:bCs/>
          <w:sz w:val="32"/>
          <w:szCs w:val="32"/>
        </w:rPr>
      </w:pPr>
      <w:hyperlink w:anchor="_Toc17493" w:history="1">
        <w:r>
          <w:rPr>
            <w:rFonts w:ascii="宋体" w:eastAsia="宋体" w:hAnsi="宋体" w:cs="宋体" w:hint="eastAsia"/>
            <w:b/>
            <w:bCs/>
            <w:sz w:val="32"/>
            <w:szCs w:val="32"/>
          </w:rPr>
          <w:t>八、安全、文明施工及环保工程</w:t>
        </w:r>
        <w:r>
          <w:rPr>
            <w:rFonts w:ascii="宋体" w:eastAsia="宋体" w:hAnsi="宋体" w:cs="宋体" w:hint="eastAsia"/>
            <w:b/>
            <w:bCs/>
            <w:sz w:val="32"/>
            <w:szCs w:val="32"/>
          </w:rPr>
          <w:tab/>
        </w:r>
        <w:r>
          <w:rPr>
            <w:rFonts w:ascii="宋体" w:eastAsia="宋体" w:hAnsi="宋体" w:cs="宋体" w:hint="eastAsia"/>
            <w:b/>
            <w:bCs/>
            <w:sz w:val="32"/>
            <w:szCs w:val="32"/>
          </w:rPr>
          <w:fldChar w:fldCharType="begin"/>
        </w:r>
        <w:r>
          <w:rPr>
            <w:rFonts w:ascii="宋体" w:eastAsia="宋体" w:hAnsi="宋体" w:cs="宋体" w:hint="eastAsia"/>
            <w:b/>
            <w:bCs/>
            <w:sz w:val="32"/>
            <w:szCs w:val="32"/>
          </w:rPr>
          <w:instrText xml:space="preserve"> PAGEREF _Toc17493 </w:instrText>
        </w:r>
        <w:r>
          <w:rPr>
            <w:rFonts w:ascii="宋体" w:eastAsia="宋体" w:hAnsi="宋体" w:cs="宋体" w:hint="eastAsia"/>
            <w:b/>
            <w:bCs/>
            <w:sz w:val="32"/>
            <w:szCs w:val="32"/>
          </w:rPr>
          <w:fldChar w:fldCharType="separate"/>
        </w:r>
        <w:r>
          <w:rPr>
            <w:rFonts w:ascii="宋体" w:eastAsia="宋体" w:hAnsi="宋体" w:cs="宋体" w:hint="eastAsia"/>
            <w:b/>
            <w:bCs/>
            <w:sz w:val="32"/>
            <w:szCs w:val="32"/>
          </w:rPr>
          <w:t>30</w:t>
        </w:r>
        <w:r>
          <w:rPr>
            <w:rFonts w:ascii="宋体" w:eastAsia="宋体" w:hAnsi="宋体" w:cs="宋体" w:hint="eastAsia"/>
            <w:b/>
            <w:bCs/>
            <w:sz w:val="32"/>
            <w:szCs w:val="32"/>
          </w:rPr>
          <w:fldChar w:fldCharType="end"/>
        </w:r>
      </w:hyperlink>
    </w:p>
    <w:p>
      <w:pPr>
        <w:spacing w:line="480" w:lineRule="auto"/>
        <w:rPr>
          <w:rFonts w:ascii="宋体" w:eastAsia="宋体" w:hAnsi="宋体" w:cs="宋体"/>
          <w:sz w:val="32"/>
          <w:szCs w:val="32"/>
        </w:rPr>
      </w:pPr>
      <w:r>
        <w:rPr>
          <w:rFonts w:ascii="宋体" w:eastAsia="宋体" w:hAnsi="宋体" w:cs="宋体" w:hint="eastAsia"/>
          <w:b/>
          <w:bCs/>
          <w:sz w:val="32"/>
          <w:szCs w:val="32"/>
        </w:rPr>
        <w:fldChar w:fldCharType="end"/>
      </w:r>
    </w:p>
    <w:p>
      <w:pPr>
        <w:pStyle w:val="Heading1"/>
      </w:pPr>
    </w:p>
    <w:p/>
    <w:p/>
    <w:p/>
    <w:p>
      <w:pPr>
        <w:sectPr>
          <w:headerReference w:type="even" r:id="rId5"/>
          <w:headerReference w:type="default" r:id="rId6"/>
          <w:footerReference w:type="even" r:id="rId7"/>
          <w:footerReference w:type="default" r:id="rId8"/>
          <w:headerReference w:type="first" r:id="rId9"/>
          <w:footerReference w:type="first" r:id="rId10"/>
          <w:pgSz w:w="11906" w:h="16838"/>
          <w:pgMar w:top="1701" w:right="1361" w:bottom="1134" w:left="1474" w:header="851" w:footer="992" w:gutter="0"/>
          <w:pgNumType w:start="0"/>
          <w:cols w:num="1" w:space="720"/>
          <w:titlePg/>
          <w:docGrid w:type="lines" w:linePitch="312" w:charSpace="0"/>
        </w:sectPr>
      </w:pPr>
    </w:p>
    <w:p/>
    <w:p/>
    <w:p/>
    <w:p/>
    <w:p/>
    <w:p>
      <w:pPr>
        <w:sectPr>
          <w:headerReference w:type="even" r:id="rId11"/>
          <w:headerReference w:type="default" r:id="rId12"/>
          <w:footerReference w:type="even" r:id="rId13"/>
          <w:footerReference w:type="default" r:id="rId14"/>
          <w:headerReference w:type="first" r:id="rId15"/>
          <w:footerReference w:type="first" r:id="rId16"/>
          <w:type w:val="nextPage"/>
          <w:pgSz w:w="11906" w:h="16838"/>
          <w:pgMar w:top="1701" w:right="1361" w:bottom="1134" w:left="1474" w:header="851" w:footer="992" w:gutter="0"/>
          <w:pgNumType w:start="1"/>
          <w:cols w:num="1" w:space="720"/>
          <w:titlePg w:val="0"/>
          <w:docGrid w:type="lines" w:linePitch="312" w:charSpace="0"/>
        </w:sectPr>
      </w:pPr>
    </w:p>
    <w:p>
      <w:pPr>
        <w:pStyle w:val="Heading1"/>
      </w:pPr>
      <w:bookmarkStart w:id="0" w:name="_Toc20604"/>
      <w:r>
        <w:rPr>
          <w:rFonts w:hint="eastAsia"/>
        </w:rPr>
        <w:t>一、编制依据：</w:t>
      </w:r>
      <w:bookmarkEnd w:id="0"/>
    </w:p>
    <w:tbl>
      <w:tblPr>
        <w:tblStyle w:val="TableNormal"/>
        <w:tblW w:w="8508" w:type="dxa"/>
        <w:tblInd w:w="2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843"/>
        <w:gridCol w:w="5145"/>
        <w:gridCol w:w="2520"/>
      </w:tblGrid>
      <w:tr>
        <w:tblPrEx>
          <w:tblW w:w="8508" w:type="dxa"/>
          <w:tblInd w:w="2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360"/>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序号</w:t>
            </w:r>
          </w:p>
        </w:tc>
        <w:tc>
          <w:tcPr>
            <w:tcW w:w="5145" w:type="dxa"/>
            <w:vAlign w:val="center"/>
          </w:tcPr>
          <w:p>
            <w:pPr>
              <w:pStyle w:val="List"/>
              <w:spacing w:before="0" w:after="0" w:line="360" w:lineRule="auto"/>
              <w:jc w:val="cente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名  称</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编号</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1</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《建筑工程施工质量验收统一标准》</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（GB50300-2001）</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2</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《砌体工程施工质量验收规范》</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（GB20203-2002）</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3</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《屋面工程施工质量验收规范》</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（GB50207-2002）</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4</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《建筑地面工程施工质量验收规范》</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（GB50209-2002）</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5</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《建筑装修装饰工程质量验收规范》</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（GB50210-2002）</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6</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《建筑安装分项工程施工工艺规程》</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（DBJ/T01-26-2003）</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7</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《建筑涂料工程施工及验收规程》</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（JG-T29-2003）</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8</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《住宅装饰装修工程施工规范》</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（GB50327-2001）</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9</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《建筑内外墙涂料应用规程》</w:t>
            </w:r>
          </w:p>
        </w:tc>
        <w:tc>
          <w:tcPr>
            <w:tcW w:w="2520"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（DBJ/T01-42-99）</w:t>
            </w: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10</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88J系列图集</w:t>
            </w:r>
          </w:p>
        </w:tc>
        <w:tc>
          <w:tcPr>
            <w:tcW w:w="2520" w:type="dxa"/>
            <w:vAlign w:val="center"/>
          </w:tcPr>
          <w:p>
            <w:pPr>
              <w:spacing w:line="360" w:lineRule="auto"/>
              <w:jc w:val="center"/>
              <w:rPr>
                <w:rFonts w:asciiTheme="minorEastAsia" w:hAnsiTheme="minorEastAsia" w:cstheme="minorEastAsia"/>
                <w:sz w:val="24"/>
              </w:rPr>
            </w:pP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11</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施工图纸</w:t>
            </w:r>
          </w:p>
        </w:tc>
        <w:tc>
          <w:tcPr>
            <w:tcW w:w="2520" w:type="dxa"/>
            <w:vAlign w:val="center"/>
          </w:tcPr>
          <w:p>
            <w:pPr>
              <w:spacing w:line="360" w:lineRule="auto"/>
              <w:jc w:val="center"/>
              <w:rPr>
                <w:rFonts w:asciiTheme="minorEastAsia" w:hAnsiTheme="minorEastAsia" w:cstheme="minorEastAsia"/>
                <w:sz w:val="24"/>
              </w:rPr>
            </w:pPr>
          </w:p>
        </w:tc>
      </w:tr>
      <w:tr>
        <w:tblPrEx>
          <w:tblW w:w="8508" w:type="dxa"/>
          <w:tblInd w:w="226" w:type="dxa"/>
          <w:tblLayout w:type="fixed"/>
          <w:tblCellMar>
            <w:top w:w="0" w:type="dxa"/>
            <w:left w:w="108" w:type="dxa"/>
            <w:bottom w:w="0" w:type="dxa"/>
            <w:right w:w="108" w:type="dxa"/>
          </w:tblCellMar>
        </w:tblPrEx>
        <w:trPr>
          <w:trHeight w:val="435"/>
        </w:trPr>
        <w:tc>
          <w:tcPr>
            <w:tcW w:w="843" w:type="dxa"/>
            <w:vAlign w:val="center"/>
          </w:tcPr>
          <w:p>
            <w:pPr>
              <w:spacing w:line="360" w:lineRule="auto"/>
              <w:jc w:val="center"/>
              <w:rPr>
                <w:rFonts w:asciiTheme="minorEastAsia" w:hAnsiTheme="minorEastAsia" w:cstheme="minorEastAsia"/>
                <w:sz w:val="24"/>
              </w:rPr>
            </w:pPr>
            <w:r>
              <w:rPr>
                <w:rFonts w:asciiTheme="minorEastAsia" w:hAnsiTheme="minorEastAsia" w:cstheme="minorEastAsia" w:hint="eastAsia"/>
                <w:sz w:val="24"/>
              </w:rPr>
              <w:t>12</w:t>
            </w:r>
          </w:p>
        </w:tc>
        <w:tc>
          <w:tcPr>
            <w:tcW w:w="5145" w:type="dxa"/>
            <w:vAlign w:val="center"/>
          </w:tcPr>
          <w:p>
            <w:pPr>
              <w:spacing w:line="360" w:lineRule="auto"/>
              <w:rPr>
                <w:rFonts w:asciiTheme="minorEastAsia" w:hAnsiTheme="minorEastAsia" w:cstheme="minorEastAsia"/>
                <w:sz w:val="24"/>
              </w:rPr>
            </w:pPr>
            <w:r>
              <w:rPr>
                <w:rFonts w:asciiTheme="minorEastAsia" w:hAnsiTheme="minorEastAsia" w:cstheme="minorEastAsia" w:hint="eastAsia"/>
                <w:sz w:val="24"/>
              </w:rPr>
              <w:t>施工组织设计</w:t>
            </w:r>
          </w:p>
        </w:tc>
        <w:tc>
          <w:tcPr>
            <w:tcW w:w="2520" w:type="dxa"/>
            <w:vAlign w:val="center"/>
          </w:tcPr>
          <w:p>
            <w:pPr>
              <w:spacing w:line="360" w:lineRule="auto"/>
              <w:jc w:val="center"/>
              <w:rPr>
                <w:rFonts w:asciiTheme="minorEastAsia" w:hAnsiTheme="minorEastAsia" w:cstheme="minorEastAsia"/>
                <w:sz w:val="24"/>
              </w:rPr>
            </w:pPr>
          </w:p>
        </w:tc>
      </w:tr>
    </w:tbl>
    <w:p>
      <w:pPr>
        <w:spacing w:line="360" w:lineRule="auto"/>
        <w:rPr>
          <w:rFonts w:asciiTheme="minorEastAsia" w:hAnsiTheme="minorEastAsia" w:cstheme="minorEastAsia"/>
          <w:sz w:val="24"/>
        </w:rPr>
      </w:pPr>
      <w:r>
        <w:rPr>
          <w:rFonts w:asciiTheme="minorEastAsia" w:hAnsiTheme="minorEastAsia" w:cstheme="minorEastAsia" w:hint="eastAsia"/>
          <w:sz w:val="24"/>
        </w:rPr>
        <w:t xml:space="preserve"> </w:t>
      </w:r>
    </w:p>
    <w:p>
      <w:pPr>
        <w:pStyle w:val="Heading1"/>
        <w:numPr>
          <w:ilvl w:val="0"/>
          <w:numId w:val="1"/>
        </w:numPr>
        <w:rPr>
          <w:rFonts w:eastAsiaTheme="minorEastAsia"/>
        </w:rPr>
      </w:pPr>
      <w:bookmarkStart w:id="1" w:name="_Toc10595"/>
      <w:r>
        <w:rPr>
          <w:rFonts w:hint="eastAsia"/>
        </w:rPr>
        <w:t>工程概况</w:t>
      </w:r>
      <w:bookmarkEnd w:id="1"/>
    </w:p>
    <w:p>
      <w:pPr>
        <w:pStyle w:val="PlainText"/>
        <w:spacing w:line="360" w:lineRule="auto"/>
        <w:ind w:left="0"/>
        <w:rPr>
          <w:rFonts w:asciiTheme="minorEastAsia" w:hAnsiTheme="minorEastAsia" w:cstheme="minorEastAsia"/>
          <w:bCs/>
          <w:sz w:val="30"/>
          <w:szCs w:val="30"/>
        </w:rPr>
      </w:pPr>
      <w:r>
        <w:rPr>
          <w:rFonts w:asciiTheme="minorEastAsia" w:hAnsiTheme="minorEastAsia" w:cstheme="minorEastAsia" w:hint="eastAsia"/>
          <w:bCs/>
          <w:sz w:val="30"/>
          <w:szCs w:val="30"/>
        </w:rPr>
        <w:t>1、工程概况：</w:t>
      </w:r>
    </w:p>
    <w:p>
      <w:pPr>
        <w:pStyle w:val="PlainText"/>
        <w:spacing w:line="360" w:lineRule="auto"/>
        <w:ind w:left="0"/>
        <w:rPr>
          <w:rFonts w:asciiTheme="minorEastAsia" w:hAnsiTheme="minorEastAsia" w:cstheme="minorEastAsia"/>
          <w:bCs/>
          <w:sz w:val="30"/>
          <w:szCs w:val="30"/>
        </w:rPr>
      </w:pPr>
      <w:bookmarkStart w:id="2" w:name="_Toc2074"/>
      <w:r>
        <w:rPr>
          <w:rFonts w:asciiTheme="minorEastAsia" w:hAnsiTheme="minorEastAsia" w:cstheme="minorEastAsia" w:hint="eastAsia"/>
          <w:bCs/>
          <w:sz w:val="30"/>
          <w:szCs w:val="30"/>
        </w:rPr>
        <w:t>广灵县南村镇设施农业及水利基础设施建设项目第二标段（绿色蔬菜种植园区）</w:t>
      </w:r>
    </w:p>
    <w:p>
      <w:pPr>
        <w:pStyle w:val="PlainText"/>
        <w:spacing w:line="360" w:lineRule="auto"/>
        <w:ind w:left="0"/>
        <w:rPr>
          <w:rFonts w:asciiTheme="minorEastAsia" w:hAnsiTheme="minorEastAsia" w:cstheme="minorEastAsia"/>
          <w:bCs/>
          <w:sz w:val="30"/>
          <w:szCs w:val="30"/>
        </w:rPr>
      </w:pPr>
      <w:r>
        <w:rPr>
          <w:rFonts w:asciiTheme="minorEastAsia" w:hAnsiTheme="minorEastAsia" w:cstheme="minorEastAsia" w:hint="eastAsia"/>
          <w:bCs/>
          <w:sz w:val="30"/>
          <w:szCs w:val="30"/>
        </w:rPr>
        <w:t>建设单位：广灵县南村镇人民政府</w:t>
      </w:r>
    </w:p>
    <w:p>
      <w:pPr>
        <w:pStyle w:val="PlainText"/>
        <w:spacing w:line="360" w:lineRule="auto"/>
        <w:ind w:left="0"/>
        <w:rPr>
          <w:rFonts w:asciiTheme="minorEastAsia" w:hAnsiTheme="minorEastAsia" w:cstheme="minorEastAsia"/>
          <w:bCs/>
          <w:sz w:val="30"/>
          <w:szCs w:val="30"/>
        </w:rPr>
      </w:pPr>
      <w:r>
        <w:rPr>
          <w:rFonts w:asciiTheme="minorEastAsia" w:hAnsiTheme="minorEastAsia" w:cstheme="minorEastAsia" w:hint="eastAsia"/>
          <w:bCs/>
          <w:sz w:val="30"/>
          <w:szCs w:val="30"/>
        </w:rPr>
        <w:t>施工单位：广灵县锦泰建筑安装有限公司</w:t>
      </w:r>
    </w:p>
    <w:p>
      <w:pPr>
        <w:pStyle w:val="PlainText"/>
        <w:spacing w:line="360" w:lineRule="auto"/>
        <w:ind w:left="0"/>
        <w:rPr>
          <w:rFonts w:asciiTheme="minorEastAsia" w:hAnsiTheme="minorEastAsia" w:cstheme="minorEastAsia"/>
          <w:bCs/>
          <w:sz w:val="30"/>
          <w:szCs w:val="30"/>
        </w:rPr>
      </w:pPr>
      <w:r>
        <w:rPr>
          <w:rFonts w:asciiTheme="minorEastAsia" w:hAnsiTheme="minorEastAsia" w:cstheme="minorEastAsia" w:hint="eastAsia"/>
          <w:bCs/>
          <w:sz w:val="30"/>
          <w:szCs w:val="30"/>
        </w:rPr>
        <w:t xml:space="preserve">监理单位：山西博鹏工程项目管理有限公司   </w:t>
      </w:r>
    </w:p>
    <w:p>
      <w:pPr>
        <w:pStyle w:val="PlainText"/>
        <w:spacing w:line="360" w:lineRule="auto"/>
        <w:ind w:left="0"/>
        <w:rPr>
          <w:rFonts w:asciiTheme="minorEastAsia" w:hAnsiTheme="minorEastAsia" w:cstheme="minorEastAsia"/>
          <w:bCs/>
          <w:sz w:val="30"/>
          <w:szCs w:val="30"/>
        </w:rPr>
        <w:sectPr>
          <w:headerReference w:type="even" r:id="rId17"/>
          <w:headerReference w:type="default" r:id="rId18"/>
          <w:footerReference w:type="even" r:id="rId19"/>
          <w:footerReference w:type="default" r:id="rId20"/>
          <w:headerReference w:type="first" r:id="rId21"/>
          <w:footerReference w:type="first" r:id="rId22"/>
          <w:pgSz w:w="11906" w:h="16838"/>
          <w:pgMar w:top="1701" w:right="1361" w:bottom="1134" w:left="1474" w:header="851" w:footer="992" w:gutter="0"/>
          <w:pgNumType w:start="2"/>
          <w:cols w:num="1" w:space="720"/>
          <w:docGrid w:type="lines" w:linePitch="312" w:charSpace="0"/>
        </w:sectPr>
      </w:pPr>
      <w:r>
        <w:rPr>
          <w:rFonts w:asciiTheme="minorEastAsia" w:hAnsiTheme="minorEastAsia" w:cstheme="minorEastAsia" w:hint="eastAsia"/>
          <w:bCs/>
          <w:sz w:val="30"/>
          <w:szCs w:val="30"/>
        </w:rPr>
        <w:t>工程地点：广灵县南村镇南村村、北土村、庄头村</w:t>
      </w:r>
    </w:p>
    <w:p>
      <w:pPr>
        <w:pStyle w:val="PlainText"/>
        <w:spacing w:line="360" w:lineRule="auto"/>
        <w:ind w:left="0" w:firstLine="600" w:firstLineChars="200"/>
        <w:rPr>
          <w:rFonts w:asciiTheme="minorEastAsia" w:hAnsiTheme="minorEastAsia" w:cstheme="minorEastAsia"/>
          <w:bCs/>
          <w:sz w:val="30"/>
          <w:szCs w:val="30"/>
        </w:rPr>
      </w:pPr>
      <w:r>
        <w:rPr>
          <w:rFonts w:asciiTheme="minorEastAsia" w:hAnsiTheme="minorEastAsia" w:cstheme="minorEastAsia" w:hint="eastAsia"/>
          <w:bCs/>
          <w:sz w:val="30"/>
          <w:szCs w:val="30"/>
        </w:rPr>
        <w:t>工程概况：本工程总占地面积302亩。建设内容包括标准暖棚62栋，面积：75988.8平方米、高温育苗暖棚2栋，面积:2059.2平方米、附属用房、道路硬化及水利配套设施工程。</w:t>
      </w:r>
    </w:p>
    <w:p>
      <w:pPr>
        <w:pStyle w:val="Heading1"/>
      </w:pPr>
      <w:r>
        <w:rPr>
          <w:rFonts w:hint="eastAsia"/>
        </w:rPr>
        <w:t>三、施工准备</w:t>
      </w:r>
      <w:bookmarkEnd w:id="2"/>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3.1 技术准备：</w:t>
      </w:r>
    </w:p>
    <w:p>
      <w:pPr>
        <w:spacing w:line="360" w:lineRule="auto"/>
        <w:rPr>
          <w:rFonts w:asciiTheme="minorEastAsia" w:hAnsiTheme="minorEastAsia" w:cstheme="minorEastAsia"/>
          <w:b/>
          <w:sz w:val="30"/>
          <w:szCs w:val="30"/>
        </w:rPr>
      </w:pPr>
      <w:r>
        <w:rPr>
          <w:rFonts w:asciiTheme="minorEastAsia" w:hAnsiTheme="minorEastAsia" w:cstheme="minorEastAsia" w:hint="eastAsia"/>
          <w:bCs/>
          <w:sz w:val="30"/>
          <w:szCs w:val="30"/>
        </w:rPr>
        <w:t>3.1.1</w:t>
      </w:r>
      <w:r>
        <w:rPr>
          <w:rFonts w:asciiTheme="minorEastAsia" w:hAnsiTheme="minorEastAsia" w:cstheme="minorEastAsia" w:hint="eastAsia"/>
          <w:b/>
          <w:sz w:val="30"/>
          <w:szCs w:val="30"/>
        </w:rPr>
        <w:t xml:space="preserve"> </w:t>
      </w:r>
      <w:r>
        <w:rPr>
          <w:rFonts w:asciiTheme="minorEastAsia" w:hAnsiTheme="minorEastAsia" w:cstheme="minorEastAsia" w:hint="eastAsia"/>
          <w:sz w:val="30"/>
          <w:szCs w:val="30"/>
        </w:rPr>
        <w:t>拟采用新型装修材料的资料收集：</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3）屋面：保护层屋面/钢结构。</w:t>
      </w:r>
    </w:p>
    <w:p>
      <w:pPr>
        <w:pStyle w:val="PlainText"/>
        <w:spacing w:line="360" w:lineRule="auto"/>
        <w:ind w:left="0"/>
        <w:rPr>
          <w:rFonts w:asciiTheme="minorEastAsia" w:hAnsiTheme="minorEastAsia" w:cstheme="minorEastAsia"/>
          <w:kern w:val="2"/>
          <w:sz w:val="30"/>
          <w:szCs w:val="30"/>
        </w:rPr>
      </w:pPr>
      <w:r>
        <w:rPr>
          <w:rFonts w:asciiTheme="minorEastAsia" w:hAnsiTheme="minorEastAsia" w:cstheme="minorEastAsia" w:hint="eastAsia"/>
          <w:bCs/>
          <w:sz w:val="30"/>
          <w:szCs w:val="30"/>
        </w:rPr>
        <w:t>3.1.2 交底</w:t>
      </w:r>
      <w:r>
        <w:rPr>
          <w:rFonts w:asciiTheme="minorEastAsia" w:hAnsiTheme="minorEastAsia" w:cstheme="minorEastAsia" w:hint="eastAsia"/>
          <w:b/>
          <w:sz w:val="30"/>
          <w:szCs w:val="30"/>
        </w:rPr>
        <w:t>：</w:t>
      </w:r>
      <w:r>
        <w:rPr>
          <w:rFonts w:asciiTheme="minorEastAsia" w:hAnsiTheme="minorEastAsia" w:cstheme="minorEastAsia" w:hint="eastAsia"/>
          <w:sz w:val="30"/>
          <w:szCs w:val="30"/>
        </w:rPr>
        <w:t>班组在进行作业之前，必须进行书面的技术安全交底，交底要有针对性和可操作性。</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3.2 专业施工队伍准备：</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装修阶段参与施工的主要专业分包队伍有：涂料公司、门窗安装公司等。在各专业队伍进场施工前，要检查其营业执照及资质等级证明，并上报监理及甲方，并现场做样板，通过后方可进场施工。</w:t>
      </w:r>
    </w:p>
    <w:p>
      <w:pPr>
        <w:spacing w:line="360" w:lineRule="auto"/>
        <w:rPr>
          <w:rFonts w:asciiTheme="minorEastAsia" w:hAnsiTheme="minorEastAsia" w:cstheme="minorEastAsia"/>
          <w:b/>
          <w:sz w:val="30"/>
          <w:szCs w:val="30"/>
        </w:rPr>
      </w:pPr>
      <w:hyperlink w:anchor="_top" w:history="1">
        <w:r>
          <w:rPr>
            <w:rFonts w:asciiTheme="minorEastAsia" w:hAnsiTheme="minorEastAsia" w:cstheme="minorEastAsia" w:hint="eastAsia"/>
            <w:bCs/>
            <w:sz w:val="30"/>
            <w:szCs w:val="30"/>
          </w:rPr>
          <w:t xml:space="preserve">3.3 </w:t>
        </w:r>
      </w:hyperlink>
      <w:r>
        <w:rPr>
          <w:rFonts w:asciiTheme="minorEastAsia" w:hAnsiTheme="minorEastAsia" w:cstheme="minorEastAsia" w:hint="eastAsia"/>
          <w:bCs/>
          <w:sz w:val="30"/>
          <w:szCs w:val="30"/>
        </w:rPr>
        <w:t>材料准备：</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所有材料均需提前定货，进场时要有出厂合格证及检测报告。</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3.4 设备准备：</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装修阶段无外用电梯。</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3.5 场地准备：</w:t>
      </w:r>
    </w:p>
    <w:p>
      <w:pPr>
        <w:spacing w:line="360" w:lineRule="auto"/>
        <w:rPr>
          <w:rFonts w:asciiTheme="minorEastAsia" w:hAnsiTheme="minorEastAsia" w:cstheme="minorEastAsia"/>
          <w:color w:val="FF0000"/>
          <w:sz w:val="30"/>
          <w:szCs w:val="30"/>
        </w:rPr>
      </w:pPr>
      <w:r>
        <w:rPr>
          <w:rFonts w:asciiTheme="minorEastAsia" w:hAnsiTheme="minorEastAsia" w:cstheme="minorEastAsia" w:hint="eastAsia"/>
          <w:sz w:val="30"/>
          <w:szCs w:val="30"/>
        </w:rPr>
        <w:t xml:space="preserve">    将水泥、砂子堆放场设置在大棚南侧。</w:t>
      </w:r>
    </w:p>
    <w:p>
      <w:pPr>
        <w:pStyle w:val="Heading1"/>
        <w:rPr>
          <w:sz w:val="30"/>
          <w:szCs w:val="30"/>
        </w:rPr>
      </w:pPr>
      <w:bookmarkStart w:id="3" w:name="_Toc17122"/>
      <w:r>
        <w:rPr>
          <w:rFonts w:hint="eastAsia"/>
          <w:sz w:val="30"/>
          <w:szCs w:val="30"/>
        </w:rPr>
        <w:t>四、</w:t>
      </w:r>
      <w:bookmarkStart w:id="4" w:name="_Toc468632321"/>
      <w:bookmarkStart w:id="5" w:name="_Toc464111387"/>
      <w:bookmarkStart w:id="6" w:name="_Toc498417245"/>
      <w:bookmarkStart w:id="7" w:name="_Toc464111330"/>
      <w:bookmarkStart w:id="8" w:name="_Toc468674331"/>
      <w:r>
        <w:rPr>
          <w:rFonts w:hint="eastAsia"/>
          <w:sz w:val="30"/>
          <w:szCs w:val="30"/>
        </w:rPr>
        <w:t>施工部署</w:t>
      </w:r>
      <w:bookmarkEnd w:id="3"/>
    </w:p>
    <w:bookmarkEnd w:id="4"/>
    <w:bookmarkEnd w:id="5"/>
    <w:bookmarkEnd w:id="6"/>
    <w:bookmarkEnd w:id="7"/>
    <w:bookmarkEnd w:id="8"/>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4.1 装修工程的施工目标：</w:t>
      </w:r>
    </w:p>
    <w:p>
      <w:pPr>
        <w:spacing w:line="360" w:lineRule="auto"/>
        <w:rPr>
          <w:rFonts w:asciiTheme="minorEastAsia" w:hAnsiTheme="minorEastAsia" w:cstheme="minorEastAsia"/>
          <w:sz w:val="30"/>
          <w:szCs w:val="30"/>
        </w:rPr>
        <w:sectPr>
          <w:headerReference w:type="even" r:id="rId23"/>
          <w:headerReference w:type="default" r:id="rId24"/>
          <w:footerReference w:type="even" r:id="rId25"/>
          <w:footerReference w:type="default" r:id="rId26"/>
          <w:headerReference w:type="first" r:id="rId27"/>
          <w:footerReference w:type="first" r:id="rId28"/>
          <w:type w:val="nextPage"/>
          <w:pgSz w:w="11906" w:h="16838"/>
          <w:pgMar w:top="1701" w:right="1361" w:bottom="1134" w:left="1474" w:header="851" w:footer="992" w:gutter="0"/>
          <w:pgNumType w:start="3"/>
          <w:cols w:num="1" w:space="720"/>
          <w:titlePg w:val="0"/>
          <w:docGrid w:type="lines" w:linePitch="312" w:charSpace="0"/>
        </w:sectPr>
      </w:pPr>
      <w:r>
        <w:rPr>
          <w:rFonts w:asciiTheme="minorEastAsia" w:hAnsiTheme="minorEastAsia" w:cstheme="minorEastAsia" w:hint="eastAsia"/>
          <w:sz w:val="30"/>
          <w:szCs w:val="30"/>
        </w:rPr>
        <w:t>4.1.1</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施工质量目标：分部工程达到优良标准，分项工程优良率在90%以上。</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4.1.2 安全文明施工目标：</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安全生产方面：杜绝重伤、死亡事故；轻伤事故发生频率控制在5‰以内。</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文明施工方面：达到广灵县“文明工地”。</w:t>
      </w:r>
    </w:p>
    <w:p>
      <w:pPr>
        <w:spacing w:line="360" w:lineRule="auto"/>
        <w:rPr>
          <w:rFonts w:asciiTheme="minorEastAsia" w:hAnsiTheme="minorEastAsia" w:cstheme="minorEastAsia"/>
          <w:b/>
          <w:sz w:val="30"/>
          <w:szCs w:val="30"/>
        </w:rPr>
      </w:pPr>
      <w:hyperlink w:anchor="_top" w:history="1">
        <w:r>
          <w:rPr>
            <w:rFonts w:asciiTheme="minorEastAsia" w:hAnsiTheme="minorEastAsia" w:cstheme="minorEastAsia" w:hint="eastAsia"/>
            <w:bCs/>
            <w:sz w:val="30"/>
            <w:szCs w:val="30"/>
          </w:rPr>
          <w:t xml:space="preserve">4.2 </w:t>
        </w:r>
      </w:hyperlink>
      <w:r>
        <w:rPr>
          <w:rFonts w:asciiTheme="minorEastAsia" w:hAnsiTheme="minorEastAsia" w:cstheme="minorEastAsia" w:hint="eastAsia"/>
          <w:bCs/>
          <w:sz w:val="30"/>
          <w:szCs w:val="30"/>
        </w:rPr>
        <w:t>装修工程施工的总原则：</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各工种施工必须严格按照规定程序进行，禁止工序倒置。</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4.2.1应先进行湿作业，后进行干作业；先进行粗装作业，后进行精装作业。</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4.2.2 水电安装要与土建施工密切配合，水电安装为土建施工创造条件，土建施工为水电安装创造便利。</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4.2.3对于复杂节点、复杂工序，必须按设计和相关规范的要求施工，杜绝盲目和随意性，保证该部分的施工质量。</w:t>
      </w:r>
    </w:p>
    <w:p>
      <w:pPr>
        <w:pStyle w:val="PlainText"/>
        <w:spacing w:line="360" w:lineRule="auto"/>
        <w:ind w:left="0"/>
        <w:rPr>
          <w:rFonts w:asciiTheme="minorEastAsia" w:hAnsiTheme="minorEastAsia" w:cstheme="minorEastAsia"/>
          <w:kern w:val="2"/>
          <w:sz w:val="30"/>
          <w:szCs w:val="30"/>
        </w:rPr>
      </w:pPr>
      <w:r>
        <w:rPr>
          <w:rFonts w:asciiTheme="minorEastAsia" w:hAnsiTheme="minorEastAsia" w:cstheme="minorEastAsia" w:hint="eastAsia"/>
          <w:sz w:val="30"/>
          <w:szCs w:val="30"/>
        </w:rPr>
        <w:t>4.2.4 加强成品保护：装修工程的每道工序完成后，都应做好成品保护，防止下道工序对上道工序的破坏。每道工序的施工人员都应做到保护上道工序，做好本道工序，服务下道工序。</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4.3 装修工程施工程序：</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4.3.1 外装修：施工程序为自上而下进行。</w:t>
      </w:r>
    </w:p>
    <w:p>
      <w:pPr>
        <w:spacing w:line="360" w:lineRule="auto"/>
        <w:rPr>
          <w:rFonts w:asciiTheme="minorEastAsia" w:hAnsiTheme="minorEastAsia" w:cstheme="minorEastAsia"/>
          <w:b/>
          <w:sz w:val="30"/>
          <w:szCs w:val="30"/>
        </w:rPr>
      </w:pPr>
      <w:r>
        <w:rPr>
          <w:rFonts w:asciiTheme="minorEastAsia" w:hAnsiTheme="minorEastAsia" w:cstheme="minorEastAsia" w:hint="eastAsia"/>
          <w:sz w:val="30"/>
          <w:szCs w:val="30"/>
        </w:rPr>
        <w:t>4.3.2 内装修：主体施工阶段内装修提前插入，自下而上进行初装修施工；主体结构封顶后，装修调整为自上而下进行，尽快完成抹灰等湿作业，这样有利于装修基层的干燥。</w:t>
      </w:r>
    </w:p>
    <w:p>
      <w:pPr>
        <w:spacing w:line="360" w:lineRule="auto"/>
        <w:rPr>
          <w:rFonts w:asciiTheme="minorEastAsia" w:hAnsiTheme="minorEastAsia" w:cstheme="minorEastAsia"/>
          <w:bCs/>
          <w:sz w:val="30"/>
          <w:szCs w:val="30"/>
        </w:rPr>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701" w:right="1361" w:bottom="1134" w:left="1474" w:header="851" w:footer="992" w:gutter="0"/>
          <w:pgNumType w:start="4"/>
          <w:cols w:num="1" w:space="720"/>
          <w:titlePg w:val="0"/>
          <w:docGrid w:type="lines" w:linePitch="312" w:charSpace="0"/>
        </w:sectPr>
      </w:pPr>
      <w:r>
        <w:rPr>
          <w:rFonts w:asciiTheme="minorEastAsia" w:hAnsiTheme="minorEastAsia" w:cstheme="minorEastAsia" w:hint="eastAsia"/>
          <w:bCs/>
          <w:sz w:val="30"/>
          <w:szCs w:val="30"/>
        </w:rPr>
        <w:t>4.4 装修工程交叉施工的控制措施：</w:t>
      </w:r>
    </w:p>
    <w:p>
      <w:pPr>
        <w:pStyle w:val="BodyTextIndent"/>
        <w:ind w:firstLine="0"/>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4.4.1 装修阶段由于工序较多，材料品种也复杂多样，很多材料极易受到破坏；同时，分包商之间、各工序之间、内外装修之间、上下楼层之间均存在较多的交叉作业现象，彼此之间也会造成或多或少的影响。为减少彼此间的相互影响，造成不必要的窝工和破坏现象，在施工管理中，必须注意交叉作业施工时各工种的配合协调工作，加强经理部内部的调节和控制，使各工种、各工序间能顺畅衔接。</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4.4.2 在结构封顶后，应及时安装穿过屋面的各种管道，并及时对各种预留洞口用微胀混凝土加以封堵，防止向室内漏水。同时要抓紧完成屋面找平层和防水层施工，以保证室内装修作业的顺利进行。</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4.4.3 土建施工与水电安装之间的交叉作业：</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1）在装修工程施工中，土建与水电设备安装的交叉作业相当多。为了保证工程的工期和施工后的最终质量，必须避免相互制约、相互影响的局面出现，要做到相互穿插、相互渗透，做到土建施工首先为水电安装创造条件，同时水电安装施工人员也应注意对工程结构的成品、半成品的保护。</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2）土建施工中，应加强对水电管井等预留洞的留设工作，保证位置准确、尺寸满足要求；同时，水电安装应按照建筑做法的要求进行立管及套管等的安装就位，以利于土建对预留洞口等的塞堵、封闭工作的开展。封堵前，双方应认真检查，确保无误后方可进行，避免返工。</w:t>
      </w:r>
    </w:p>
    <w:p>
      <w:pPr>
        <w:spacing w:line="360" w:lineRule="auto"/>
        <w:rPr>
          <w:rFonts w:asciiTheme="minorEastAsia" w:hAnsiTheme="minorEastAsia" w:cstheme="minorEastAsia"/>
          <w:sz w:val="30"/>
          <w:szCs w:val="30"/>
        </w:rPr>
        <w:sectPr>
          <w:headerReference w:type="even" r:id="rId35"/>
          <w:headerReference w:type="default" r:id="rId36"/>
          <w:footerReference w:type="even" r:id="rId37"/>
          <w:footerReference w:type="default" r:id="rId38"/>
          <w:headerReference w:type="first" r:id="rId39"/>
          <w:footerReference w:type="first" r:id="rId40"/>
          <w:type w:val="nextPage"/>
          <w:pgSz w:w="11906" w:h="16838"/>
          <w:pgMar w:top="1701" w:right="1361" w:bottom="1134" w:left="1474" w:header="851" w:footer="992" w:gutter="0"/>
          <w:pgNumType w:start="5"/>
          <w:cols w:num="1" w:space="720"/>
          <w:titlePg w:val="0"/>
          <w:docGrid w:type="lines" w:linePitch="312" w:charSpace="0"/>
        </w:sectPr>
      </w:pPr>
      <w:r>
        <w:rPr>
          <w:rFonts w:asciiTheme="minorEastAsia" w:hAnsiTheme="minorEastAsia" w:cstheme="minorEastAsia" w:hint="eastAsia"/>
          <w:sz w:val="30"/>
          <w:szCs w:val="30"/>
        </w:rPr>
        <w:t>3）水电安装时，应特别对土建成品、半成品进行保护，如：厨卫瓷砖、防水层的破坏及墙面、顶棚等的污染。水电安装时不得对墙体、顶板任意开洞剔凿。</w:t>
      </w:r>
    </w:p>
    <w:p>
      <w:pPr>
        <w:spacing w:line="360" w:lineRule="auto"/>
        <w:rPr>
          <w:rFonts w:asciiTheme="minorEastAsia" w:hAnsiTheme="minorEastAsia" w:cstheme="minorEastAsia"/>
          <w:b/>
          <w:sz w:val="30"/>
          <w:szCs w:val="30"/>
        </w:rPr>
      </w:pPr>
      <w:r>
        <w:rPr>
          <w:rFonts w:asciiTheme="minorEastAsia" w:hAnsiTheme="minorEastAsia" w:cstheme="minorEastAsia" w:hint="eastAsia"/>
          <w:sz w:val="30"/>
          <w:szCs w:val="30"/>
        </w:rPr>
        <w:t>4）为保证装修工程施工的顺利进行，水电安装人员与土建管理人员应定期开生产协调会，制订完善的施工计划，指导各专业的施工生产。</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4.5 施工进度安排：</w:t>
      </w:r>
    </w:p>
    <w:p>
      <w:pPr>
        <w:pStyle w:val="Date"/>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4.5.1  施工安排</w:t>
      </w:r>
    </w:p>
    <w:p>
      <w:pPr>
        <w:spacing w:line="360" w:lineRule="auto"/>
        <w:ind w:left="1755" w:hanging="1650" w:leftChars="50" w:hangingChars="550"/>
        <w:rPr>
          <w:rFonts w:asciiTheme="minorEastAsia" w:hAnsiTheme="minorEastAsia" w:cstheme="minorEastAsia"/>
          <w:sz w:val="30"/>
          <w:szCs w:val="30"/>
        </w:rPr>
      </w:pPr>
      <w:r>
        <w:rPr>
          <w:rFonts w:asciiTheme="minorEastAsia" w:hAnsiTheme="minorEastAsia" w:cstheme="minorEastAsia" w:hint="eastAsia"/>
          <w:sz w:val="30"/>
          <w:szCs w:val="30"/>
        </w:rPr>
        <w:t>外装修：门窗安装→外保温→屋面保温→屋面防水→屋面铺砖→外墙涂料。</w:t>
      </w:r>
    </w:p>
    <w:p>
      <w:pPr>
        <w:spacing w:line="360" w:lineRule="auto"/>
        <w:ind w:left="2100" w:hanging="2100" w:hangingChars="700"/>
        <w:jc w:val="left"/>
        <w:rPr>
          <w:rFonts w:asciiTheme="minorEastAsia" w:hAnsiTheme="minorEastAsia" w:cstheme="minorEastAsia"/>
          <w:sz w:val="30"/>
          <w:szCs w:val="30"/>
        </w:rPr>
      </w:pPr>
      <w:r>
        <w:rPr>
          <w:rFonts w:asciiTheme="minorEastAsia" w:hAnsiTheme="minorEastAsia" w:cstheme="minorEastAsia" w:hint="eastAsia"/>
          <w:sz w:val="30"/>
          <w:szCs w:val="30"/>
        </w:rPr>
        <w:t xml:space="preserve"> 内装修：二次结构墙体砌筑与隔墙板安装→地面工程（水泥地面及地面砖施工）→内墙面抹灰施工→内墙涂料施工</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4.5.2 保证工期措施</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由于本工程工期原因，因此所有工作都必须做到前头，达到预见性和提前性，计划安排应周密严谨。根据总工期控制编排周、月生产进度计划，并在过程中随时检核调整。所有的材料、机械、劳动力必须提前部署安排。</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技术部门提前编制技术方案、作业指导书和技术交底，并加强施工过程图纸审核及与生产部门经常交流，及时办理工程洽商，排除技术障碍，为工程顺利进展创造条件。</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各专业工种之间要紧密配合，合理快速穿插施工。</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加强施工过程管理，工长、质量员严格监督检查全部施工过程环节，及时纠正错误，避免返工，做到施工质量一次成优。</w:t>
      </w:r>
    </w:p>
    <w:p>
      <w:pPr>
        <w:pStyle w:val="Heading1"/>
        <w:rPr>
          <w:sz w:val="30"/>
          <w:szCs w:val="30"/>
        </w:rPr>
      </w:pPr>
      <w:bookmarkStart w:id="9" w:name="_Toc5167"/>
      <w:r>
        <w:rPr>
          <w:rFonts w:hint="eastAsia"/>
          <w:sz w:val="30"/>
          <w:szCs w:val="30"/>
        </w:rPr>
        <w:t>五、主要施工方法</w:t>
      </w:r>
      <w:bookmarkEnd w:id="9"/>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5.1 二次结构砌体施工</w:t>
      </w:r>
    </w:p>
    <w:p>
      <w:pPr>
        <w:spacing w:line="360" w:lineRule="auto"/>
        <w:rPr>
          <w:rFonts w:asciiTheme="minorEastAsia" w:hAnsiTheme="minorEastAsia" w:cstheme="minorEastAsia"/>
          <w:sz w:val="30"/>
          <w:szCs w:val="30"/>
        </w:rPr>
        <w:sectPr>
          <w:headerReference w:type="even" r:id="rId41"/>
          <w:headerReference w:type="default" r:id="rId42"/>
          <w:footerReference w:type="even" r:id="rId43"/>
          <w:footerReference w:type="default" r:id="rId44"/>
          <w:headerReference w:type="first" r:id="rId45"/>
          <w:footerReference w:type="first" r:id="rId46"/>
          <w:type w:val="nextPage"/>
          <w:pgSz w:w="11906" w:h="16838"/>
          <w:pgMar w:top="1701" w:right="1361" w:bottom="1134" w:left="1474" w:header="851" w:footer="992" w:gutter="0"/>
          <w:pgNumType w:start="6"/>
          <w:cols w:num="1" w:space="720"/>
          <w:titlePg w:val="0"/>
          <w:docGrid w:type="lines" w:linePitch="312" w:charSpace="0"/>
        </w:sectPr>
      </w:pPr>
      <w:r>
        <w:rPr>
          <w:rFonts w:asciiTheme="minorEastAsia" w:hAnsiTheme="minorEastAsia" w:cstheme="minorEastAsia" w:hint="eastAsia"/>
          <w:sz w:val="30"/>
          <w:szCs w:val="30"/>
        </w:rPr>
        <w:t xml:space="preserve">  </w:t>
      </w:r>
      <w:r>
        <w:rPr>
          <w:rFonts w:asciiTheme="minorEastAsia" w:hAnsiTheme="minorEastAsia" w:cstheme="minorEastAsia" w:hint="eastAsia"/>
          <w:sz w:val="30"/>
          <w:szCs w:val="30"/>
        </w:rPr>
        <w:t xml:space="preserve"> </w:t>
      </w:r>
    </w:p>
    <w:p>
      <w:pPr>
        <w:spacing w:line="360" w:lineRule="auto"/>
        <w:rPr>
          <w:rFonts w:asciiTheme="minorEastAsia" w:hAnsiTheme="minorEastAsia" w:cstheme="minorEastAsia"/>
          <w:sz w:val="30"/>
          <w:szCs w:val="30"/>
        </w:rPr>
      </w:pPr>
      <w:r>
        <w:rPr>
          <w:rFonts w:asciiTheme="minorEastAsia" w:hAnsiTheme="minorEastAsia" w:cstheme="minorEastAsia" w:hint="eastAsia"/>
          <w:sz w:val="30"/>
          <w:szCs w:val="30"/>
        </w:rPr>
        <w:t xml:space="preserve"> 本工程二次结构墙体厚度为180mm的按设计要求选用加气混凝土砌块。</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5.1.1、施工准备</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1.1技术准备</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1.1.1熟悉图纸，提前编制施工方案。</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1.1.2所有原材已做完复试并合格，做好砂浆、砼试配配合比。</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1.1.3对操作人员进行详细全面的技术交底。</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1.2材料准备</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1.2.1砌块：规格及强度等级符合设计要求；材料有出厂合格证，进场后应立即通知技术、质量、监理、材料部门共同验收,并做复试,复试合格后方可使用,所使用的小砌块产品龄期不应小于28d。</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1.2.2水泥：宜采用32.5普通硅酸盐水泥或矿渣硅酸盐水泥。水泥使用前应分批对其强度、凝结时间、安定性进行复验。不同品种的水泥不得混合使用。</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砂：宜用中砂，含泥量不超过5%，不得含有草根等杂物，使用前用5mm孔径筛子过筛。</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1.2.3水泥砂浆的强度等级为M5，圈梁构造柱的砼强度等级为C20，由试验室做好试配。</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1.2.4钢筋：φ10，φ6 的Ⅰ级钢筋；Φ12、Φ14的Ⅱ级钢筋。</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1.3现场准备</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1.3.1二次结构墙体轴线校核无误后，由轴线引出砌体墙位置控制线，放出墙体洞口位置线并办完预检手续。</w:t>
      </w:r>
    </w:p>
    <w:p>
      <w:pPr>
        <w:spacing w:line="360" w:lineRule="auto"/>
        <w:ind w:firstLine="600" w:firstLineChars="200"/>
        <w:rPr>
          <w:rFonts w:asciiTheme="minorEastAsia" w:hAnsiTheme="minorEastAsia" w:cstheme="minorEastAsia"/>
          <w:sz w:val="30"/>
          <w:szCs w:val="30"/>
        </w:rPr>
        <w:sectPr>
          <w:headerReference w:type="even" r:id="rId47"/>
          <w:headerReference w:type="default" r:id="rId48"/>
          <w:footerReference w:type="even" r:id="rId49"/>
          <w:footerReference w:type="default" r:id="rId50"/>
          <w:headerReference w:type="first" r:id="rId51"/>
          <w:footerReference w:type="first" r:id="rId52"/>
          <w:type w:val="nextPage"/>
          <w:pgSz w:w="11906" w:h="16838"/>
          <w:pgMar w:top="1701" w:right="1361" w:bottom="1134" w:left="1474" w:header="851" w:footer="992" w:gutter="0"/>
          <w:pgNumType w:start="7"/>
          <w:cols w:num="1" w:space="720"/>
          <w:titlePg w:val="0"/>
          <w:docGrid w:type="lines" w:linePitch="312" w:charSpace="0"/>
        </w:sectPr>
      </w:pPr>
      <w:r>
        <w:rPr>
          <w:rFonts w:asciiTheme="minorEastAsia" w:hAnsiTheme="minorEastAsia" w:cstheme="minorEastAsia" w:hint="eastAsia"/>
          <w:sz w:val="30"/>
          <w:szCs w:val="30"/>
        </w:rPr>
        <w:t>1.3.2根据不同类型的砌块模数，按合理灰缝制作好皮数杆。</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1.3.3办好各种交接检、隐、预检手续。</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1.3.4砌体底部基层清理干净，浇水湿润。</w:t>
      </w:r>
    </w:p>
    <w:p>
      <w:pPr>
        <w:spacing w:line="360" w:lineRule="auto"/>
        <w:rPr>
          <w:rFonts w:asciiTheme="minorEastAsia" w:hAnsiTheme="minorEastAsia" w:cstheme="minorEastAsia"/>
          <w:bCs/>
          <w:sz w:val="30"/>
          <w:szCs w:val="30"/>
        </w:rPr>
      </w:pPr>
      <w:r>
        <w:rPr>
          <w:rFonts w:asciiTheme="minorEastAsia" w:hAnsiTheme="minorEastAsia" w:cstheme="minorEastAsia" w:hint="eastAsia"/>
          <w:bCs/>
          <w:sz w:val="30"/>
          <w:szCs w:val="30"/>
        </w:rPr>
        <w:t>5.1.2、施工方法</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2.1排砖，砌块砌筑前先用机红砖砌筑四层（200mm高），如墙厚不符合模数需支模用砼浇筑，高度不少于200mm，宽度同墙厚。</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砌体上、下皮错缝搭接</w:t>
      </w:r>
      <w:bookmarkStart w:id="10" w:name="_Hlt81029822"/>
      <w:bookmarkEnd w:id="10"/>
      <w:r>
        <w:rPr>
          <w:rFonts w:asciiTheme="minorEastAsia" w:hAnsiTheme="minorEastAsia" w:cstheme="minorEastAsia" w:hint="eastAsia"/>
          <w:sz w:val="30"/>
          <w:szCs w:val="30"/>
        </w:rPr>
        <w:t>，在墙面中，砌块排列的搭接长度需要予以保证，上、下皮要有一定错缝长度，一般应为砌块长度的1/2，最少不能小于90mm。</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2.2墙体拉结筋</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填充墙沿墙体全高每隔600mm设2ф6拉结筋，延墙长通长布置。砌墙时将其埋入水平灰缝内。</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2.3钢筋混凝土水平系梁</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 xml:space="preserve">  为提高结构的抗震性，所有填充墙体在门窗洞口顶标高或墙高的一半处设一道通长钢筋混凝土带。板带宽同墙厚，高为60mm，配筋为2φ8，拉筋为φ6@200,混凝土为C20。</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2.4构造柱</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在砌筑墙体的端部、转角处、十字相交处、丁字相交处均应设置构造柱，构造柱间距不大于4m。当填充墙洞口宽度大于1800mm时，洞口两侧应设置抱框立柱。构造柱截面尺寸为墙厚×200mm，受力主筋为4Φ12，箍筋为φ6@100/200。抱框立柱截面尺寸为墙厚×120mm，配筋：纵筋为4φ10，水平筋为S形筋φ6@200。</w:t>
      </w:r>
    </w:p>
    <w:p>
      <w:pPr>
        <w:spacing w:line="360" w:lineRule="auto"/>
        <w:ind w:firstLine="600" w:firstLineChars="200"/>
        <w:rPr>
          <w:rFonts w:asciiTheme="minorEastAsia" w:hAnsiTheme="minorEastAsia" w:cstheme="minorEastAsia"/>
          <w:sz w:val="30"/>
          <w:szCs w:val="30"/>
        </w:rPr>
        <w:sectPr>
          <w:headerReference w:type="even" r:id="rId53"/>
          <w:headerReference w:type="default" r:id="rId54"/>
          <w:footerReference w:type="even" r:id="rId55"/>
          <w:footerReference w:type="default" r:id="rId56"/>
          <w:headerReference w:type="first" r:id="rId57"/>
          <w:footerReference w:type="first" r:id="rId58"/>
          <w:type w:val="nextPage"/>
          <w:pgSz w:w="11906" w:h="16838"/>
          <w:pgMar w:top="1701" w:right="1361" w:bottom="1134" w:left="1474" w:header="851" w:footer="992" w:gutter="0"/>
          <w:pgNumType w:start="8"/>
          <w:cols w:num="1" w:space="720"/>
          <w:titlePg w:val="0"/>
          <w:docGrid w:type="lines" w:linePitch="312" w:charSpace="0"/>
        </w:sectPr>
      </w:pPr>
      <w:r>
        <w:rPr>
          <w:rFonts w:asciiTheme="minorEastAsia" w:hAnsiTheme="minorEastAsia" w:cstheme="minorEastAsia" w:hint="eastAsia"/>
          <w:sz w:val="30"/>
          <w:szCs w:val="30"/>
        </w:rPr>
        <w:t>2.4.1构造柱钢筋</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①钢筋连接：钢筋与结构连接采用专用结构植筋胶进行拉接，钢筋锚入结构内的深度应符合植筋胶使用说明书要求。构造柱钢筋接长可采用绑扎搭接，搭接长度35d，钢筋采用Ⅰ级钢时末端应做180°弯钩。</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②箍筋：末端做135°弯勾，平直长度10d，箍筋开口方向错开螺旋向上布置。</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2.4.2构造柱模板</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①模板面板采用12mm厚竹胶板，5×10cm木方为次龙骨。沿柱高每隔600mm设置一道Φ48钢管，用Φ10穿墙螺杆配合“3”形件进行加固，穿墙螺杆穿过填充墙体时，应使用直径16的电钻提前在墙体相应位置处打孔，不得随意剔凿，造成大面积填充墙体破坏。</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②为使混凝土不污染已经砌好的墙体，在支模前要在混凝土与砌体交接处粘海绵条，支模时在粘贴海绵条处应拉紧模板，防止混凝土表面与砌体接槎处不平整。</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2.4.3构造柱混凝土</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①混凝土强度等级C20，坍落度160±20mm。</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②抗震钢筋混凝土水平系梁以下构造柱混凝土同板带一起浇筑，板带以上待该段墙体砌筑完毕后浇筑。构造柱混凝土应分层浇筑振捣密实，每层浇筑振捣高度不大于500mm。</w:t>
      </w:r>
    </w:p>
    <w:p>
      <w:pPr>
        <w:spacing w:line="360" w:lineRule="auto"/>
        <w:ind w:firstLine="600" w:firstLineChars="200"/>
        <w:rPr>
          <w:rFonts w:asciiTheme="minorEastAsia" w:hAnsiTheme="minorEastAsia" w:cstheme="minorEastAsia"/>
          <w:sz w:val="30"/>
          <w:szCs w:val="30"/>
        </w:rPr>
        <w:sectPr>
          <w:headerReference w:type="even" r:id="rId59"/>
          <w:headerReference w:type="default" r:id="rId60"/>
          <w:footerReference w:type="even" r:id="rId61"/>
          <w:footerReference w:type="default" r:id="rId62"/>
          <w:headerReference w:type="first" r:id="rId63"/>
          <w:footerReference w:type="first" r:id="rId64"/>
          <w:type w:val="nextPage"/>
          <w:pgSz w:w="11906" w:h="16838"/>
          <w:pgMar w:top="1701" w:right="1361" w:bottom="1134" w:left="1474" w:header="851" w:footer="992" w:gutter="0"/>
          <w:pgNumType w:start="9"/>
          <w:cols w:num="1" w:space="720"/>
          <w:titlePg w:val="0"/>
          <w:docGrid w:type="lines" w:linePitch="312" w:charSpace="0"/>
        </w:sectPr>
      </w:pPr>
      <w:r>
        <w:rPr>
          <w:rFonts w:asciiTheme="minorEastAsia" w:hAnsiTheme="minorEastAsia" w:cstheme="minorEastAsia" w:hint="eastAsia"/>
          <w:sz w:val="30"/>
          <w:szCs w:val="30"/>
        </w:rPr>
        <w:t>③在新老混凝土接槎处，需先剔出石子，用水冲洗，湿润，再铺50mm同配比砂浆，方可继续浇筑上部混凝土；混凝土接槎处应保证平整，无错台。</w:t>
      </w:r>
    </w:p>
    <w:p>
      <w:pPr>
        <w:spacing w:line="360" w:lineRule="auto"/>
        <w:ind w:firstLine="600" w:firstLineChars="200"/>
        <w:rPr>
          <w:rFonts w:asciiTheme="minorEastAsia" w:hAnsiTheme="minorEastAsia" w:cstheme="minorEastAsia"/>
          <w:sz w:val="24"/>
        </w:rPr>
      </w:pPr>
      <w:r>
        <w:rPr>
          <w:rFonts w:asciiTheme="minorEastAsia" w:hAnsiTheme="minorEastAsia" w:cstheme="minorEastAsia" w:hint="eastAsia"/>
          <w:sz w:val="30"/>
          <w:szCs w:val="30"/>
        </w:rPr>
        <w:t>马牙槎：墙体在构造柱部位留置马牙槎，马牙槎构造见下图。</w:t>
      </w:r>
    </w:p>
    <w:p>
      <w:pPr>
        <w:spacing w:line="360" w:lineRule="auto"/>
        <w:ind w:firstLine="480" w:firstLineChars="200"/>
        <w:rPr>
          <w:rFonts w:asciiTheme="minorEastAsia" w:hAnsiTheme="minorEastAsia" w:cstheme="minorEastAsia"/>
          <w:sz w:val="24"/>
        </w:rPr>
      </w:pPr>
      <w:r>
        <w:rPr>
          <w:rFonts w:asciiTheme="minorEastAsia" w:hAnsiTheme="minorEastAsia" w:cstheme="minorEastAsia" w:hint="eastAsia"/>
          <w:sz w:val="24"/>
        </w:rPr>
        <w:t xml:space="preserve">   </w:t>
      </w:r>
    </w:p>
    <w:p>
      <w:pPr>
        <w:spacing w:line="360" w:lineRule="auto"/>
        <w:ind w:firstLine="1200" w:firstLineChars="500"/>
        <w:rPr>
          <w:rFonts w:asciiTheme="minorEastAsia" w:hAnsiTheme="minorEastAsia" w:cstheme="minorEastAsia"/>
          <w:sz w:val="24"/>
        </w:rPr>
      </w:pPr>
      <w:r>
        <w:rPr>
          <w:rFonts w:asciiTheme="minorEastAsia" w:hAnsiTheme="minorEastAsia" w:cstheme="minorEastAsia" w:hint="eastAsia"/>
          <w:sz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165pt" o:ole="" coordsize="21600,21600" o:preferrelative="t" filled="f" stroked="f">
            <v:stroke joinstyle="miter"/>
            <v:imagedata r:id="rId65" o:title="" croptop="24591f" cropbottom="10237f" cropleft="25561f" cropright="25192f"/>
            <o:lock v:ext="edit" aspectratio="t"/>
            <w10:anchorlock/>
          </v:shape>
          <o:OLEObject Type="Embed" ProgID="AutoCAD.Drawing.15" ShapeID="_x0000_i1025" DrawAspect="Content" ObjectID="_1468075725" r:id="rId66"/>
        </w:object>
      </w:r>
    </w:p>
    <w:p>
      <w:pPr>
        <w:spacing w:line="360" w:lineRule="auto"/>
        <w:rPr>
          <w:rFonts w:asciiTheme="minorEastAsia" w:hAnsiTheme="minorEastAsia" w:cstheme="minorEastAsia"/>
          <w:sz w:val="30"/>
          <w:szCs w:val="30"/>
        </w:rPr>
      </w:pPr>
      <w:r>
        <w:rPr>
          <w:rFonts w:asciiTheme="minorEastAsia" w:hAnsiTheme="minorEastAsia" w:cstheme="minorEastAsia" w:hint="eastAsia"/>
          <w:sz w:val="24"/>
        </w:rPr>
        <w:t xml:space="preserve">   </w:t>
      </w:r>
      <w:r>
        <w:rPr>
          <w:rFonts w:asciiTheme="minorEastAsia" w:hAnsiTheme="minorEastAsia" w:cstheme="minorEastAsia" w:hint="eastAsia"/>
          <w:sz w:val="30"/>
          <w:szCs w:val="30"/>
        </w:rPr>
        <w:t xml:space="preserve"> 2．4．4填充墙体砌至接近梁、板底时，应留一定空隙，待填充墙砌筑完并应至少间隔7天后，采用叶岩砖（或灰砂砖）将其斜砌挤紧。</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2．4．5门窗洞口处，为了安装门窗，应将洞口两侧设置构造柱，使门窗框固定在构造柱上。</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2．4．6填充墙体留洞尺寸超过500MM时应按图纸要求设置过梁，过梁的支座长度应≥250mm。</w:t>
      </w:r>
    </w:p>
    <w:p>
      <w:pPr>
        <w:spacing w:line="360" w:lineRule="auto"/>
        <w:rPr>
          <w:rFonts w:asciiTheme="minorEastAsia" w:hAnsiTheme="minorEastAsia" w:cstheme="minorEastAsia"/>
          <w:bCs/>
          <w:sz w:val="30"/>
          <w:szCs w:val="30"/>
        </w:rPr>
      </w:pPr>
      <w:bookmarkStart w:id="11" w:name="_Hlt66009670"/>
      <w:bookmarkEnd w:id="11"/>
      <w:bookmarkStart w:id="12" w:name="_Toc18814651"/>
      <w:bookmarkStart w:id="13" w:name="_Toc19588895"/>
      <w:bookmarkStart w:id="14" w:name="_Toc19589043"/>
      <w:bookmarkStart w:id="15" w:name="_Toc19588824"/>
      <w:bookmarkStart w:id="16" w:name="_Toc19606891"/>
      <w:bookmarkStart w:id="17" w:name="_Toc19424871"/>
      <w:bookmarkStart w:id="18" w:name="_Toc19589267"/>
      <w:bookmarkStart w:id="19" w:name="_Toc34040659"/>
      <w:bookmarkStart w:id="20" w:name="_Toc34040951"/>
      <w:bookmarkStart w:id="21" w:name="_Toc34467081"/>
      <w:bookmarkStart w:id="22" w:name="_Toc46727371"/>
      <w:bookmarkStart w:id="23" w:name="_Toc46734449"/>
      <w:r>
        <w:rPr>
          <w:rFonts w:asciiTheme="minorEastAsia" w:hAnsiTheme="minorEastAsia" w:cstheme="minorEastAsia" w:hint="eastAsia"/>
          <w:bCs/>
          <w:sz w:val="30"/>
          <w:szCs w:val="30"/>
        </w:rPr>
        <w:t>5.1.3、质量保证措施</w:t>
      </w:r>
      <w:bookmarkEnd w:id="12"/>
      <w:bookmarkEnd w:id="13"/>
      <w:bookmarkEnd w:id="14"/>
      <w:bookmarkEnd w:id="15"/>
      <w:bookmarkEnd w:id="16"/>
      <w:bookmarkEnd w:id="17"/>
      <w:bookmarkEnd w:id="18"/>
      <w:r>
        <w:rPr>
          <w:rFonts w:asciiTheme="minorEastAsia" w:hAnsiTheme="minorEastAsia" w:cstheme="minorEastAsia" w:hint="eastAsia"/>
          <w:bCs/>
          <w:sz w:val="30"/>
          <w:szCs w:val="30"/>
        </w:rPr>
        <w:t>及质量标准</w:t>
      </w:r>
      <w:bookmarkEnd w:id="19"/>
      <w:bookmarkEnd w:id="20"/>
      <w:bookmarkEnd w:id="21"/>
      <w:bookmarkEnd w:id="22"/>
      <w:bookmarkEnd w:id="23"/>
    </w:p>
    <w:p>
      <w:pPr>
        <w:spacing w:line="360" w:lineRule="auto"/>
        <w:ind w:firstLine="300" w:firstLineChars="100"/>
        <w:rPr>
          <w:rFonts w:asciiTheme="minorEastAsia" w:hAnsiTheme="minorEastAsia" w:cstheme="minorEastAsia"/>
          <w:sz w:val="30"/>
          <w:szCs w:val="30"/>
        </w:rPr>
      </w:pPr>
      <w:bookmarkStart w:id="24" w:name="_Toc34040952"/>
      <w:bookmarkStart w:id="25" w:name="_Toc34467082"/>
      <w:bookmarkStart w:id="26" w:name="_Toc34040660"/>
      <w:r>
        <w:rPr>
          <w:rFonts w:asciiTheme="minorEastAsia" w:hAnsiTheme="minorEastAsia" w:cstheme="minorEastAsia" w:hint="eastAsia"/>
          <w:sz w:val="30"/>
          <w:szCs w:val="30"/>
        </w:rPr>
        <w:t>3.1质</w:t>
      </w:r>
      <w:bookmarkStart w:id="27" w:name="_Hlt66009571"/>
      <w:bookmarkEnd w:id="27"/>
      <w:r>
        <w:rPr>
          <w:rFonts w:asciiTheme="minorEastAsia" w:hAnsiTheme="minorEastAsia" w:cstheme="minorEastAsia" w:hint="eastAsia"/>
          <w:sz w:val="30"/>
          <w:szCs w:val="30"/>
        </w:rPr>
        <w:t>量保证措施</w:t>
      </w:r>
      <w:bookmarkEnd w:id="24"/>
      <w:bookmarkEnd w:id="25"/>
      <w:bookmarkEnd w:id="26"/>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3.1.1采用样板引路，选定适当位置砌筑样板墙，应汇同各专业、监理、建设单位等</w:t>
      </w:r>
      <w:bookmarkStart w:id="28" w:name="_Hlt66255756"/>
      <w:bookmarkEnd w:id="28"/>
      <w:r>
        <w:rPr>
          <w:rFonts w:asciiTheme="minorEastAsia" w:hAnsiTheme="minorEastAsia" w:cstheme="minorEastAsia" w:hint="eastAsia"/>
          <w:sz w:val="30"/>
          <w:szCs w:val="30"/>
        </w:rPr>
        <w:t>单位共同验收通过后方可大面积施工。</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3.1.2砌块提前1天以上适当浇水湿润，常温施工不得用干砖上墙。砌块表面有浮水亦不得进行砌筑。</w:t>
      </w:r>
    </w:p>
    <w:p>
      <w:pPr>
        <w:spacing w:line="360" w:lineRule="auto"/>
        <w:ind w:firstLine="600" w:firstLineChars="200"/>
        <w:rPr>
          <w:rFonts w:asciiTheme="minorEastAsia" w:hAnsiTheme="minorEastAsia" w:cstheme="minorEastAsia"/>
          <w:sz w:val="30"/>
          <w:szCs w:val="30"/>
        </w:rPr>
        <w:sectPr>
          <w:headerReference w:type="even" r:id="rId67"/>
          <w:headerReference w:type="default" r:id="rId68"/>
          <w:footerReference w:type="even" r:id="rId69"/>
          <w:footerReference w:type="default" r:id="rId70"/>
          <w:headerReference w:type="first" r:id="rId71"/>
          <w:footerReference w:type="first" r:id="rId72"/>
          <w:type w:val="nextPage"/>
          <w:pgSz w:w="11906" w:h="16838"/>
          <w:pgMar w:top="1701" w:right="1361" w:bottom="1134" w:left="1474" w:header="851" w:footer="992" w:gutter="0"/>
          <w:pgNumType w:start="10"/>
          <w:cols w:num="1" w:space="720"/>
          <w:titlePg w:val="0"/>
          <w:docGrid w:type="lines" w:linePitch="312" w:charSpace="0"/>
        </w:sectPr>
      </w:pPr>
      <w:r>
        <w:rPr>
          <w:rFonts w:asciiTheme="minorEastAsia" w:hAnsiTheme="minorEastAsia" w:cstheme="minorEastAsia" w:hint="eastAsia"/>
          <w:sz w:val="30"/>
          <w:szCs w:val="30"/>
        </w:rPr>
        <w:t>3.1.3砌筑前应根据砌块皮数制作皮数杆，皮数杆上应注明门窗洞口、拉结筋、水平系梁、过梁等的尺寸标高。皮数杆在墙体转角处及交接处竖立。皮数杆应垂直、牢固、标高一至。</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3.1.4砂浆搅拌前应设配合比通知表，注明试验配合比及施工配合比，搅拌之前应过秤。</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3.1.5砌筑时应使砌块底面向上，上下皮对孔错缝砌筑。</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3.1.6水平灰缝厚度和竖向灰缝厚度为15mm±2。严禁用水冲浆灌缝，不得出现瞎缝、透明缝。</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3.1.7砌体的灰缝应横平竖直、厚度均匀，并应填满砂浆，砂浆饱满度不小于80%。墙体砌筑时，填充墙与结构之间的缝隙也应填满砂浆。</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3.1.8使用过的砌块再次利用时，应清除原有砂浆，重新铺浆砌筑。</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3.1.9拉结筋的数量、长度均符合设计要求和施工规范规定，留置间距偏差不超过一皮砖。</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3.1.10构造柱的竖向受力钢筋，绑扎前应做除锈、调直处理。Ⅰ级钢筋末端应做180°弯钩。构造柱钢筋接长采用绑扎搭接，搭接长度35d。</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3.1.11构造柱模板采用多层板，模板支设牢固，应在模板与砖墙间加设海绵条，并严密贴紧，以防漏浆。</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3.1.12严禁通过砖墙传振，避免砖墙鼓肚和灰缝开裂。混凝土接槎处应保证平整，无错台。</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3.1.13马牙槎先退后进，上下顺直。马牙槎内的灰缝砂浆必须密实饱满，其水平灰缝砂浆的饱满度不得低于80%。</w:t>
      </w:r>
    </w:p>
    <w:p>
      <w:pPr>
        <w:spacing w:line="360" w:lineRule="auto"/>
        <w:ind w:firstLine="600" w:firstLineChars="200"/>
        <w:rPr>
          <w:rFonts w:asciiTheme="minorEastAsia" w:hAnsiTheme="minorEastAsia" w:cstheme="minorEastAsia"/>
          <w:sz w:val="30"/>
          <w:szCs w:val="30"/>
        </w:rPr>
        <w:sectPr>
          <w:headerReference w:type="even" r:id="rId73"/>
          <w:headerReference w:type="default" r:id="rId74"/>
          <w:footerReference w:type="even" r:id="rId75"/>
          <w:footerReference w:type="default" r:id="rId76"/>
          <w:headerReference w:type="first" r:id="rId77"/>
          <w:footerReference w:type="first" r:id="rId78"/>
          <w:type w:val="nextPage"/>
          <w:pgSz w:w="11906" w:h="16838"/>
          <w:pgMar w:top="1701" w:right="1361" w:bottom="1134" w:left="1474" w:header="851" w:footer="992" w:gutter="0"/>
          <w:pgNumType w:start="11"/>
          <w:cols w:num="1" w:space="720"/>
          <w:titlePg w:val="0"/>
          <w:docGrid w:type="lines" w:linePitch="312" w:charSpace="0"/>
        </w:sectPr>
      </w:pP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3.1.14本工程所用的砖、砂、石、水泥等无机非金属建筑材料必须有放射性指标检测报告，并应符合《民用建筑工程室内环境污染控制规范》的规定。</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3.1.15应选用棱角整齐，无弯曲、裂纹、颜色均匀、规格基本一致的砖。</w:t>
      </w:r>
    </w:p>
    <w:p>
      <w:pPr>
        <w:spacing w:line="360" w:lineRule="auto"/>
        <w:ind w:firstLine="600" w:firstLineChars="200"/>
        <w:rPr>
          <w:rFonts w:asciiTheme="minorEastAsia" w:hAnsiTheme="minorEastAsia" w:cstheme="minorEastAsia"/>
          <w:sz w:val="30"/>
          <w:szCs w:val="30"/>
        </w:rPr>
      </w:pPr>
      <w:r>
        <w:rPr>
          <w:rFonts w:asciiTheme="minorEastAsia" w:hAnsiTheme="minorEastAsia" w:cstheme="minorEastAsia" w:hint="eastAsia"/>
          <w:sz w:val="30"/>
          <w:szCs w:val="30"/>
        </w:rPr>
        <w:t>3.1.16砌筑时必须挂线，如长墙几个人使用一根通线时，中间要设几个支线点，小线要拉紧，每层线都要穿线看平，使水平缝均匀一致，平直通顺。</w:t>
      </w:r>
    </w:p>
    <w:p>
      <w:pPr>
        <w:spacing w:line="360" w:lineRule="auto"/>
        <w:ind w:firstLine="600" w:firstLineChars="200"/>
        <w:rPr>
          <w:rFonts w:asciiTheme="minorEastAsia" w:hAnsiTheme="minorEastAsia" w:cstheme="minorEastAsia"/>
          <w:sz w:val="30"/>
          <w:szCs w:val="30"/>
        </w:rPr>
      </w:pPr>
      <w:bookmarkStart w:id="29" w:name="_Toc34040661"/>
      <w:bookmarkStart w:id="30" w:name="_Toc34040953"/>
      <w:bookmarkStart w:id="31" w:name="_Toc34467083"/>
      <w:r>
        <w:rPr>
          <w:rFonts w:asciiTheme="minorEastAsia" w:hAnsiTheme="minorEastAsia" w:cstheme="minorEastAsia" w:hint="eastAsia"/>
          <w:sz w:val="30"/>
          <w:szCs w:val="30"/>
        </w:rPr>
        <w:t>3.2质量标准</w:t>
      </w:r>
      <w:bookmarkEnd w:id="29"/>
      <w:bookmarkEnd w:id="30"/>
      <w:bookmarkEnd w:id="31"/>
      <w:bookmarkStart w:id="32" w:name="_Hlt66009666"/>
      <w:bookmarkEnd w:id="32"/>
    </w:p>
    <w:p>
      <w:pPr>
        <w:spacing w:line="360" w:lineRule="auto"/>
        <w:ind w:left="900"/>
        <w:rPr>
          <w:rFonts w:asciiTheme="minorEastAsia" w:hAnsiTheme="minorEastAsia" w:cstheme="minorEastAsia"/>
          <w:sz w:val="30"/>
          <w:szCs w:val="30"/>
        </w:rPr>
      </w:pPr>
      <w:r>
        <w:rPr>
          <w:rFonts w:asciiTheme="minorEastAsia" w:hAnsiTheme="minorEastAsia" w:cstheme="minorEastAsia" w:hint="eastAsia"/>
          <w:sz w:val="30"/>
          <w:szCs w:val="30"/>
        </w:rPr>
        <w:t>加气混凝土砌块外观质量控制</w:t>
      </w:r>
    </w:p>
    <w:tbl>
      <w:tblPr>
        <w:tblStyle w:val="TableNormal"/>
        <w:tblpPr w:leftFromText="180" w:rightFromText="180" w:vertAnchor="text" w:horzAnchor="margin" w:tblpY="314"/>
        <w:tblW w:w="8866" w:type="dxa"/>
        <w:tblInd w:w="0" w:type="dxa"/>
        <w:tblBorders>
          <w:top w:val="thinThickSmallGap" w:sz="24" w:space="0" w:color="0000FF"/>
          <w:left w:val="thinThickSmallGap" w:sz="24" w:space="0" w:color="0000FF"/>
          <w:bottom w:val="thickThinSmallGap" w:sz="24" w:space="0" w:color="0000FF"/>
          <w:right w:val="thickThinSmallGap" w:sz="24" w:space="0" w:color="0000FF"/>
          <w:insideH w:val="single" w:sz="6" w:space="0" w:color="0000FF"/>
          <w:insideV w:val="single" w:sz="6" w:space="0" w:color="0000FF"/>
        </w:tblBorders>
        <w:tblLayout w:type="fixed"/>
        <w:tblCellMar>
          <w:top w:w="0" w:type="dxa"/>
          <w:left w:w="108" w:type="dxa"/>
          <w:bottom w:w="0" w:type="dxa"/>
          <w:right w:w="108" w:type="dxa"/>
        </w:tblCellMar>
      </w:tblPr>
      <w:tblGrid>
        <w:gridCol w:w="658"/>
        <w:gridCol w:w="1425"/>
        <w:gridCol w:w="4913"/>
        <w:gridCol w:w="1870"/>
      </w:tblGrid>
      <w:tr>
        <w:tblPrEx>
          <w:tblW w:w="8866" w:type="dxa"/>
          <w:tblInd w:w="0" w:type="dxa"/>
          <w:tblBorders>
            <w:top w:val="thinThickSmallGap" w:sz="24" w:space="0" w:color="0000FF"/>
            <w:left w:val="thinThickSmallGap" w:sz="24" w:space="0" w:color="0000FF"/>
            <w:bottom w:val="thickThinSmallGap" w:sz="24" w:space="0" w:color="0000FF"/>
            <w:right w:val="thickThinSmallGap" w:sz="24" w:space="0" w:color="0000FF"/>
            <w:insideH w:val="single" w:sz="6" w:space="0" w:color="0000FF"/>
            <w:insideV w:val="single" w:sz="6" w:space="0" w:color="0000FF"/>
          </w:tblBorders>
          <w:tblLayout w:type="fixed"/>
          <w:tblCellMar>
            <w:top w:w="0" w:type="dxa"/>
            <w:left w:w="108" w:type="dxa"/>
            <w:bottom w:w="0" w:type="dxa"/>
            <w:right w:w="108" w:type="dxa"/>
          </w:tblCellMar>
        </w:tblPrEx>
        <w:trPr>
          <w:cantSplit/>
          <w:trHeight w:val="351"/>
        </w:trPr>
        <w:tc>
          <w:tcPr>
            <w:tcW w:w="6996" w:type="dxa"/>
            <w:gridSpan w:val="3"/>
            <w:vAlign w:val="center"/>
          </w:tcPr>
          <w:p>
            <w:pPr>
              <w:spacing w:line="360" w:lineRule="auto"/>
              <w:jc w:val="center"/>
              <w:rPr>
                <w:rFonts w:asciiTheme="minorEastAsia" w:hAnsiTheme="minorEastAsia" w:cstheme="minorEastAsia"/>
                <w:bCs/>
                <w:snapToGrid w:val="0"/>
                <w:kern w:val="0"/>
                <w:sz w:val="24"/>
              </w:rPr>
            </w:pPr>
            <w:r>
              <w:rPr>
                <w:rFonts w:asciiTheme="minorEastAsia" w:hAnsiTheme="minorEastAsia" w:cstheme="minorEastAsia" w:hint="eastAsia"/>
                <w:bCs/>
                <w:snapToGrid w:val="0"/>
                <w:kern w:val="0"/>
                <w:sz w:val="24"/>
              </w:rPr>
              <w:t>项         目</w:t>
            </w:r>
          </w:p>
        </w:tc>
        <w:tc>
          <w:tcPr>
            <w:tcW w:w="1870" w:type="dxa"/>
            <w:vAlign w:val="center"/>
          </w:tcPr>
          <w:p>
            <w:pPr>
              <w:spacing w:line="360" w:lineRule="auto"/>
              <w:jc w:val="center"/>
              <w:rPr>
                <w:rFonts w:asciiTheme="minorEastAsia" w:hAnsiTheme="minorEastAsia" w:cstheme="minorEastAsia"/>
                <w:bCs/>
                <w:snapToGrid w:val="0"/>
                <w:kern w:val="0"/>
                <w:sz w:val="24"/>
              </w:rPr>
            </w:pPr>
            <w:r>
              <w:rPr>
                <w:rFonts w:asciiTheme="minorEastAsia" w:hAnsiTheme="minorEastAsia" w:cstheme="minorEastAsia" w:hint="eastAsia"/>
                <w:bCs/>
                <w:snapToGrid w:val="0"/>
                <w:kern w:val="0"/>
                <w:sz w:val="24"/>
              </w:rPr>
              <w:t>允许偏差</w:t>
            </w:r>
          </w:p>
        </w:tc>
      </w:tr>
      <w:tr>
        <w:tblPrEx>
          <w:tblW w:w="8866" w:type="dxa"/>
          <w:tblInd w:w="0" w:type="dxa"/>
          <w:tblLayout w:type="fixed"/>
          <w:tblCellMar>
            <w:top w:w="0" w:type="dxa"/>
            <w:left w:w="108" w:type="dxa"/>
            <w:bottom w:w="0" w:type="dxa"/>
            <w:right w:w="108" w:type="dxa"/>
          </w:tblCellMar>
        </w:tblPrEx>
        <w:trPr>
          <w:cantSplit/>
          <w:trHeight w:val="368"/>
        </w:trPr>
        <w:tc>
          <w:tcPr>
            <w:tcW w:w="2083" w:type="dxa"/>
            <w:gridSpan w:val="2"/>
            <w:vMerge w:val="restart"/>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尺寸允许偏差</w:t>
            </w: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长度不大于（mm）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±3</w:t>
            </w:r>
          </w:p>
        </w:tc>
      </w:tr>
      <w:tr>
        <w:tblPrEx>
          <w:tblW w:w="8866" w:type="dxa"/>
          <w:tblInd w:w="0" w:type="dxa"/>
          <w:tblLayout w:type="fixed"/>
          <w:tblCellMar>
            <w:top w:w="0" w:type="dxa"/>
            <w:left w:w="108" w:type="dxa"/>
            <w:bottom w:w="0" w:type="dxa"/>
            <w:right w:w="108" w:type="dxa"/>
          </w:tblCellMar>
        </w:tblPrEx>
        <w:trPr>
          <w:cantSplit/>
          <w:trHeight w:val="131"/>
        </w:trPr>
        <w:tc>
          <w:tcPr>
            <w:tcW w:w="2083" w:type="dxa"/>
            <w:gridSpan w:val="2"/>
            <w:vMerge/>
            <w:vAlign w:val="center"/>
          </w:tcPr>
          <w:p>
            <w:pPr>
              <w:spacing w:line="360" w:lineRule="auto"/>
              <w:jc w:val="center"/>
              <w:rPr>
                <w:rFonts w:asciiTheme="minorEastAsia" w:hAnsiTheme="minorEastAsia" w:cstheme="minorEastAsia"/>
                <w:snapToGrid w:val="0"/>
                <w:kern w:val="0"/>
                <w:sz w:val="24"/>
              </w:rPr>
            </w:pP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宽度不大于（mm）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±3</w:t>
            </w:r>
          </w:p>
        </w:tc>
      </w:tr>
      <w:tr>
        <w:tblPrEx>
          <w:tblW w:w="8866" w:type="dxa"/>
          <w:tblInd w:w="0" w:type="dxa"/>
          <w:tblLayout w:type="fixed"/>
          <w:tblCellMar>
            <w:top w:w="0" w:type="dxa"/>
            <w:left w:w="108" w:type="dxa"/>
            <w:bottom w:w="0" w:type="dxa"/>
            <w:right w:w="108" w:type="dxa"/>
          </w:tblCellMar>
        </w:tblPrEx>
        <w:trPr>
          <w:cantSplit/>
          <w:trHeight w:val="131"/>
        </w:trPr>
        <w:tc>
          <w:tcPr>
            <w:tcW w:w="2083" w:type="dxa"/>
            <w:gridSpan w:val="2"/>
            <w:vMerge/>
            <w:vAlign w:val="center"/>
          </w:tcPr>
          <w:p>
            <w:pPr>
              <w:spacing w:line="360" w:lineRule="auto"/>
              <w:jc w:val="center"/>
              <w:rPr>
                <w:rFonts w:asciiTheme="minorEastAsia" w:hAnsiTheme="minorEastAsia" w:cstheme="minorEastAsia"/>
                <w:snapToGrid w:val="0"/>
                <w:kern w:val="0"/>
                <w:sz w:val="24"/>
              </w:rPr>
            </w:pP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高度不大于（mm）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±3</w:t>
            </w:r>
          </w:p>
        </w:tc>
      </w:tr>
      <w:tr>
        <w:tblPrEx>
          <w:tblW w:w="8866" w:type="dxa"/>
          <w:tblInd w:w="0" w:type="dxa"/>
          <w:tblLayout w:type="fixed"/>
          <w:tblCellMar>
            <w:top w:w="0" w:type="dxa"/>
            <w:left w:w="108" w:type="dxa"/>
            <w:bottom w:w="0" w:type="dxa"/>
            <w:right w:w="108" w:type="dxa"/>
          </w:tblCellMar>
        </w:tblPrEx>
        <w:trPr>
          <w:cantSplit/>
          <w:trHeight w:val="368"/>
        </w:trPr>
        <w:tc>
          <w:tcPr>
            <w:tcW w:w="658" w:type="dxa"/>
            <w:vMerge w:val="restart"/>
            <w:textDirection w:val="tbRlV"/>
            <w:vAlign w:val="center"/>
          </w:tcPr>
          <w:p>
            <w:pPr>
              <w:spacing w:line="360" w:lineRule="auto"/>
              <w:ind w:left="113" w:right="113"/>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外观质量</w:t>
            </w:r>
          </w:p>
        </w:tc>
        <w:tc>
          <w:tcPr>
            <w:tcW w:w="1425" w:type="dxa"/>
            <w:vAlign w:val="center"/>
          </w:tcPr>
          <w:p>
            <w:pPr>
              <w:spacing w:line="360" w:lineRule="auto"/>
              <w:jc w:val="center"/>
              <w:rPr>
                <w:rFonts w:asciiTheme="minorEastAsia" w:hAnsiTheme="minorEastAsia" w:cstheme="minorEastAsia"/>
                <w:snapToGrid w:val="0"/>
                <w:kern w:val="0"/>
                <w:sz w:val="24"/>
              </w:rPr>
            </w:pP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最小外壁厚（mm）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30</w:t>
            </w:r>
          </w:p>
        </w:tc>
      </w:tr>
      <w:tr>
        <w:tblPrEx>
          <w:tblW w:w="8866" w:type="dxa"/>
          <w:tblInd w:w="0" w:type="dxa"/>
          <w:tblLayout w:type="fixed"/>
          <w:tblCellMar>
            <w:top w:w="0" w:type="dxa"/>
            <w:left w:w="108" w:type="dxa"/>
            <w:bottom w:w="0" w:type="dxa"/>
            <w:right w:w="108" w:type="dxa"/>
          </w:tblCellMar>
        </w:tblPrEx>
        <w:trPr>
          <w:cantSplit/>
          <w:trHeight w:val="131"/>
        </w:trPr>
        <w:tc>
          <w:tcPr>
            <w:tcW w:w="658" w:type="dxa"/>
            <w:vMerge/>
            <w:vAlign w:val="center"/>
          </w:tcPr>
          <w:p>
            <w:pPr>
              <w:spacing w:line="360" w:lineRule="auto"/>
              <w:jc w:val="center"/>
              <w:rPr>
                <w:rFonts w:asciiTheme="minorEastAsia" w:hAnsiTheme="minorEastAsia" w:cstheme="minorEastAsia"/>
                <w:snapToGrid w:val="0"/>
                <w:kern w:val="0"/>
                <w:sz w:val="24"/>
              </w:rPr>
            </w:pPr>
          </w:p>
        </w:tc>
        <w:tc>
          <w:tcPr>
            <w:tcW w:w="1425" w:type="dxa"/>
            <w:vAlign w:val="center"/>
          </w:tcPr>
          <w:p>
            <w:pPr>
              <w:spacing w:line="360" w:lineRule="auto"/>
              <w:jc w:val="center"/>
              <w:rPr>
                <w:rFonts w:asciiTheme="minorEastAsia" w:hAnsiTheme="minorEastAsia" w:cstheme="minorEastAsia"/>
                <w:snapToGrid w:val="0"/>
                <w:kern w:val="0"/>
                <w:sz w:val="24"/>
              </w:rPr>
            </w:pP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最小肋厚  （mm）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25</w:t>
            </w:r>
          </w:p>
        </w:tc>
      </w:tr>
      <w:tr>
        <w:tblPrEx>
          <w:tblW w:w="8866" w:type="dxa"/>
          <w:tblInd w:w="0" w:type="dxa"/>
          <w:tblLayout w:type="fixed"/>
          <w:tblCellMar>
            <w:top w:w="0" w:type="dxa"/>
            <w:left w:w="108" w:type="dxa"/>
            <w:bottom w:w="0" w:type="dxa"/>
            <w:right w:w="108" w:type="dxa"/>
          </w:tblCellMar>
        </w:tblPrEx>
        <w:trPr>
          <w:cantSplit/>
          <w:trHeight w:val="131"/>
        </w:trPr>
        <w:tc>
          <w:tcPr>
            <w:tcW w:w="658" w:type="dxa"/>
            <w:vMerge/>
            <w:vAlign w:val="center"/>
          </w:tcPr>
          <w:p>
            <w:pPr>
              <w:spacing w:line="360" w:lineRule="auto"/>
              <w:jc w:val="center"/>
              <w:rPr>
                <w:rFonts w:asciiTheme="minorEastAsia" w:hAnsiTheme="minorEastAsia" w:cstheme="minorEastAsia"/>
                <w:snapToGrid w:val="0"/>
                <w:kern w:val="0"/>
                <w:sz w:val="24"/>
              </w:rPr>
            </w:pPr>
          </w:p>
        </w:tc>
        <w:tc>
          <w:tcPr>
            <w:tcW w:w="1425" w:type="dxa"/>
            <w:vAlign w:val="center"/>
          </w:tcPr>
          <w:p>
            <w:pPr>
              <w:spacing w:line="360" w:lineRule="auto"/>
              <w:jc w:val="center"/>
              <w:rPr>
                <w:rFonts w:asciiTheme="minorEastAsia" w:hAnsiTheme="minorEastAsia" w:cstheme="minorEastAsia"/>
                <w:snapToGrid w:val="0"/>
                <w:kern w:val="0"/>
                <w:sz w:val="24"/>
              </w:rPr>
            </w:pP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弯曲不大于（mm）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2</w:t>
            </w:r>
          </w:p>
        </w:tc>
      </w:tr>
      <w:tr>
        <w:tblPrEx>
          <w:tblW w:w="8866" w:type="dxa"/>
          <w:tblInd w:w="0" w:type="dxa"/>
          <w:tblLayout w:type="fixed"/>
          <w:tblCellMar>
            <w:top w:w="0" w:type="dxa"/>
            <w:left w:w="108" w:type="dxa"/>
            <w:bottom w:w="0" w:type="dxa"/>
            <w:right w:w="108" w:type="dxa"/>
          </w:tblCellMar>
        </w:tblPrEx>
        <w:trPr>
          <w:cantSplit/>
          <w:trHeight w:val="131"/>
        </w:trPr>
        <w:tc>
          <w:tcPr>
            <w:tcW w:w="658" w:type="dxa"/>
            <w:vMerge/>
            <w:vAlign w:val="center"/>
          </w:tcPr>
          <w:p>
            <w:pPr>
              <w:spacing w:line="360" w:lineRule="auto"/>
              <w:jc w:val="center"/>
              <w:rPr>
                <w:rFonts w:asciiTheme="minorEastAsia" w:hAnsiTheme="minorEastAsia" w:cstheme="minorEastAsia"/>
                <w:snapToGrid w:val="0"/>
                <w:kern w:val="0"/>
                <w:sz w:val="24"/>
              </w:rPr>
            </w:pPr>
          </w:p>
        </w:tc>
        <w:tc>
          <w:tcPr>
            <w:tcW w:w="1425"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缺棱掉角</w:t>
            </w:r>
          </w:p>
        </w:tc>
        <w:tc>
          <w:tcPr>
            <w:tcW w:w="4913"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个数不大于</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2</w:t>
            </w:r>
          </w:p>
        </w:tc>
      </w:tr>
      <w:tr>
        <w:tblPrEx>
          <w:tblW w:w="8866" w:type="dxa"/>
          <w:tblInd w:w="0" w:type="dxa"/>
          <w:tblLayout w:type="fixed"/>
          <w:tblCellMar>
            <w:top w:w="0" w:type="dxa"/>
            <w:left w:w="108" w:type="dxa"/>
            <w:bottom w:w="0" w:type="dxa"/>
            <w:right w:w="108" w:type="dxa"/>
          </w:tblCellMar>
        </w:tblPrEx>
        <w:trPr>
          <w:cantSplit/>
          <w:trHeight w:val="131"/>
        </w:trPr>
        <w:tc>
          <w:tcPr>
            <w:tcW w:w="658" w:type="dxa"/>
            <w:vMerge/>
            <w:vAlign w:val="center"/>
          </w:tcPr>
          <w:p>
            <w:pPr>
              <w:spacing w:line="360" w:lineRule="auto"/>
              <w:jc w:val="center"/>
              <w:rPr>
                <w:rFonts w:asciiTheme="minorEastAsia" w:hAnsiTheme="minorEastAsia" w:cstheme="minorEastAsia"/>
                <w:snapToGrid w:val="0"/>
                <w:kern w:val="0"/>
                <w:sz w:val="24"/>
              </w:rPr>
            </w:pPr>
          </w:p>
        </w:tc>
        <w:tc>
          <w:tcPr>
            <w:tcW w:w="1425"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缺棱掉角</w:t>
            </w:r>
          </w:p>
        </w:tc>
        <w:tc>
          <w:tcPr>
            <w:tcW w:w="4913" w:type="dxa"/>
            <w:vAlign w:val="center"/>
          </w:tcPr>
          <w:p>
            <w:pPr>
              <w:spacing w:line="360" w:lineRule="auto"/>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三个方向投影尺寸最小值不大于（mm）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20</w:t>
            </w:r>
          </w:p>
        </w:tc>
      </w:tr>
      <w:tr>
        <w:tblPrEx>
          <w:tblW w:w="8866" w:type="dxa"/>
          <w:tblInd w:w="0" w:type="dxa"/>
          <w:tblLayout w:type="fixed"/>
          <w:tblCellMar>
            <w:top w:w="0" w:type="dxa"/>
            <w:left w:w="108" w:type="dxa"/>
            <w:bottom w:w="0" w:type="dxa"/>
            <w:right w:w="108" w:type="dxa"/>
          </w:tblCellMar>
        </w:tblPrEx>
        <w:trPr>
          <w:cantSplit/>
          <w:trHeight w:val="131"/>
        </w:trPr>
        <w:tc>
          <w:tcPr>
            <w:tcW w:w="658" w:type="dxa"/>
            <w:vMerge/>
            <w:vAlign w:val="center"/>
          </w:tcPr>
          <w:p>
            <w:pPr>
              <w:spacing w:line="360" w:lineRule="auto"/>
              <w:jc w:val="center"/>
              <w:rPr>
                <w:rFonts w:asciiTheme="minorEastAsia" w:hAnsiTheme="minorEastAsia" w:cstheme="minorEastAsia"/>
                <w:snapToGrid w:val="0"/>
                <w:kern w:val="0"/>
                <w:sz w:val="24"/>
              </w:rPr>
            </w:pPr>
          </w:p>
        </w:tc>
        <w:tc>
          <w:tcPr>
            <w:tcW w:w="1425" w:type="dxa"/>
            <w:vAlign w:val="center"/>
          </w:tcPr>
          <w:p>
            <w:pPr>
              <w:spacing w:line="360" w:lineRule="auto"/>
              <w:jc w:val="center"/>
              <w:rPr>
                <w:rFonts w:asciiTheme="minorEastAsia" w:hAnsiTheme="minorEastAsia" w:cstheme="minorEastAsia"/>
                <w:snapToGrid w:val="0"/>
                <w:kern w:val="0"/>
                <w:sz w:val="24"/>
              </w:rPr>
            </w:pPr>
          </w:p>
        </w:tc>
        <w:tc>
          <w:tcPr>
            <w:tcW w:w="4913" w:type="dxa"/>
            <w:vAlign w:val="center"/>
          </w:tcPr>
          <w:p>
            <w:pPr>
              <w:spacing w:line="360" w:lineRule="auto"/>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裂纹延伸的投影尺寸累计不大于（mm）</w:t>
            </w:r>
          </w:p>
        </w:tc>
        <w:tc>
          <w:tcPr>
            <w:tcW w:w="1870" w:type="dxa"/>
            <w:vAlign w:val="center"/>
          </w:tcPr>
          <w:p>
            <w:pPr>
              <w:spacing w:line="360" w:lineRule="auto"/>
              <w:jc w:val="center"/>
              <w:rPr>
                <w:rFonts w:asciiTheme="minorEastAsia" w:hAnsiTheme="minorEastAsia" w:cstheme="minorEastAsia"/>
                <w:snapToGrid w:val="0"/>
                <w:kern w:val="0"/>
                <w:sz w:val="24"/>
              </w:rPr>
            </w:pPr>
            <w:r>
              <w:rPr>
                <w:rFonts w:asciiTheme="minorEastAsia" w:hAnsiTheme="minorEastAsia" w:cstheme="minorEastAsia" w:hint="eastAsia"/>
                <w:snapToGrid w:val="0"/>
                <w:kern w:val="0"/>
                <w:sz w:val="24"/>
              </w:rPr>
              <w:t>20</w:t>
            </w:r>
          </w:p>
        </w:tc>
      </w:tr>
    </w:tbl>
    <w:p>
      <w:pPr>
        <w:spacing w:line="360" w:lineRule="auto"/>
        <w:rPr>
          <w:rFonts w:asciiTheme="minorEastAsia" w:hAnsiTheme="minorEastAsia" w:cstheme="minorEastAsia"/>
          <w:snapToGrid w:val="0"/>
          <w:color w:val="000000"/>
          <w:kern w:val="0"/>
          <w:sz w:val="24"/>
        </w:rPr>
      </w:pPr>
    </w:p>
    <w:p>
      <w:pPr>
        <w:spacing w:line="360" w:lineRule="auto"/>
        <w:ind w:left="480"/>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砌体一般尺寸允许偏差及检验方法</w:t>
      </w:r>
    </w:p>
    <w:tbl>
      <w:tblPr>
        <w:tblStyle w:val="TableNormal"/>
        <w:tblW w:w="8823" w:type="dxa"/>
        <w:tblInd w:w="0" w:type="dxa"/>
        <w:tblBorders>
          <w:top w:val="thinThickSmallGap" w:sz="24" w:space="0" w:color="0000FF"/>
          <w:left w:val="thinThickSmallGap" w:sz="24" w:space="0" w:color="0000FF"/>
          <w:bottom w:val="thickThinSmallGap" w:sz="24" w:space="0" w:color="0000FF"/>
          <w:right w:val="thickThinSmallGap" w:sz="24" w:space="0" w:color="0000FF"/>
          <w:insideH w:val="single" w:sz="6" w:space="0" w:color="0000FF"/>
          <w:insideV w:val="single" w:sz="6" w:space="0" w:color="0000FF"/>
        </w:tblBorders>
        <w:tblLayout w:type="fixed"/>
        <w:tblCellMar>
          <w:top w:w="0" w:type="dxa"/>
          <w:left w:w="108" w:type="dxa"/>
          <w:bottom w:w="0" w:type="dxa"/>
          <w:right w:w="108" w:type="dxa"/>
        </w:tblCellMar>
      </w:tblPr>
      <w:tblGrid>
        <w:gridCol w:w="467"/>
        <w:gridCol w:w="1770"/>
        <w:gridCol w:w="1650"/>
        <w:gridCol w:w="1682"/>
        <w:gridCol w:w="3254"/>
      </w:tblGrid>
      <w:tr>
        <w:tblPrEx>
          <w:tblW w:w="8823" w:type="dxa"/>
          <w:tblInd w:w="0" w:type="dxa"/>
          <w:tblBorders>
            <w:top w:val="thinThickSmallGap" w:sz="24" w:space="0" w:color="0000FF"/>
            <w:left w:val="thinThickSmallGap" w:sz="24" w:space="0" w:color="0000FF"/>
            <w:bottom w:val="thickThinSmallGap" w:sz="24" w:space="0" w:color="0000FF"/>
            <w:right w:val="thickThinSmallGap" w:sz="24" w:space="0" w:color="0000FF"/>
            <w:insideH w:val="single" w:sz="6" w:space="0" w:color="0000FF"/>
            <w:insideV w:val="single" w:sz="6" w:space="0" w:color="0000FF"/>
          </w:tblBorders>
          <w:tblLayout w:type="fixed"/>
          <w:tblCellMar>
            <w:top w:w="0" w:type="dxa"/>
            <w:left w:w="108" w:type="dxa"/>
            <w:bottom w:w="0" w:type="dxa"/>
            <w:right w:w="108" w:type="dxa"/>
          </w:tblCellMar>
        </w:tblPrEx>
        <w:trPr>
          <w:cantSplit/>
          <w:trHeight w:val="754"/>
        </w:trPr>
        <w:tc>
          <w:tcPr>
            <w:tcW w:w="467" w:type="dxa"/>
            <w:vAlign w:val="center"/>
          </w:tcPr>
          <w:p>
            <w:pPr>
              <w:spacing w:line="360" w:lineRule="auto"/>
              <w:jc w:val="center"/>
              <w:rPr>
                <w:rFonts w:asciiTheme="minorEastAsia" w:hAnsiTheme="minorEastAsia" w:cstheme="minorEastAsia"/>
                <w:bCs/>
                <w:snapToGrid w:val="0"/>
                <w:color w:val="000000"/>
                <w:kern w:val="0"/>
                <w:sz w:val="24"/>
              </w:rPr>
            </w:pPr>
          </w:p>
        </w:tc>
        <w:tc>
          <w:tcPr>
            <w:tcW w:w="3420" w:type="dxa"/>
            <w:gridSpan w:val="2"/>
            <w:vAlign w:val="center"/>
          </w:tcPr>
          <w:p>
            <w:pPr>
              <w:spacing w:line="360" w:lineRule="auto"/>
              <w:jc w:val="center"/>
              <w:rPr>
                <w:rFonts w:asciiTheme="minorEastAsia" w:hAnsiTheme="minorEastAsia" w:cstheme="minorEastAsia"/>
                <w:bCs/>
                <w:snapToGrid w:val="0"/>
                <w:color w:val="000000"/>
                <w:kern w:val="0"/>
                <w:sz w:val="24"/>
              </w:rPr>
            </w:pPr>
            <w:r>
              <w:rPr>
                <w:rFonts w:asciiTheme="minorEastAsia" w:hAnsiTheme="minorEastAsia" w:cstheme="minorEastAsia" w:hint="eastAsia"/>
                <w:bCs/>
                <w:snapToGrid w:val="0"/>
                <w:color w:val="000000"/>
                <w:kern w:val="0"/>
                <w:sz w:val="24"/>
              </w:rPr>
              <w:t>项        目</w:t>
            </w:r>
          </w:p>
        </w:tc>
        <w:tc>
          <w:tcPr>
            <w:tcW w:w="1682" w:type="dxa"/>
            <w:vAlign w:val="center"/>
          </w:tcPr>
          <w:p>
            <w:pPr>
              <w:spacing w:line="360" w:lineRule="auto"/>
              <w:rPr>
                <w:rFonts w:asciiTheme="minorEastAsia" w:hAnsiTheme="minorEastAsia" w:cstheme="minorEastAsia"/>
                <w:bCs/>
                <w:snapToGrid w:val="0"/>
                <w:color w:val="000000"/>
                <w:spacing w:val="-30"/>
                <w:kern w:val="0"/>
                <w:sz w:val="24"/>
              </w:rPr>
            </w:pPr>
            <w:r>
              <w:rPr>
                <w:rFonts w:asciiTheme="minorEastAsia" w:hAnsiTheme="minorEastAsia" w:cstheme="minorEastAsia" w:hint="eastAsia"/>
                <w:bCs/>
                <w:snapToGrid w:val="0"/>
                <w:color w:val="000000"/>
                <w:spacing w:val="-30"/>
                <w:kern w:val="0"/>
                <w:sz w:val="24"/>
              </w:rPr>
              <w:t>允许偏差(mm)</w:t>
            </w:r>
          </w:p>
        </w:tc>
        <w:tc>
          <w:tcPr>
            <w:tcW w:w="3254" w:type="dxa"/>
            <w:vAlign w:val="center"/>
          </w:tcPr>
          <w:p>
            <w:pPr>
              <w:spacing w:line="360" w:lineRule="auto"/>
              <w:jc w:val="center"/>
              <w:rPr>
                <w:rFonts w:asciiTheme="minorEastAsia" w:hAnsiTheme="minorEastAsia" w:cstheme="minorEastAsia"/>
                <w:bCs/>
                <w:snapToGrid w:val="0"/>
                <w:color w:val="000000"/>
                <w:kern w:val="0"/>
                <w:sz w:val="24"/>
              </w:rPr>
            </w:pPr>
            <w:r>
              <w:rPr>
                <w:rFonts w:asciiTheme="minorEastAsia" w:hAnsiTheme="minorEastAsia" w:cstheme="minorEastAsia" w:hint="eastAsia"/>
                <w:bCs/>
                <w:snapToGrid w:val="0"/>
                <w:color w:val="000000"/>
                <w:kern w:val="0"/>
                <w:sz w:val="24"/>
              </w:rPr>
              <w:t>检查方法</w:t>
            </w:r>
          </w:p>
        </w:tc>
      </w:tr>
      <w:tr>
        <w:tblPrEx>
          <w:tblW w:w="8823" w:type="dxa"/>
          <w:tblInd w:w="0" w:type="dxa"/>
          <w:tblLayout w:type="fixed"/>
          <w:tblCellMar>
            <w:top w:w="0" w:type="dxa"/>
            <w:left w:w="108" w:type="dxa"/>
            <w:bottom w:w="0" w:type="dxa"/>
            <w:right w:w="108" w:type="dxa"/>
          </w:tblCellMar>
        </w:tblPrEx>
        <w:trPr>
          <w:cantSplit/>
          <w:trHeight w:val="570"/>
        </w:trPr>
        <w:tc>
          <w:tcPr>
            <w:tcW w:w="467"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1</w:t>
            </w:r>
          </w:p>
        </w:tc>
        <w:tc>
          <w:tcPr>
            <w:tcW w:w="3420" w:type="dxa"/>
            <w:gridSpan w:val="2"/>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轴线位置偏移</w:t>
            </w:r>
          </w:p>
        </w:tc>
        <w:tc>
          <w:tcPr>
            <w:tcW w:w="1682"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10</w:t>
            </w:r>
          </w:p>
        </w:tc>
        <w:tc>
          <w:tcPr>
            <w:tcW w:w="3254"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经纬仪或拉尺和尺量检查</w:t>
            </w:r>
          </w:p>
        </w:tc>
      </w:tr>
      <w:tr>
        <w:tblPrEx>
          <w:tblW w:w="8823" w:type="dxa"/>
          <w:tblInd w:w="0" w:type="dxa"/>
          <w:tblLayout w:type="fixed"/>
          <w:tblCellMar>
            <w:top w:w="0" w:type="dxa"/>
            <w:left w:w="108" w:type="dxa"/>
            <w:bottom w:w="0" w:type="dxa"/>
            <w:right w:w="108" w:type="dxa"/>
          </w:tblCellMar>
        </w:tblPrEx>
        <w:trPr>
          <w:cantSplit/>
          <w:trHeight w:val="65"/>
        </w:trPr>
        <w:tc>
          <w:tcPr>
            <w:tcW w:w="467"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2</w:t>
            </w:r>
          </w:p>
        </w:tc>
        <w:tc>
          <w:tcPr>
            <w:tcW w:w="1770"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垂直度</w:t>
            </w:r>
          </w:p>
        </w:tc>
        <w:tc>
          <w:tcPr>
            <w:tcW w:w="1650"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每层</w:t>
            </w:r>
          </w:p>
        </w:tc>
        <w:tc>
          <w:tcPr>
            <w:tcW w:w="1682"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5</w:t>
            </w:r>
          </w:p>
        </w:tc>
        <w:tc>
          <w:tcPr>
            <w:tcW w:w="3254" w:type="dxa"/>
            <w:vAlign w:val="center"/>
          </w:tcPr>
          <w:p>
            <w:pPr>
              <w:spacing w:line="360" w:lineRule="auto"/>
              <w:jc w:val="center"/>
              <w:rPr>
                <w:rFonts w:asciiTheme="minorEastAsia" w:hAnsiTheme="minorEastAsia" w:cstheme="minorEastAsia"/>
                <w:snapToGrid w:val="0"/>
                <w:color w:val="000000"/>
                <w:kern w:val="0"/>
                <w:sz w:val="24"/>
              </w:rPr>
            </w:pPr>
            <w:r>
              <w:rPr>
                <w:rFonts w:asciiTheme="minorEastAsia" w:hAnsiTheme="minorEastAsia" w:cstheme="minorEastAsia" w:hint="eastAsia"/>
                <w:snapToGrid w:val="0"/>
                <w:color w:val="000000"/>
                <w:kern w:val="0"/>
                <w:sz w:val="24"/>
              </w:rPr>
              <w:t>经纬仪、吊线、尺检查</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9" w:history="1">
        <w:r>
          <w:rPr>
            <w:rFonts w:ascii="SimSun" w:eastAsia="SimSun" w:hAnsi="SimSun" w:cs="SimSun"/>
            <w:b/>
            <w:bCs/>
            <w:color w:val="0000EE"/>
            <w:kern w:val="0"/>
            <w:sz w:val="30"/>
            <w:szCs w:val="30"/>
            <w:u w:val="single" w:color="0000EE"/>
          </w:rPr>
          <w:t>https://d.book118.com/147052156062006025</w:t>
        </w:r>
      </w:hyperlink>
    </w:p>
    <w:p/>
    <w:sectPr>
      <w:headerReference w:type="even" r:id="rId80"/>
      <w:headerReference w:type="default" r:id="rId81"/>
      <w:footerReference w:type="even" r:id="rId82"/>
      <w:footerReference w:type="default" r:id="rId83"/>
      <w:headerReference w:type="first" r:id="rId84"/>
      <w:footerReference w:type="first" r:id="rId85"/>
      <w:type w:val="nextPage"/>
      <w:pgSz w:w="11906" w:h="16838"/>
      <w:pgMar w:top="1701" w:right="1361" w:bottom="1134" w:left="1474" w:header="851" w:footer="992" w:gutter="0"/>
      <w:pgNumType w:start="12"/>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52"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51"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54"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4</w:t>
                </w:r>
                <w:r>
                  <w:rPr>
                    <w:rFonts w:hint="eastAsia"/>
                    <w:sz w:val="18"/>
                  </w:rPr>
                  <w:fldChar w:fldCharType="end"/>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53"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56"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5</w:t>
                </w:r>
                <w:r>
                  <w:rPr>
                    <w:rFonts w:hint="eastAsia"/>
                    <w:sz w:val="18"/>
                  </w:rPr>
                  <w:fldChar w:fldCharType="end"/>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55"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5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6</w:t>
                </w:r>
                <w:r>
                  <w:rPr>
                    <w:rFonts w:hint="eastAsia"/>
                    <w:sz w:val="18"/>
                  </w:rPr>
                  <w:fldChar w:fldCharType="end"/>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57"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60"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8</w:t>
                </w:r>
                <w:r>
                  <w:rPr>
                    <w:rFonts w:hint="eastAsia"/>
                    <w:sz w:val="18"/>
                  </w:rPr>
                  <w:fldChar w:fldCharType="end"/>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59"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62"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8</w:t>
                </w:r>
                <w:r>
                  <w:rPr>
                    <w:rFonts w:hint="eastAsia"/>
                    <w:sz w:val="18"/>
                  </w:rPr>
                  <w:fldChar w:fldCharType="end"/>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61"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64"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63"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66"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10</w:t>
                </w:r>
                <w:r>
                  <w:rPr>
                    <w:rFonts w:hint="eastAsia"/>
                    <w:sz w:val="18"/>
                  </w:rPr>
                  <w:fldChar w:fldCharType="end"/>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65"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6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11</w:t>
                </w:r>
                <w:r>
                  <w:rPr>
                    <w:rFonts w:hint="eastAsia"/>
                    <w:sz w:val="18"/>
                  </w:rPr>
                  <w:fldChar w:fldCharType="end"/>
                </w:r>
              </w:p>
            </w:txbxContent>
          </v:textbox>
          <w10:wrap anchorx="margin"/>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67"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70"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13</w:t>
                </w:r>
                <w:r>
                  <w:rPr>
                    <w:rFonts w:hint="eastAsia"/>
                    <w:sz w:val="18"/>
                  </w:rPr>
                  <w:fldChar w:fldCharType="end"/>
                </w:r>
              </w:p>
            </w:txbxContent>
          </v:textbox>
          <w10:wrap anchorx="margin"/>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69"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enter" w:pos="4535"/>
      </w:tabs>
      <w:rPr>
        <w:rFonts w:hint="eastAsia"/>
      </w:rPr>
    </w:pPr>
    <w:r>
      <w:rPr>
        <w:rFonts w:hint="eastAsia"/>
      </w:rPr>
      <w:pict>
        <v:shapetype id="_x0000_t202" coordsize="21600,21600" o:spt="202" path="m,l,21600r21600,l21600,xe">
          <v:stroke joinstyle="miter"/>
          <v:path gradientshapeok="t" o:connecttype="rect"/>
        </v:shapetype>
        <v:shape id="_x0000_s2049" o:spid="_x0000_s2050"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2</w:t>
                </w:r>
                <w:r>
                  <w:rPr>
                    <w:rFonts w:hint="eastAsia"/>
                    <w:sz w:val="18"/>
                  </w:rPr>
                  <w:fldChar w:fldCharType="end"/>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2050" o:spid="_x0000_s2049"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33</w:t>
                </w:r>
                <w:r>
                  <w:rPr>
                    <w:rFonts w:hint="eastAsia"/>
                    <w:sz w:val="18"/>
                  </w:rPr>
                  <w:fldChar w:fldCharType="end"/>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hint="eastAsi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760"/>
        <w:tab w:val="center" w:pos="4715"/>
      </w:tabs>
      <w:rPr>
        <w:rFonts w:hint="eastAsia"/>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FFF208C"/>
    <w:multiLevelType w:val="singleLevel"/>
    <w:tmpl w:val="AFFF208C"/>
    <w:lvl w:ilvl="0">
      <w:start w:val="2"/>
      <w:numFmt w:val="chineseCounting"/>
      <w:suff w:val="nothing"/>
      <w:lvlText w:val="%1、"/>
      <w:lvlJc w:val="left"/>
      <w:rPr>
        <w:rFonts w:hint="eastAsia"/>
      </w:rPr>
    </w:lvl>
  </w:abstractNum>
  <w:abstractNum w:abstractNumId="1">
    <w:nsid w:val="3077737C"/>
    <w:multiLevelType w:val="singleLevel"/>
    <w:tmpl w:val="3077737C"/>
    <w:lvl w:ilvl="0">
      <w:start w:val="1"/>
      <w:numFmt w:val="decimalEnclosedCircle"/>
      <w:lvlText w:val="%1"/>
      <w:lvlJc w:val="left"/>
      <w:pPr>
        <w:tabs>
          <w:tab w:val="left" w:pos="360"/>
        </w:tabs>
        <w:ind w:left="360" w:hanging="36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92958"/>
    <w:rsid w:val="00241C1A"/>
    <w:rsid w:val="00257C4C"/>
    <w:rsid w:val="0029458A"/>
    <w:rsid w:val="00296F0E"/>
    <w:rsid w:val="003F62D4"/>
    <w:rsid w:val="00406BA2"/>
    <w:rsid w:val="004E6377"/>
    <w:rsid w:val="005B1229"/>
    <w:rsid w:val="006B402C"/>
    <w:rsid w:val="00AD5614"/>
    <w:rsid w:val="00AE590B"/>
    <w:rsid w:val="00B6435E"/>
    <w:rsid w:val="00C31325"/>
    <w:rsid w:val="00D429F7"/>
    <w:rsid w:val="00D7698B"/>
    <w:rsid w:val="00F727EE"/>
    <w:rsid w:val="00F74466"/>
    <w:rsid w:val="057C19CF"/>
    <w:rsid w:val="10192958"/>
    <w:rsid w:val="17773942"/>
    <w:rsid w:val="1813409B"/>
    <w:rsid w:val="24BE1E58"/>
    <w:rsid w:val="351323D8"/>
    <w:rsid w:val="4B502031"/>
    <w:rsid w:val="4EB472DC"/>
    <w:rsid w:val="597436C4"/>
    <w:rsid w:val="5AD92379"/>
    <w:rsid w:val="5E197CA9"/>
    <w:rsid w:val="5F3D0D3D"/>
    <w:rsid w:val="5F627187"/>
    <w:rsid w:val="61B215F8"/>
    <w:rsid w:val="621F448B"/>
    <w:rsid w:val="62845EF2"/>
    <w:rsid w:val="637B23FD"/>
    <w:rsid w:val="63A73443"/>
    <w:rsid w:val="6708571C"/>
    <w:rsid w:val="6ED03201"/>
    <w:rsid w:val="6F435F5B"/>
    <w:rsid w:val="754B3D95"/>
    <w:rsid w:val="761E1CE0"/>
    <w:rsid w:val="76EA591C"/>
    <w:rsid w:val="7C5D6D61"/>
  </w:rsids>
  <w:docVars>
    <w:docVar w:name="commondata" w:val="eyJoZGlkIjoiMDliMDE3MTIxNmNjMzdhZDk2NDA4MDE3ZDQ3MTQxZj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qFormat="1"/>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line="360" w:lineRule="auto"/>
      <w:outlineLvl w:val="0"/>
    </w:pPr>
    <w:rPr>
      <w:rFonts w:ascii="Times New Roman" w:eastAsia="宋体" w:hAnsi="Times New Roman"/>
      <w:b/>
      <w:bCs/>
      <w:kern w:val="44"/>
      <w:sz w:val="32"/>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Indent">
    <w:name w:val="Body Text Indent"/>
    <w:basedOn w:val="Normal"/>
    <w:qFormat/>
    <w:pPr>
      <w:spacing w:line="360" w:lineRule="auto"/>
      <w:ind w:firstLine="525"/>
    </w:pPr>
    <w:rPr>
      <w:rFonts w:ascii="仿宋_GB2312" w:eastAsia="仿宋_GB2312"/>
      <w:sz w:val="24"/>
      <w:szCs w:val="20"/>
    </w:rPr>
  </w:style>
  <w:style w:type="paragraph" w:styleId="PlainText">
    <w:name w:val="Plain Text"/>
    <w:basedOn w:val="Normal"/>
    <w:qFormat/>
    <w:pPr>
      <w:widowControl/>
      <w:ind w:left="1080"/>
      <w:jc w:val="left"/>
    </w:pPr>
    <w:rPr>
      <w:rFonts w:ascii="宋体" w:hAnsi="Courier New"/>
      <w:kern w:val="0"/>
      <w:sz w:val="20"/>
      <w:szCs w:val="20"/>
    </w:rPr>
  </w:style>
  <w:style w:type="paragraph" w:styleId="Date">
    <w:name w:val="Date"/>
    <w:basedOn w:val="Normal"/>
    <w:next w:val="Normal"/>
    <w:qFormat/>
    <w:rPr>
      <w:szCs w:val="20"/>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qFormat/>
  </w:style>
  <w:style w:type="paragraph" w:styleId="List">
    <w:name w:val="List"/>
    <w:basedOn w:val="Normal"/>
    <w:qFormat/>
    <w:pPr>
      <w:spacing w:before="25" w:after="25"/>
    </w:pPr>
    <w:rPr>
      <w:rFonts w:ascii="仿宋_GB2312" w:eastAsia="仿宋_GB2312"/>
      <w:sz w:val="24"/>
      <w:szCs w:val="20"/>
    </w:r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header" Target="header17.xml" /><Relationship Id="rId37" Type="http://schemas.openxmlformats.org/officeDocument/2006/relationships/footer" Target="footer16.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header" Target="header23.xml" /><Relationship Id="rId49" Type="http://schemas.openxmlformats.org/officeDocument/2006/relationships/footer" Target="footer22.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header" Target="header26.xml" /><Relationship Id="rId55" Type="http://schemas.openxmlformats.org/officeDocument/2006/relationships/footer" Target="footer25.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8.xml" /><Relationship Id="rId62" Type="http://schemas.openxmlformats.org/officeDocument/2006/relationships/footer" Target="footer29.xm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image" Target="media/image1.wmf" /><Relationship Id="rId66" Type="http://schemas.openxmlformats.org/officeDocument/2006/relationships/oleObject" Target="embeddings/oleObject1.bin" /><Relationship Id="rId67" Type="http://schemas.openxmlformats.org/officeDocument/2006/relationships/header" Target="header31.xml" /><Relationship Id="rId68" Type="http://schemas.openxmlformats.org/officeDocument/2006/relationships/header" Target="header32.xml" /><Relationship Id="rId69" Type="http://schemas.openxmlformats.org/officeDocument/2006/relationships/footer" Target="footer31.xml" /><Relationship Id="rId7" Type="http://schemas.openxmlformats.org/officeDocument/2006/relationships/footer" Target="foot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header" Target="header35.xml" /><Relationship Id="rId75" Type="http://schemas.openxmlformats.org/officeDocument/2006/relationships/footer" Target="footer34.xml" /><Relationship Id="rId76" Type="http://schemas.openxmlformats.org/officeDocument/2006/relationships/footer" Target="footer35.xml" /><Relationship Id="rId77" Type="http://schemas.openxmlformats.org/officeDocument/2006/relationships/header" Target="header36.xml" /><Relationship Id="rId78" Type="http://schemas.openxmlformats.org/officeDocument/2006/relationships/footer" Target="footer36.xml" /><Relationship Id="rId79" Type="http://schemas.openxmlformats.org/officeDocument/2006/relationships/hyperlink" Target="https://d.book118.com/147052156062006025" TargetMode="External" /><Relationship Id="rId8" Type="http://schemas.openxmlformats.org/officeDocument/2006/relationships/footer" Target="footer2.xml" /><Relationship Id="rId80" Type="http://schemas.openxmlformats.org/officeDocument/2006/relationships/header" Target="header37.xml" /><Relationship Id="rId81" Type="http://schemas.openxmlformats.org/officeDocument/2006/relationships/header" Target="header38.xml" /><Relationship Id="rId82" Type="http://schemas.openxmlformats.org/officeDocument/2006/relationships/footer" Target="footer37.xml" /><Relationship Id="rId83" Type="http://schemas.openxmlformats.org/officeDocument/2006/relationships/footer" Target="footer38.xml" /><Relationship Id="rId84" Type="http://schemas.openxmlformats.org/officeDocument/2006/relationships/header" Target="header39.xml" /><Relationship Id="rId85" Type="http://schemas.openxmlformats.org/officeDocument/2006/relationships/footer" Target="footer39.xml" /><Relationship Id="rId86" Type="http://schemas.openxmlformats.org/officeDocument/2006/relationships/theme" Target="theme/theme1.xml" /><Relationship Id="rId87" Type="http://schemas.openxmlformats.org/officeDocument/2006/relationships/numbering" Target="numbering.xml" /><Relationship Id="rId88" Type="http://schemas.openxmlformats.org/officeDocument/2006/relationships/styles" Target="styles.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1026"/>
    <customShpInfo spid="_x0000_s1044"/>
    <customShpInfo spid="_x0000_s1043"/>
    <customShpInfo spid="_x0000_s1042"/>
    <customShpInfo spid="_x0000_s1041"/>
    <customShpInfo spid="_x0000_s1040"/>
    <customShpInfo spid="_x0000_s1039"/>
    <customShpInfo spid="_x0000_s1038"/>
    <customShpInfo spid="_x0000_s1037"/>
    <customShpInfo spid="_x0000_s1047"/>
    <customShpInfo spid="_x0000_s1031"/>
    <customShpInfo spid="_x0000_s1048"/>
    <customShpInfo spid="_x0000_s1032"/>
    <customShpInfo spid="_x0000_s1033"/>
    <customShpInfo spid="_x0000_s1034"/>
    <customShpInfo spid="_x0000_s103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14917</Words>
  <Characters>2325</Characters>
  <Application>Microsoft Office Word</Application>
  <DocSecurity>0</DocSecurity>
  <Lines>19</Lines>
  <Paragraphs>34</Paragraphs>
  <ScaleCrop>false</ScaleCrop>
  <Company>Microsoft</Company>
  <LinksUpToDate>false</LinksUpToDate>
  <CharactersWithSpaces>17208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天雨</cp:lastModifiedBy>
  <cp:revision>8</cp:revision>
  <cp:lastPrinted>2023-10-06T09:49:00Z</cp:lastPrinted>
  <dcterms:created xsi:type="dcterms:W3CDTF">2020-01-30T09:43:00Z</dcterms:created>
  <dcterms:modified xsi:type="dcterms:W3CDTF">2023-10-30T01:24:00Z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B958941B91374E438FFAAECC2CD7B23F</vt:lpwstr>
  </property>
  <property fmtid="{D5CDD505-2E9C-101B-9397-08002B2CF9AE}" pid="3" name="KSOProductBuildVer">
    <vt:lpwstr>2052-12.1.0.15358</vt:lpwstr>
  </property>
</Properties>
</file>