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0" w:line="459" w:lineRule="exact"/>
        <w:ind w:left="1373" w:right="0" w:firstLine="0"/>
        <w:jc w:val="left"/>
        <w:rPr>
          <w:rFonts w:ascii="幼圆" w:eastAsia="幼圆" w:hint="eastAsia"/>
          <w:sz w:val="54"/>
        </w:rPr>
      </w:pPr>
      <w:r>
        <w:rPr>
          <w:rFonts w:ascii="幼圆" w:eastAsia="幼圆" w:hint="eastAsia"/>
          <w:sz w:val="54"/>
        </w:rPr>
        <w:t>重庆市黔江区博宏上郡新都梯步绿化边坡项目</w:t>
      </w:r>
    </w:p>
    <w:p>
      <w:pPr>
        <w:pStyle w:val="Title"/>
        <w:spacing w:line="1160" w:lineRule="exact"/>
      </w:pPr>
      <w:r>
        <w:rPr>
          <w:w w:val="99"/>
        </w:rPr>
        <w:t>抗</w:t>
      </w:r>
    </w:p>
    <w:p>
      <w:pPr>
        <w:pStyle w:val="Title"/>
        <w:spacing w:before="16" w:line="242" w:lineRule="auto"/>
        <w:ind w:left="6464" w:right="6753"/>
        <w:jc w:val="both"/>
      </w:pPr>
      <w:r>
        <w:rPr>
          <w:w w:val="95"/>
        </w:rPr>
        <w:t>滑桩专项施工方案</w:t>
      </w:r>
    </w:p>
    <w:p>
      <w:pPr>
        <w:pStyle w:val="BodyText"/>
        <w:spacing w:before="10"/>
        <w:rPr>
          <w:rFonts w:ascii="楷体"/>
          <w:b/>
          <w:sz w:val="123"/>
        </w:rPr>
      </w:pPr>
    </w:p>
    <w:p>
      <w:pPr>
        <w:spacing w:before="0"/>
        <w:ind w:left="646" w:right="198" w:firstLine="0"/>
        <w:jc w:val="center"/>
        <w:rPr>
          <w:rFonts w:ascii="楷体" w:eastAsia="楷体" w:hint="eastAsia"/>
          <w:b/>
          <w:sz w:val="54"/>
        </w:rPr>
      </w:pPr>
      <w:r>
        <w:rPr>
          <w:rFonts w:ascii="楷体" w:eastAsia="楷体" w:hint="eastAsia"/>
          <w:b/>
          <w:sz w:val="54"/>
        </w:rPr>
        <w:t>编制单位：重庆玉鼎节能建材有限公司</w:t>
      </w:r>
    </w:p>
    <w:p>
      <w:pPr>
        <w:pStyle w:val="BodyText"/>
        <w:spacing w:before="9"/>
        <w:rPr>
          <w:rFonts w:ascii="楷体"/>
          <w:b/>
          <w:sz w:val="76"/>
        </w:rPr>
      </w:pPr>
    </w:p>
    <w:p>
      <w:pPr>
        <w:tabs>
          <w:tab w:val="left" w:pos="1350"/>
        </w:tabs>
        <w:spacing w:before="1"/>
        <w:ind w:left="0" w:right="198" w:firstLine="0"/>
        <w:jc w:val="center"/>
        <w:rPr>
          <w:rFonts w:ascii="楷体" w:eastAsia="楷体" w:hint="eastAsia"/>
          <w:sz w:val="54"/>
        </w:rPr>
      </w:pPr>
      <w:r>
        <w:rPr>
          <w:rFonts w:ascii="楷体" w:eastAsia="楷体" w:hint="eastAsia"/>
          <w:sz w:val="54"/>
        </w:rPr>
        <w:t>目</w:t>
        <w:tab/>
        <w:t>录</w:t>
      </w:r>
    </w:p>
    <w:p>
      <w:pPr>
        <w:pStyle w:val="BodyText"/>
        <w:rPr>
          <w:rFonts w:ascii="楷体"/>
          <w:sz w:val="54"/>
        </w:rPr>
      </w:pPr>
    </w:p>
    <w:p>
      <w:pPr>
        <w:tabs>
          <w:tab w:val="left" w:pos="1626"/>
          <w:tab w:val="left" w:leader="dot" w:pos="13300"/>
        </w:tabs>
        <w:spacing w:before="362"/>
        <w:ind w:left="0" w:right="210" w:firstLine="0"/>
        <w:jc w:val="center"/>
        <w:rPr>
          <w:rFonts w:ascii="Arial" w:eastAsia="Arial"/>
          <w:b/>
          <w:sz w:val="36"/>
        </w:rPr>
      </w:pPr>
      <w:r>
        <w:rPr>
          <w:rFonts w:ascii="楷体" w:eastAsia="楷体" w:hint="eastAsia"/>
          <w:b/>
          <w:sz w:val="36"/>
        </w:rPr>
        <w:t>第一章</w:t>
        <w:tab/>
        <w:t>工程概况</w:t>
        <w:tab/>
      </w:r>
      <w:r>
        <w:rPr>
          <w:rFonts w:ascii="Arial" w:eastAsia="Arial"/>
          <w:b/>
          <w:sz w:val="36"/>
        </w:rPr>
        <w:t>2</w:t>
      </w:r>
    </w:p>
    <w:p>
      <w:pPr>
        <w:tabs>
          <w:tab w:val="left" w:leader="dot" w:pos="13644"/>
        </w:tabs>
        <w:spacing w:before="418"/>
        <w:ind w:left="293" w:right="0" w:firstLine="0"/>
        <w:jc w:val="left"/>
        <w:rPr>
          <w:rFonts w:ascii="Arial" w:eastAsia="Arial"/>
          <w:b/>
          <w:sz w:val="30"/>
        </w:rPr>
      </w:pPr>
      <w:r>
        <w:rPr>
          <w:rFonts w:ascii="Arial" w:eastAsia="Arial"/>
          <w:b/>
          <w:sz w:val="30"/>
        </w:rPr>
        <w:t>1</w:t>
      </w:r>
      <w:r>
        <w:rPr>
          <w:rFonts w:ascii="楷体" w:eastAsia="楷体" w:hint="eastAsia"/>
          <w:b/>
          <w:sz w:val="30"/>
        </w:rPr>
        <w:t>、工程概况</w:t>
        <w:tab/>
      </w:r>
      <w:r>
        <w:rPr>
          <w:rFonts w:ascii="Arial" w:eastAsia="Arial"/>
          <w:b/>
          <w:sz w:val="30"/>
        </w:rPr>
        <w:t>2</w:t>
      </w:r>
    </w:p>
    <w:p>
      <w:pPr>
        <w:tabs>
          <w:tab w:val="left" w:leader="dot" w:pos="13644"/>
        </w:tabs>
        <w:spacing w:before="364"/>
        <w:ind w:left="293" w:right="0" w:firstLine="0"/>
        <w:jc w:val="left"/>
        <w:rPr>
          <w:rFonts w:ascii="Arial" w:eastAsia="Arial"/>
          <w:b/>
          <w:sz w:val="30"/>
        </w:rPr>
      </w:pPr>
      <w:r>
        <w:rPr>
          <w:rFonts w:ascii="Arial" w:eastAsia="Arial"/>
          <w:b/>
          <w:sz w:val="30"/>
        </w:rPr>
        <w:t>2</w:t>
      </w:r>
      <w:r>
        <w:rPr>
          <w:rFonts w:ascii="楷体" w:eastAsia="楷体" w:hint="eastAsia"/>
          <w:b/>
          <w:sz w:val="30"/>
        </w:rPr>
        <w:t>、地质和气侯条件</w:t>
        <w:tab/>
      </w:r>
      <w:r>
        <w:rPr>
          <w:rFonts w:ascii="Arial" w:eastAsia="Arial"/>
          <w:b/>
          <w:sz w:val="30"/>
        </w:rPr>
        <w:t>3</w:t>
      </w:r>
    </w:p>
    <w:p>
      <w:pPr>
        <w:tabs>
          <w:tab w:val="left" w:leader="dot" w:pos="13644"/>
        </w:tabs>
        <w:spacing w:before="368"/>
        <w:ind w:left="293" w:right="0" w:firstLine="0"/>
        <w:jc w:val="left"/>
        <w:rPr>
          <w:rFonts w:ascii="Arial" w:eastAsia="Arial"/>
          <w:b/>
          <w:sz w:val="30"/>
        </w:rPr>
      </w:pPr>
      <w:r>
        <w:rPr>
          <w:rFonts w:ascii="Arial" w:eastAsia="Arial"/>
          <w:b/>
          <w:sz w:val="30"/>
        </w:rPr>
        <w:t>3</w:t>
      </w:r>
      <w:r>
        <w:rPr>
          <w:rFonts w:ascii="楷体" w:eastAsia="楷体" w:hint="eastAsia"/>
          <w:b/>
          <w:sz w:val="30"/>
        </w:rPr>
        <w:t>、工程特点与难点</w:t>
        <w:tab/>
      </w:r>
      <w:r>
        <w:rPr>
          <w:rFonts w:ascii="Arial" w:eastAsia="Arial"/>
          <w:b/>
          <w:sz w:val="30"/>
        </w:rPr>
        <w:t>4</w:t>
      </w:r>
    </w:p>
    <w:p>
      <w:pPr>
        <w:spacing w:after="0"/>
        <w:jc w:val="left"/>
        <w:rPr>
          <w:rFonts w:ascii="Arial" w:eastAsia="Arial"/>
          <w:sz w:val="30"/>
        </w:rPr>
        <w:sectPr>
          <w:type w:val="continuous"/>
          <w:pgSz w:w="17860" w:h="25260"/>
          <w:pgMar w:top="2240" w:right="1300" w:bottom="280" w:left="2260" w:header="708" w:footer="708"/>
          <w:cols w:space="708"/>
        </w:sectPr>
      </w:pPr>
    </w:p>
    <w:sdt>
      <w:sdtPr>
        <w:id w:val="384788179"/>
        <w:docPartObj>
          <w:docPartGallery w:val="Table of Contents"/>
          <w:docPartUnique/>
        </w:docPartObj>
      </w:sdtPr>
      <w:sdtContent>
        <w:p>
          <w:pPr>
            <w:pStyle w:val="TOC2"/>
            <w:tabs>
              <w:tab w:val="right" w:leader="dot" w:pos="13793"/>
            </w:tabs>
            <w:spacing w:before="67"/>
            <w:rPr>
              <w:rFonts w:ascii="Arial" w:eastAsia="Arial"/>
            </w:rPr>
          </w:pPr>
          <w:hyperlink w:anchor="_TOC_250015" w:history="1">
            <w:r>
              <w:rPr>
                <w:rFonts w:ascii="Arial" w:eastAsia="Arial"/>
              </w:rPr>
              <w:t>4</w:t>
            </w:r>
            <w:r>
              <w:t>、施工要求和技术保证条件</w:t>
              <w:tab/>
            </w:r>
            <w:r>
              <w:rPr>
                <w:rFonts w:ascii="Arial" w:eastAsia="Arial"/>
              </w:rPr>
              <w:t>4</w:t>
            </w:r>
          </w:hyperlink>
        </w:p>
        <w:p>
          <w:pPr>
            <w:pStyle w:val="TOC1"/>
            <w:tabs>
              <w:tab w:val="left" w:pos="1740"/>
              <w:tab w:val="right" w:leader="dot" w:pos="13793"/>
            </w:tabs>
            <w:spacing w:before="494"/>
            <w:rPr>
              <w:rFonts w:ascii="Arial" w:eastAsia="Arial"/>
            </w:rPr>
          </w:pPr>
          <w:hyperlink w:anchor="_TOC_250014" w:history="1">
            <w:r>
              <w:t>第二章</w:t>
              <w:tab/>
              <w:t>编制依据</w:t>
              <w:tab/>
            </w:r>
            <w:r>
              <w:rPr>
                <w:rFonts w:ascii="Arial" w:eastAsia="Arial"/>
              </w:rPr>
              <w:t>6</w:t>
            </w:r>
          </w:hyperlink>
        </w:p>
        <w:p>
          <w:pPr>
            <w:pStyle w:val="TOC2"/>
            <w:tabs>
              <w:tab w:val="right" w:leader="dot" w:pos="13793"/>
            </w:tabs>
            <w:spacing w:before="418"/>
            <w:rPr>
              <w:rFonts w:ascii="Arial" w:eastAsia="Arial"/>
            </w:rPr>
          </w:pPr>
          <w:hyperlink w:anchor="_TOC_250013" w:history="1">
            <w:r>
              <w:rPr>
                <w:rFonts w:ascii="Arial" w:eastAsia="Arial"/>
              </w:rPr>
              <w:t>1</w:t>
            </w:r>
            <w:r>
              <w:t>、编制依据</w:t>
              <w:tab/>
            </w:r>
            <w:r>
              <w:rPr>
                <w:rFonts w:ascii="Arial" w:eastAsia="Arial"/>
              </w:rPr>
              <w:t>6</w:t>
            </w:r>
          </w:hyperlink>
        </w:p>
        <w:p>
          <w:pPr>
            <w:pStyle w:val="TOC2"/>
            <w:tabs>
              <w:tab w:val="right" w:leader="dot" w:pos="13793"/>
            </w:tabs>
            <w:rPr>
              <w:rFonts w:ascii="Arial" w:eastAsia="Arial"/>
            </w:rPr>
          </w:pPr>
          <w:r>
            <w:rPr>
              <w:rFonts w:ascii="Arial" w:eastAsia="Arial"/>
            </w:rPr>
            <w:t>2</w:t>
          </w:r>
          <w:r>
            <w:t>、工程应用的主要法规</w:t>
            <w:tab/>
          </w:r>
          <w:r>
            <w:rPr>
              <w:rFonts w:ascii="Arial" w:eastAsia="Arial"/>
            </w:rPr>
            <w:t>7</w:t>
          </w:r>
        </w:p>
        <w:p>
          <w:pPr>
            <w:pStyle w:val="TOC2"/>
            <w:tabs>
              <w:tab w:val="right" w:leader="dot" w:pos="13793"/>
            </w:tabs>
            <w:spacing w:before="365"/>
            <w:rPr>
              <w:rFonts w:ascii="Arial" w:eastAsia="Arial"/>
            </w:rPr>
          </w:pPr>
          <w:r>
            <w:rPr>
              <w:rFonts w:ascii="Arial" w:eastAsia="Arial"/>
            </w:rPr>
            <w:t>3</w:t>
          </w:r>
          <w:r>
            <w:t>、编制原则</w:t>
            <w:tab/>
          </w:r>
          <w:r>
            <w:rPr>
              <w:rFonts w:ascii="Arial" w:eastAsia="Arial"/>
            </w:rPr>
            <w:t>7</w:t>
          </w:r>
        </w:p>
        <w:p>
          <w:pPr>
            <w:pStyle w:val="TOC3"/>
            <w:tabs>
              <w:tab w:val="left" w:leader="dot" w:pos="11095"/>
            </w:tabs>
            <w:rPr>
              <w:rFonts w:ascii="宋体" w:eastAsia="宋体" w:hint="eastAsia"/>
              <w:b w:val="0"/>
              <w:i w:val="0"/>
              <w:sz w:val="30"/>
            </w:rPr>
          </w:pPr>
          <w:r>
            <w:rPr>
              <w:rFonts w:ascii="Arial" w:eastAsia="Arial"/>
              <w:i w:val="0"/>
              <w:sz w:val="30"/>
            </w:rPr>
            <w:t>4</w:t>
          </w:r>
          <w:r>
            <w:rPr>
              <w:i w:val="0"/>
              <w:sz w:val="30"/>
            </w:rPr>
            <w:t>、编制范围</w:t>
            <w:tab/>
          </w:r>
          <w:r>
            <w:rPr>
              <w:rFonts w:ascii="宋体" w:eastAsia="宋体" w:hint="eastAsia"/>
              <w:b w:val="0"/>
              <w:i w:val="0"/>
              <w:w w:val="95"/>
              <w:sz w:val="30"/>
            </w:rPr>
            <w:t>错误！未定义书签。</w:t>
          </w:r>
        </w:p>
        <w:p>
          <w:pPr>
            <w:pStyle w:val="TOC1"/>
            <w:tabs>
              <w:tab w:val="left" w:pos="1740"/>
              <w:tab w:val="right" w:leader="dot" w:pos="13793"/>
            </w:tabs>
            <w:spacing w:before="493"/>
            <w:rPr>
              <w:rFonts w:ascii="Arial" w:eastAsia="Arial"/>
            </w:rPr>
          </w:pPr>
          <w:r>
            <w:t>第三章</w:t>
            <w:tab/>
            <w:t>施工进度计划</w:t>
            <w:tab/>
          </w:r>
          <w:r>
            <w:rPr>
              <w:rFonts w:ascii="Arial" w:eastAsia="Arial"/>
            </w:rPr>
            <w:t>8</w:t>
          </w:r>
        </w:p>
        <w:p>
          <w:pPr>
            <w:pStyle w:val="TOC2"/>
            <w:tabs>
              <w:tab w:val="right" w:leader="dot" w:pos="13793"/>
            </w:tabs>
            <w:spacing w:before="418"/>
            <w:rPr>
              <w:rFonts w:ascii="Arial" w:eastAsia="Arial"/>
            </w:rPr>
          </w:pPr>
          <w:hyperlink w:anchor="_TOC_250012" w:history="1">
            <w:r>
              <w:t>一、施工工期</w:t>
              <w:tab/>
            </w:r>
            <w:r>
              <w:rPr>
                <w:rFonts w:ascii="Arial" w:eastAsia="Arial"/>
              </w:rPr>
              <w:t>8</w:t>
            </w:r>
          </w:hyperlink>
        </w:p>
        <w:p>
          <w:pPr>
            <w:pStyle w:val="TOC2"/>
            <w:tabs>
              <w:tab w:val="right" w:leader="dot" w:pos="13793"/>
            </w:tabs>
            <w:spacing w:before="366"/>
            <w:rPr>
              <w:rFonts w:ascii="Arial" w:eastAsia="Arial"/>
            </w:rPr>
          </w:pPr>
          <w:r>
            <w:t>二、施工资源及机械配置计划</w:t>
            <w:tab/>
          </w:r>
          <w:r>
            <w:rPr>
              <w:rFonts w:ascii="Arial" w:eastAsia="Arial"/>
            </w:rPr>
            <w:t>8</w:t>
          </w:r>
        </w:p>
        <w:p>
          <w:pPr>
            <w:pStyle w:val="TOC1"/>
            <w:tabs>
              <w:tab w:val="left" w:pos="1740"/>
              <w:tab w:val="right" w:leader="dot" w:pos="13793"/>
            </w:tabs>
            <w:rPr>
              <w:rFonts w:ascii="Arial" w:eastAsia="Arial"/>
            </w:rPr>
          </w:pPr>
          <w:r>
            <w:t>第四章</w:t>
            <w:tab/>
            <w:t>施工工艺技术</w:t>
            <w:tab/>
          </w:r>
          <w:r>
            <w:rPr>
              <w:rFonts w:ascii="Arial" w:eastAsia="Arial"/>
            </w:rPr>
            <w:t>8</w:t>
          </w:r>
        </w:p>
        <w:p>
          <w:pPr>
            <w:pStyle w:val="TOC2"/>
            <w:tabs>
              <w:tab w:val="right" w:leader="dot" w:pos="13793"/>
            </w:tabs>
            <w:spacing w:before="422"/>
            <w:rPr>
              <w:rFonts w:ascii="Arial" w:eastAsia="Arial"/>
            </w:rPr>
          </w:pPr>
          <w:hyperlink w:anchor="_TOC_250011" w:history="1">
            <w:r>
              <w:t>一、施工技术要求</w:t>
              <w:tab/>
            </w:r>
            <w:r>
              <w:rPr>
                <w:rFonts w:ascii="Arial" w:eastAsia="Arial"/>
              </w:rPr>
              <w:t>8</w:t>
            </w:r>
          </w:hyperlink>
        </w:p>
        <w:p>
          <w:pPr>
            <w:pStyle w:val="TOC2"/>
            <w:tabs>
              <w:tab w:val="right" w:leader="dot" w:pos="13793"/>
            </w:tabs>
            <w:rPr>
              <w:rFonts w:ascii="Arial" w:eastAsia="Arial"/>
            </w:rPr>
          </w:pPr>
          <w:r>
            <w:t>二、抗滑桩施工的工艺流程</w:t>
            <w:tab/>
          </w:r>
          <w:r>
            <w:rPr>
              <w:rFonts w:ascii="Arial" w:eastAsia="Arial"/>
            </w:rPr>
            <w:t>9</w:t>
          </w:r>
        </w:p>
        <w:p>
          <w:pPr>
            <w:pStyle w:val="TOC2"/>
            <w:tabs>
              <w:tab w:val="right" w:leader="dot" w:pos="13704"/>
            </w:tabs>
            <w:spacing w:before="365"/>
            <w:rPr>
              <w:rFonts w:ascii="Arial" w:eastAsia="Arial"/>
            </w:rPr>
          </w:pPr>
          <w:hyperlink w:anchor="_TOC_250010" w:history="1">
            <w:r>
              <w:t>三、施工方法</w:t>
              <w:tab/>
            </w:r>
            <w:r>
              <w:rPr>
                <w:rFonts w:ascii="Arial" w:eastAsia="Arial"/>
              </w:rPr>
              <w:t>11</w:t>
            </w:r>
          </w:hyperlink>
        </w:p>
        <w:p>
          <w:pPr>
            <w:pStyle w:val="TOC4"/>
            <w:tabs>
              <w:tab w:val="right" w:leader="dot" w:pos="13706"/>
            </w:tabs>
            <w:rPr>
              <w:rFonts w:ascii="Arial" w:eastAsia="Arial"/>
            </w:rPr>
          </w:pPr>
          <w:hyperlink w:anchor="_TOC_250009" w:history="1">
            <w:r>
              <w:rPr>
                <w:rFonts w:ascii="Arial" w:eastAsia="Arial"/>
              </w:rPr>
              <w:t>1</w:t>
            </w:r>
            <w:r>
              <w:t>、施工准备</w:t>
              <w:tab/>
            </w:r>
            <w:r>
              <w:rPr>
                <w:rFonts w:ascii="Arial" w:eastAsia="Arial"/>
              </w:rPr>
              <w:t>11</w:t>
            </w:r>
          </w:hyperlink>
        </w:p>
        <w:p>
          <w:pPr>
            <w:pStyle w:val="TOC4"/>
            <w:tabs>
              <w:tab w:val="right" w:leader="dot" w:pos="13706"/>
            </w:tabs>
            <w:rPr>
              <w:rFonts w:ascii="Arial" w:eastAsia="Arial"/>
            </w:rPr>
          </w:pPr>
          <w:r>
            <w:rPr>
              <w:rFonts w:ascii="Arial" w:eastAsia="Arial"/>
            </w:rPr>
            <w:t>2</w:t>
          </w:r>
          <w:r>
            <w:t>、测量放样</w:t>
            <w:tab/>
          </w:r>
          <w:r>
            <w:rPr>
              <w:rFonts w:ascii="Arial" w:eastAsia="Arial"/>
            </w:rPr>
            <w:t>11</w:t>
          </w:r>
        </w:p>
        <w:p>
          <w:pPr>
            <w:pStyle w:val="TOC4"/>
            <w:tabs>
              <w:tab w:val="right" w:leader="dot" w:pos="13706"/>
            </w:tabs>
            <w:spacing w:before="5"/>
            <w:rPr>
              <w:rFonts w:ascii="Arial" w:eastAsia="Arial"/>
            </w:rPr>
          </w:pPr>
          <w:r>
            <w:rPr>
              <w:rFonts w:ascii="Arial" w:eastAsia="Arial"/>
            </w:rPr>
            <w:t>3</w:t>
          </w:r>
          <w:r>
            <w:t>、桩孔开挖</w:t>
            <w:tab/>
          </w:r>
          <w:r>
            <w:rPr>
              <w:rFonts w:ascii="Arial" w:eastAsia="Arial"/>
            </w:rPr>
            <w:t>11</w:t>
          </w:r>
        </w:p>
        <w:p>
          <w:pPr>
            <w:pStyle w:val="TOC4"/>
            <w:tabs>
              <w:tab w:val="right" w:leader="dot" w:pos="13797"/>
            </w:tabs>
            <w:spacing w:before="8"/>
            <w:rPr>
              <w:rFonts w:ascii="Arial" w:eastAsia="Arial"/>
            </w:rPr>
          </w:pPr>
          <w:hyperlink w:anchor="_TOC_250008" w:history="1">
            <w:r>
              <w:rPr>
                <w:rFonts w:ascii="Arial" w:eastAsia="Arial"/>
              </w:rPr>
              <w:t>4</w:t>
            </w:r>
            <w:r>
              <w:t>、钢筋砼护壁</w:t>
              <w:tab/>
            </w:r>
            <w:r>
              <w:rPr>
                <w:rFonts w:ascii="Arial" w:eastAsia="Arial"/>
              </w:rPr>
              <w:t>14</w:t>
            </w:r>
          </w:hyperlink>
        </w:p>
        <w:p>
          <w:pPr>
            <w:pStyle w:val="TOC4"/>
            <w:tabs>
              <w:tab w:val="right" w:leader="dot" w:pos="13797"/>
            </w:tabs>
            <w:spacing w:before="5"/>
            <w:rPr>
              <w:rFonts w:ascii="Arial" w:eastAsia="Arial"/>
            </w:rPr>
          </w:pPr>
          <w:hyperlink w:anchor="_TOC_250007" w:history="1">
            <w:r>
              <w:rPr>
                <w:rFonts w:ascii="Arial" w:eastAsia="Arial"/>
              </w:rPr>
              <w:t>5</w:t>
            </w:r>
            <w:r>
              <w:t>、桩体钢筋笼的制作安装</w:t>
              <w:tab/>
            </w:r>
            <w:r>
              <w:rPr>
                <w:rFonts w:ascii="Arial" w:eastAsia="Arial"/>
              </w:rPr>
              <w:t>16</w:t>
            </w:r>
          </w:hyperlink>
        </w:p>
        <w:p>
          <w:pPr>
            <w:pStyle w:val="TOC4"/>
            <w:tabs>
              <w:tab w:val="right" w:leader="dot" w:pos="13797"/>
            </w:tabs>
            <w:rPr>
              <w:rFonts w:ascii="Arial" w:eastAsia="Arial"/>
            </w:rPr>
          </w:pPr>
          <w:hyperlink w:anchor="_TOC_250006" w:history="1">
            <w:r>
              <w:rPr>
                <w:rFonts w:ascii="Arial" w:eastAsia="Arial"/>
              </w:rPr>
              <w:t>6</w:t>
            </w:r>
            <w:r>
              <w:t>、桩芯砼灌注</w:t>
              <w:tab/>
            </w:r>
            <w:r>
              <w:rPr>
                <w:rFonts w:ascii="Arial" w:eastAsia="Arial"/>
              </w:rPr>
              <w:t>17</w:t>
            </w:r>
          </w:hyperlink>
        </w:p>
        <w:p>
          <w:pPr>
            <w:pStyle w:val="TOC4"/>
            <w:tabs>
              <w:tab w:val="right" w:leader="dot" w:pos="13797"/>
            </w:tabs>
            <w:spacing w:before="5"/>
            <w:rPr>
              <w:rFonts w:ascii="Arial" w:eastAsia="Arial"/>
            </w:rPr>
          </w:pPr>
          <w:hyperlink w:anchor="_TOC_250005" w:history="1">
            <w:r>
              <w:rPr>
                <w:rFonts w:ascii="Arial" w:eastAsia="Arial"/>
              </w:rPr>
              <w:t>7</w:t>
            </w:r>
            <w:r>
              <w:t>、桩身施工常见问题的处理</w:t>
              <w:tab/>
            </w:r>
            <w:r>
              <w:rPr>
                <w:rFonts w:ascii="Arial" w:eastAsia="Arial"/>
              </w:rPr>
              <w:t>18</w:t>
            </w:r>
          </w:hyperlink>
        </w:p>
        <w:p>
          <w:pPr>
            <w:pStyle w:val="TOC2"/>
            <w:tabs>
              <w:tab w:val="right" w:leader="dot" w:pos="13797"/>
            </w:tabs>
            <w:rPr>
              <w:rFonts w:ascii="Arial" w:eastAsia="Arial"/>
            </w:rPr>
          </w:pPr>
          <w:hyperlink w:anchor="_TOC_250004" w:history="1">
            <w:r>
              <w:t>四、检查验收</w:t>
              <w:tab/>
            </w:r>
            <w:r>
              <w:rPr>
                <w:rFonts w:ascii="Arial" w:eastAsia="Arial"/>
              </w:rPr>
              <w:t>21</w:t>
            </w:r>
          </w:hyperlink>
        </w:p>
        <w:p>
          <w:pPr>
            <w:pStyle w:val="TOC1"/>
            <w:tabs>
              <w:tab w:val="left" w:pos="1740"/>
              <w:tab w:val="right" w:leader="dot" w:pos="13797"/>
            </w:tabs>
            <w:spacing w:before="490"/>
            <w:rPr>
              <w:rFonts w:ascii="Arial" w:eastAsia="Arial"/>
            </w:rPr>
          </w:pPr>
          <w:r>
            <w:t>第五章</w:t>
            <w:tab/>
            <w:t>质量保证措施</w:t>
            <w:tab/>
          </w:r>
          <w:r>
            <w:rPr>
              <w:rFonts w:ascii="Arial" w:eastAsia="Arial"/>
            </w:rPr>
            <w:t>22</w:t>
          </w:r>
        </w:p>
        <w:p>
          <w:pPr>
            <w:pStyle w:val="TOC2"/>
            <w:tabs>
              <w:tab w:val="right" w:leader="dot" w:pos="13797"/>
            </w:tabs>
            <w:spacing w:before="421"/>
            <w:rPr>
              <w:rFonts w:ascii="Arial" w:eastAsia="Arial"/>
            </w:rPr>
          </w:pPr>
          <w:r>
            <w:t>一、质量目标</w:t>
            <w:tab/>
          </w:r>
          <w:r>
            <w:rPr>
              <w:rFonts w:ascii="Arial" w:eastAsia="Arial"/>
            </w:rPr>
            <w:t>22</w:t>
          </w:r>
        </w:p>
        <w:p>
          <w:pPr>
            <w:pStyle w:val="TOC2"/>
            <w:tabs>
              <w:tab w:val="right" w:leader="dot" w:pos="13797"/>
            </w:tabs>
            <w:spacing w:before="365"/>
            <w:rPr>
              <w:rFonts w:ascii="Arial" w:eastAsia="Arial"/>
            </w:rPr>
          </w:pPr>
          <w:r>
            <w:t>二、工程质量保证措施</w:t>
            <w:tab/>
          </w:r>
          <w:r>
            <w:rPr>
              <w:rFonts w:ascii="Arial" w:eastAsia="Arial"/>
            </w:rPr>
            <w:t>22</w:t>
          </w:r>
        </w:p>
        <w:p>
          <w:pPr>
            <w:pStyle w:val="TOC2"/>
            <w:tabs>
              <w:tab w:val="right" w:leader="dot" w:pos="13797"/>
            </w:tabs>
            <w:rPr>
              <w:rFonts w:ascii="Arial" w:eastAsia="Arial"/>
            </w:rPr>
          </w:pPr>
          <w:hyperlink w:anchor="_TOC_250003" w:history="1">
            <w:r>
              <w:t>三、施工过程控制</w:t>
              <w:tab/>
            </w:r>
            <w:r>
              <w:rPr>
                <w:rFonts w:ascii="Arial" w:eastAsia="Arial"/>
              </w:rPr>
              <w:t>23</w:t>
            </w:r>
          </w:hyperlink>
        </w:p>
        <w:p>
          <w:pPr>
            <w:pStyle w:val="TOC1"/>
            <w:tabs>
              <w:tab w:val="left" w:pos="1920"/>
              <w:tab w:val="right" w:leader="dot" w:pos="13797"/>
            </w:tabs>
            <w:spacing w:before="491"/>
            <w:rPr>
              <w:rFonts w:ascii="Arial" w:eastAsia="Arial"/>
            </w:rPr>
          </w:pPr>
          <w:hyperlink w:anchor="_TOC_250002" w:history="1">
            <w:r>
              <w:t>第六章</w:t>
              <w:tab/>
              <w:t>施工安全保证措施</w:t>
              <w:tab/>
            </w:r>
            <w:r>
              <w:rPr>
                <w:rFonts w:ascii="Arial" w:eastAsia="Arial"/>
              </w:rPr>
              <w:t>24</w:t>
            </w:r>
          </w:hyperlink>
        </w:p>
        <w:p>
          <w:pPr>
            <w:pStyle w:val="TOC2"/>
            <w:tabs>
              <w:tab w:val="left" w:pos="1200"/>
              <w:tab w:val="right" w:leader="dot" w:pos="13797"/>
            </w:tabs>
            <w:spacing w:before="418"/>
            <w:rPr>
              <w:rFonts w:ascii="Arial" w:eastAsia="Arial"/>
            </w:rPr>
          </w:pPr>
          <w:r>
            <w:t>一、</w:t>
            <w:tab/>
            <w:t>施工组织保障措施</w:t>
            <w:tab/>
          </w:r>
          <w:r>
            <w:rPr>
              <w:rFonts w:ascii="Arial" w:eastAsia="Arial"/>
            </w:rPr>
            <w:t>24</w:t>
          </w:r>
        </w:p>
        <w:p>
          <w:pPr>
            <w:pStyle w:val="TOC2"/>
            <w:tabs>
              <w:tab w:val="right" w:leader="dot" w:pos="13797"/>
            </w:tabs>
            <w:spacing w:before="368"/>
            <w:rPr>
              <w:rFonts w:ascii="Arial" w:eastAsia="Arial"/>
            </w:rPr>
          </w:pPr>
          <w:r>
            <w:t>二、安全技术保证措施</w:t>
            <w:tab/>
          </w:r>
          <w:r>
            <w:rPr>
              <w:rFonts w:ascii="Arial" w:eastAsia="Arial"/>
            </w:rPr>
            <w:t>25</w:t>
          </w:r>
        </w:p>
        <w:p>
          <w:pPr>
            <w:pStyle w:val="TOC2"/>
            <w:tabs>
              <w:tab w:val="right" w:leader="dot" w:pos="13797"/>
            </w:tabs>
            <w:rPr>
              <w:rFonts w:ascii="Arial" w:eastAsia="Arial"/>
            </w:rPr>
          </w:pPr>
          <w:r>
            <w:t>三、安全应急救援措施</w:t>
            <w:tab/>
          </w:r>
          <w:r>
            <w:rPr>
              <w:rFonts w:ascii="Arial" w:eastAsia="Arial"/>
            </w:rPr>
            <w:t>26</w:t>
          </w:r>
        </w:p>
        <w:p>
          <w:pPr>
            <w:pStyle w:val="TOC4"/>
            <w:tabs>
              <w:tab w:val="right" w:leader="dot" w:pos="13797"/>
            </w:tabs>
            <w:spacing w:before="5"/>
            <w:rPr>
              <w:rFonts w:ascii="Arial" w:eastAsia="Arial"/>
            </w:rPr>
          </w:pPr>
          <w:hyperlink w:anchor="_TOC_250001" w:history="1">
            <w:r>
              <w:t>(一)总体部署</w:t>
              <w:tab/>
            </w:r>
            <w:r>
              <w:rPr>
                <w:rFonts w:ascii="Arial" w:eastAsia="Arial"/>
              </w:rPr>
              <w:t>26</w:t>
            </w:r>
          </w:hyperlink>
        </w:p>
        <w:p>
          <w:pPr>
            <w:pStyle w:val="TOC4"/>
            <w:tabs>
              <w:tab w:val="right" w:leader="dot" w:pos="13797"/>
            </w:tabs>
            <w:rPr>
              <w:rFonts w:ascii="Arial" w:eastAsia="Arial"/>
            </w:rPr>
          </w:pPr>
          <w:r>
            <w:t>（二）、 应急组织机构</w:t>
            <w:tab/>
          </w:r>
          <w:r>
            <w:rPr>
              <w:rFonts w:ascii="Arial" w:eastAsia="Arial"/>
            </w:rPr>
            <w:t>27</w:t>
          </w:r>
        </w:p>
        <w:p>
          <w:pPr>
            <w:pStyle w:val="TOC4"/>
            <w:tabs>
              <w:tab w:val="right" w:leader="dot" w:pos="13797"/>
            </w:tabs>
            <w:rPr>
              <w:rFonts w:ascii="Arial" w:eastAsia="Arial"/>
            </w:rPr>
            <w:sectPr>
              <w:footerReference w:type="default" r:id="rId4"/>
              <w:pgSz w:w="17860" w:h="25260"/>
              <w:pgMar w:top="1380" w:right="1300" w:bottom="2104" w:left="2260" w:header="0" w:footer="1802"/>
              <w:pgNumType w:start="1"/>
              <w:cols w:space="708"/>
            </w:sectPr>
          </w:pPr>
          <w:r>
            <w:t>（三）、职责分工</w:t>
            <w:tab/>
          </w:r>
          <w:r>
            <w:rPr>
              <w:rFonts w:ascii="Arial" w:eastAsia="Arial"/>
            </w:rPr>
            <w:t>27</w:t>
          </w:r>
        </w:p>
      </w:sdtContent>
    </w:sdt>
    <w:sdt>
      <w:sdtPr>
        <w:id w:val="11637904"/>
        <w:docPartObj>
          <w:docPartGallery w:val="Table of Contents"/>
          <w:docPartUnique/>
        </w:docPartObj>
      </w:sdtPr>
      <w:sdtContent>
        <w:p>
          <w:pPr>
            <w:pStyle w:val="TOC4"/>
            <w:tabs>
              <w:tab w:val="right" w:leader="dot" w:pos="13797"/>
            </w:tabs>
            <w:spacing w:before="5" w:after="20"/>
            <w:rPr>
              <w:rFonts w:ascii="Arial" w:eastAsia="Arial"/>
            </w:rPr>
          </w:pPr>
          <w:hyperlink w:anchor="_TOC_250000" w:history="1">
            <w:r>
              <w:t>（四）、应急准备</w:t>
              <w:tab/>
            </w:r>
            <w:r>
              <w:rPr>
                <w:rFonts w:ascii="Arial" w:eastAsia="Arial"/>
              </w:rPr>
              <w:t>28</w:t>
            </w:r>
          </w:hyperlink>
        </w:p>
        <w:p>
          <w:pPr>
            <w:pStyle w:val="TOC5"/>
            <w:tabs>
              <w:tab w:val="left" w:leader="dot" w:pos="11084"/>
            </w:tabs>
            <w:rPr>
              <w:i w:val="0"/>
              <w:sz w:val="30"/>
            </w:rPr>
          </w:pPr>
          <w:r>
            <w:rPr>
              <w:b w:val="0"/>
              <w:i w:val="0"/>
              <w:sz w:val="30"/>
            </w:rPr>
            <w:t>（五）、日常工作</w:t>
            <w:tab/>
          </w:r>
          <w:r>
            <w:rPr>
              <w:i w:val="0"/>
              <w:w w:val="95"/>
              <w:sz w:val="30"/>
            </w:rPr>
            <w:t>错误！未定义书签。</w:t>
          </w:r>
        </w:p>
        <w:p>
          <w:pPr>
            <w:pStyle w:val="TOC4"/>
            <w:tabs>
              <w:tab w:val="right" w:leader="dot" w:pos="13797"/>
            </w:tabs>
            <w:spacing w:before="8"/>
            <w:rPr>
              <w:rFonts w:ascii="Arial" w:eastAsia="Arial"/>
            </w:rPr>
          </w:pPr>
          <w:r>
            <w:t>（六）、应急预案的实施</w:t>
            <w:tab/>
          </w:r>
          <w:r>
            <w:rPr>
              <w:rFonts w:ascii="Arial" w:eastAsia="Arial"/>
            </w:rPr>
            <w:t>28</w:t>
          </w:r>
        </w:p>
        <w:p>
          <w:pPr>
            <w:pStyle w:val="TOC3"/>
            <w:tabs>
              <w:tab w:val="right" w:leader="dot" w:pos="13797"/>
            </w:tabs>
            <w:spacing w:before="365"/>
            <w:rPr>
              <w:rFonts w:ascii="Arial" w:eastAsia="Arial"/>
              <w:sz w:val="30"/>
            </w:rPr>
          </w:pPr>
          <w:r>
            <w:rPr>
              <w:i w:val="0"/>
              <w:sz w:val="30"/>
            </w:rPr>
            <w:t>四、监控措施</w:t>
            <w:tab/>
          </w:r>
          <w:r>
            <w:rPr>
              <w:rFonts w:ascii="Arial" w:eastAsia="Arial"/>
              <w:i/>
              <w:sz w:val="30"/>
            </w:rPr>
            <w:t>30</w:t>
          </w:r>
        </w:p>
        <w:p>
          <w:pPr>
            <w:pStyle w:val="TOC4"/>
            <w:tabs>
              <w:tab w:val="right" w:leader="dot" w:pos="13797"/>
            </w:tabs>
            <w:spacing w:before="5"/>
            <w:rPr>
              <w:rFonts w:ascii="Arial" w:eastAsia="Arial"/>
            </w:rPr>
          </w:pPr>
          <w:r>
            <w:t>1</w:t>
          </w:r>
          <w:r>
            <w:rPr>
              <w:rFonts w:ascii="楷体" w:eastAsia="楷体" w:hint="eastAsia"/>
            </w:rPr>
            <w:t>、边坡（桩顶）位移（沉降）监测</w:t>
            <w:tab/>
          </w:r>
          <w:r>
            <w:rPr>
              <w:rFonts w:ascii="Arial" w:eastAsia="Arial"/>
            </w:rPr>
            <w:t>31</w:t>
          </w:r>
        </w:p>
        <w:p>
          <w:pPr>
            <w:pStyle w:val="TOC4"/>
            <w:tabs>
              <w:tab w:val="right" w:leader="dot" w:pos="13797"/>
            </w:tabs>
            <w:rPr>
              <w:rFonts w:ascii="Arial" w:eastAsia="Arial"/>
            </w:rPr>
          </w:pPr>
          <w:r>
            <w:t>2</w:t>
          </w:r>
          <w:r>
            <w:rPr>
              <w:rFonts w:ascii="楷体" w:eastAsia="楷体" w:hint="eastAsia"/>
            </w:rPr>
            <w:t>、桩孔塌方、涌沙等突发事故监测</w:t>
            <w:tab/>
          </w:r>
          <w:r>
            <w:rPr>
              <w:rFonts w:ascii="Arial" w:eastAsia="Arial"/>
            </w:rPr>
            <w:t>31</w:t>
          </w:r>
        </w:p>
        <w:p>
          <w:pPr>
            <w:pStyle w:val="TOC4"/>
            <w:tabs>
              <w:tab w:val="right" w:leader="dot" w:pos="13797"/>
            </w:tabs>
            <w:rPr>
              <w:rFonts w:ascii="Arial" w:eastAsia="Arial"/>
            </w:rPr>
          </w:pPr>
          <w:r>
            <w:t>3</w:t>
          </w:r>
          <w:r>
            <w:rPr>
              <w:rFonts w:ascii="楷体" w:eastAsia="楷体" w:hint="eastAsia"/>
            </w:rPr>
            <w:t>、桩孔有害气体监测</w:t>
            <w:tab/>
          </w:r>
          <w:r>
            <w:rPr>
              <w:rFonts w:ascii="Arial" w:eastAsia="Arial"/>
            </w:rPr>
            <w:t>31</w:t>
          </w:r>
        </w:p>
        <w:p>
          <w:pPr>
            <w:pStyle w:val="TOC1"/>
            <w:tabs>
              <w:tab w:val="left" w:pos="1740"/>
              <w:tab w:val="right" w:leader="dot" w:pos="13797"/>
            </w:tabs>
            <w:spacing w:before="490"/>
            <w:rPr>
              <w:rFonts w:ascii="Arial" w:eastAsia="Arial"/>
            </w:rPr>
          </w:pPr>
          <w:r>
            <w:t>第七章</w:t>
            <w:tab/>
            <w:t>文明施工措施</w:t>
            <w:tab/>
          </w:r>
          <w:r>
            <w:rPr>
              <w:rFonts w:ascii="Arial" w:eastAsia="Arial"/>
            </w:rPr>
            <w:t>32</w:t>
          </w:r>
        </w:p>
        <w:p>
          <w:pPr>
            <w:pStyle w:val="TOC2"/>
            <w:tabs>
              <w:tab w:val="right" w:leader="dot" w:pos="13797"/>
            </w:tabs>
            <w:spacing w:before="422"/>
            <w:rPr>
              <w:rFonts w:ascii="Arial" w:eastAsia="Arial"/>
              <w:i/>
            </w:rPr>
          </w:pPr>
          <w:r>
            <w:t>一、文明施工措施</w:t>
            <w:tab/>
          </w:r>
          <w:r>
            <w:rPr>
              <w:rFonts w:ascii="Arial" w:eastAsia="Arial"/>
              <w:i/>
            </w:rPr>
            <w:t>32</w:t>
          </w:r>
        </w:p>
        <w:p>
          <w:pPr>
            <w:pStyle w:val="TOC3"/>
            <w:tabs>
              <w:tab w:val="right" w:leader="dot" w:pos="13797"/>
            </w:tabs>
            <w:rPr>
              <w:rFonts w:ascii="Arial" w:eastAsia="Arial"/>
              <w:sz w:val="30"/>
            </w:rPr>
          </w:pPr>
          <w:r>
            <w:rPr>
              <w:i w:val="0"/>
              <w:sz w:val="30"/>
            </w:rPr>
            <w:t>二、环保措施</w:t>
            <w:tab/>
          </w:r>
          <w:r>
            <w:rPr>
              <w:rFonts w:ascii="Arial" w:eastAsia="Arial"/>
              <w:i/>
              <w:sz w:val="30"/>
            </w:rPr>
            <w:t>32</w:t>
          </w:r>
        </w:p>
        <w:p>
          <w:pPr>
            <w:pStyle w:val="TOC1"/>
            <w:tabs>
              <w:tab w:val="left" w:pos="1920"/>
              <w:tab w:val="right" w:leader="dot" w:pos="13797"/>
            </w:tabs>
            <w:rPr>
              <w:rFonts w:ascii="Arial" w:eastAsia="Arial"/>
            </w:rPr>
          </w:pPr>
          <w:r>
            <w:t>第八章</w:t>
            <w:tab/>
            <w:t>劳动力计划</w:t>
            <w:tab/>
          </w:r>
          <w:r>
            <w:rPr>
              <w:rFonts w:ascii="Arial" w:eastAsia="Arial"/>
            </w:rPr>
            <w:t>33</w:t>
          </w:r>
        </w:p>
      </w:sdtContent>
    </w:sdt>
    <w:p>
      <w:pPr>
        <w:spacing w:after="0"/>
        <w:rPr>
          <w:rFonts w:ascii="Arial" w:eastAsia="Arial"/>
        </w:rPr>
        <w:sectPr>
          <w:footerReference w:type="default" r:id="rId5"/>
          <w:type w:val="nextPage"/>
          <w:pgSz w:w="17860" w:h="25260"/>
          <w:pgMar w:top="1380" w:right="1300" w:bottom="2104" w:left="2260" w:header="0" w:footer="1802"/>
          <w:pgNumType w:start="2"/>
          <w:cols w:space="708"/>
          <w:titlePg w:val="0"/>
        </w:sectPr>
      </w:pPr>
    </w:p>
    <w:p>
      <w:pPr>
        <w:pStyle w:val="BodyText"/>
        <w:spacing w:before="4"/>
        <w:rPr>
          <w:rFonts w:ascii="Arial"/>
          <w:b/>
          <w:sz w:val="47"/>
        </w:rPr>
      </w:pPr>
    </w:p>
    <w:p>
      <w:pPr>
        <w:tabs>
          <w:tab w:val="left" w:pos="1740"/>
          <w:tab w:val="left" w:leader="dot" w:pos="10554"/>
        </w:tabs>
        <w:spacing w:before="0"/>
        <w:ind w:left="293" w:right="0" w:firstLine="0"/>
        <w:jc w:val="left"/>
        <w:rPr>
          <w:sz w:val="36"/>
        </w:rPr>
      </w:pPr>
      <w:r>
        <w:rPr>
          <w:rFonts w:ascii="楷体" w:eastAsia="楷体" w:hint="eastAsia"/>
          <w:b/>
          <w:sz w:val="36"/>
        </w:rPr>
        <w:t>第九章</w:t>
        <w:tab/>
        <w:t>施工图（附表）</w:t>
        <w:tab/>
      </w:r>
      <w:r>
        <w:rPr>
          <w:sz w:val="36"/>
        </w:rPr>
        <w:t>错误！未定义书签。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10"/>
        <w:rPr>
          <w:sz w:val="34"/>
        </w:rPr>
      </w:pPr>
    </w:p>
    <w:p>
      <w:pPr>
        <w:pStyle w:val="Heading2"/>
        <w:tabs>
          <w:tab w:val="left" w:pos="2156"/>
        </w:tabs>
        <w:ind w:right="206"/>
      </w:pPr>
      <w:bookmarkStart w:id="0" w:name="_TOC_250015"/>
      <w:bookmarkEnd w:id="0"/>
      <w:r>
        <w:t>第一章</w:t>
        <w:tab/>
        <w:t>工程概况</w:t>
      </w:r>
    </w:p>
    <w:p>
      <w:pPr>
        <w:pStyle w:val="BodyText"/>
        <w:rPr>
          <w:rFonts w:ascii="楷体"/>
          <w:sz w:val="48"/>
        </w:rPr>
      </w:pPr>
    </w:p>
    <w:p>
      <w:pPr>
        <w:pStyle w:val="BodyText"/>
        <w:spacing w:before="3"/>
        <w:rPr>
          <w:rFonts w:ascii="楷体"/>
          <w:sz w:val="60"/>
        </w:rPr>
      </w:pPr>
    </w:p>
    <w:p>
      <w:pPr>
        <w:pStyle w:val="Heading1"/>
        <w:rPr>
          <w:rFonts w:ascii="幼圆" w:eastAsia="幼圆" w:hint="eastAsia"/>
        </w:rPr>
      </w:pPr>
      <w:bookmarkStart w:id="1" w:name="_TOC_250014"/>
      <w:r>
        <w:rPr>
          <w:rFonts w:ascii="Arial" w:eastAsia="Arial"/>
        </w:rPr>
        <w:t>1</w:t>
      </w:r>
      <w:bookmarkEnd w:id="1"/>
      <w:r>
        <w:rPr>
          <w:rFonts w:ascii="幼圆" w:eastAsia="幼圆" w:hint="eastAsia"/>
        </w:rPr>
        <w:t>、工程概况：</w:t>
      </w:r>
    </w:p>
    <w:p>
      <w:pPr>
        <w:pStyle w:val="BodyText"/>
        <w:spacing w:before="1"/>
        <w:rPr>
          <w:rFonts w:ascii="幼圆"/>
          <w:b/>
          <w:sz w:val="70"/>
        </w:rPr>
      </w:pPr>
    </w:p>
    <w:p>
      <w:pPr>
        <w:pStyle w:val="BodyText"/>
        <w:spacing w:before="1" w:line="364" w:lineRule="auto"/>
        <w:ind w:left="293" w:right="484" w:firstLine="680"/>
      </w:pPr>
      <w:r>
        <w:t>本工程为重庆市黔江区博宏•上郡新都梯步绿化边坡项目，对 18#楼、19#楼前消防回车场回填部位进行支挡稳固。</w:t>
      </w:r>
    </w:p>
    <w:p>
      <w:pPr>
        <w:pStyle w:val="BodyText"/>
        <w:spacing w:line="364" w:lineRule="auto"/>
        <w:ind w:left="764" w:right="2595"/>
        <w:rPr>
          <w:sz w:val="36"/>
        </w:rPr>
      </w:pPr>
      <w:r>
        <w:rPr>
          <w:rFonts w:ascii="楷体" w:eastAsia="楷体" w:hAnsi="楷体" w:hint="eastAsia"/>
        </w:rPr>
        <w:t>工程名称：重庆市黔江区博宏</w:t>
      </w:r>
      <w:r>
        <w:t xml:space="preserve">• </w:t>
      </w:r>
      <w:r>
        <w:rPr>
          <w:rFonts w:ascii="楷体" w:eastAsia="楷体" w:hAnsi="楷体" w:hint="eastAsia"/>
        </w:rPr>
        <w:t>上郡新都梯步绿化边坡项目建设地点：重庆市黔江区</w:t>
      </w:r>
      <w:r>
        <w:rPr>
          <w:position w:val="-4"/>
          <w:sz w:val="36"/>
        </w:rPr>
        <w:t>正阳</w:t>
      </w:r>
    </w:p>
    <w:p>
      <w:pPr>
        <w:pStyle w:val="BodyText"/>
        <w:spacing w:line="505" w:lineRule="exact"/>
        <w:ind w:left="764"/>
        <w:rPr>
          <w:rFonts w:ascii="楷体" w:eastAsia="楷体" w:hint="eastAsia"/>
        </w:rPr>
      </w:pPr>
      <w:r>
        <w:rPr>
          <w:rFonts w:ascii="楷体" w:eastAsia="楷体" w:hint="eastAsia"/>
        </w:rPr>
        <w:t>建设单位：重庆碧峰实业有限公司</w:t>
      </w:r>
    </w:p>
    <w:p>
      <w:pPr>
        <w:pStyle w:val="BodyText"/>
        <w:spacing w:before="277"/>
        <w:ind w:left="764"/>
        <w:rPr>
          <w:rFonts w:ascii="楷体" w:eastAsia="楷体" w:hint="eastAsia"/>
        </w:rPr>
      </w:pPr>
      <w:r>
        <w:rPr>
          <w:rFonts w:ascii="楷体" w:eastAsia="楷体" w:hint="eastAsia"/>
        </w:rPr>
        <w:t>地勘单位：华弘国际工程设计有限公司</w:t>
      </w:r>
    </w:p>
    <w:p>
      <w:pPr>
        <w:pStyle w:val="BodyText"/>
        <w:spacing w:before="279" w:line="364" w:lineRule="auto"/>
        <w:ind w:left="764" w:right="5530"/>
        <w:rPr>
          <w:rFonts w:ascii="楷体" w:eastAsia="楷体" w:hint="eastAsia"/>
        </w:rPr>
      </w:pPr>
      <w:r>
        <w:rPr>
          <w:rFonts w:ascii="楷体" w:eastAsia="楷体" w:hint="eastAsia"/>
          <w:spacing w:val="-1"/>
        </w:rPr>
        <w:t>监理单位：重庆永鑫工程项目管理有限公司</w:t>
      </w:r>
      <w:r>
        <w:rPr>
          <w:rFonts w:ascii="楷体" w:eastAsia="楷体" w:hint="eastAsia"/>
        </w:rPr>
        <w:t>施工单位：重庆玉鼎节能建材有限公司</w:t>
      </w:r>
    </w:p>
    <w:p>
      <w:pPr>
        <w:spacing w:after="0" w:line="364" w:lineRule="auto"/>
        <w:rPr>
          <w:rFonts w:ascii="楷体" w:eastAsia="楷体" w:hint="eastAsia"/>
        </w:rPr>
        <w:sectPr>
          <w:footerReference w:type="default" r:id="rId6"/>
          <w:type w:val="continuous"/>
          <w:pgSz w:w="17860" w:h="25260"/>
          <w:pgMar w:top="1360" w:right="1300" w:bottom="2040" w:left="2260" w:header="708" w:footer="708"/>
          <w:pgNumType w:start="3"/>
          <w:cols w:space="708"/>
        </w:sectPr>
      </w:pPr>
    </w:p>
    <w:p>
      <w:pPr>
        <w:pStyle w:val="BodyText"/>
        <w:spacing w:before="17" w:line="364" w:lineRule="auto"/>
        <w:ind w:left="293" w:right="635" w:firstLine="838"/>
        <w:jc w:val="both"/>
      </w:pPr>
      <w:r>
        <w:t>重庆市黔江区博宏•上郡新都梯步绿化边坡项目内共设置抗滑桩类型</w:t>
      </w:r>
      <w:r>
        <w:rPr>
          <w:spacing w:val="-9"/>
        </w:rPr>
        <w:t xml:space="preserve">为长方形人工挖孔桩 </w:t>
      </w:r>
      <w:r>
        <w:t>11</w:t>
      </w:r>
      <w:r>
        <w:rPr>
          <w:spacing w:val="-27"/>
        </w:rPr>
        <w:t xml:space="preserve"> 根，圆桩 </w:t>
      </w:r>
      <w:r>
        <w:t>1</w:t>
      </w:r>
      <w:r>
        <w:rPr>
          <w:spacing w:val="-16"/>
        </w:rPr>
        <w:t xml:space="preserve"> 根；其中：长方形挖孔桩 </w:t>
      </w:r>
      <w:r>
        <w:t>1.1</w:t>
      </w:r>
      <w:r>
        <w:rPr>
          <w:spacing w:val="-41"/>
        </w:rPr>
        <w:t xml:space="preserve"> 米</w:t>
      </w:r>
      <w:r>
        <w:rPr>
          <w:spacing w:val="-4"/>
        </w:rPr>
        <w:t xml:space="preserve">*1.6 </w:t>
      </w:r>
      <w:r>
        <w:rPr>
          <w:spacing w:val="-35"/>
        </w:rPr>
        <w:t xml:space="preserve">米有 </w:t>
      </w:r>
      <w:r>
        <w:t>6</w:t>
      </w:r>
      <w:r>
        <w:rPr>
          <w:spacing w:val="-36"/>
        </w:rPr>
        <w:t xml:space="preserve"> 根、</w:t>
      </w:r>
      <w:r>
        <w:t>1.35</w:t>
      </w:r>
      <w:r>
        <w:rPr>
          <w:spacing w:val="-54"/>
        </w:rPr>
        <w:t xml:space="preserve"> 米</w:t>
      </w:r>
      <w:r>
        <w:t>*1.85</w:t>
      </w:r>
      <w:r>
        <w:rPr>
          <w:spacing w:val="-54"/>
        </w:rPr>
        <w:t xml:space="preserve"> 米有 </w:t>
      </w:r>
      <w:r>
        <w:t>5</w:t>
      </w:r>
      <w:r>
        <w:rPr>
          <w:spacing w:val="-26"/>
        </w:rPr>
        <w:t xml:space="preserve"> 根，圆桩：直经 </w:t>
      </w:r>
      <w:r>
        <w:t>3.9</w:t>
      </w:r>
      <w:r>
        <w:rPr>
          <w:spacing w:val="-35"/>
        </w:rPr>
        <w:t xml:space="preserve"> 米，</w:t>
      </w:r>
      <w:r>
        <w:t>1</w:t>
      </w:r>
      <w:r>
        <w:rPr>
          <w:spacing w:val="-36"/>
        </w:rPr>
        <w:t xml:space="preserve"> 根。</w:t>
      </w:r>
    </w:p>
    <w:p>
      <w:pPr>
        <w:pStyle w:val="BodyText"/>
        <w:spacing w:line="364" w:lineRule="auto"/>
        <w:ind w:left="293" w:right="529" w:firstLine="838"/>
      </w:pPr>
      <w:r>
        <w:t xml:space="preserve">人工挖孔桩是利用人工挖孔、在孔内放置钢筋笼、钢筋笼采用吊车吊装安装，灌注砼的一种桩型。根据设计图纸等相关技术要求， </w:t>
      </w:r>
      <w:r>
        <w:rPr>
          <w:rFonts w:ascii="幼圆" w:eastAsia="幼圆" w:hint="eastAsia"/>
        </w:rPr>
        <w:t>在人</w:t>
      </w:r>
      <w:r>
        <w:t>工挖孔嵌岩桩施工中， 采用现浇钢筋砼护壁的施工工艺， 分段开挖， 冲击钻及风镐凿岩或水磨钻成孔，吊钢筋笼下井，机械下料，人工制作， 由泵送浇筑砼成桩。</w:t>
      </w:r>
    </w:p>
    <w:p>
      <w:pPr>
        <w:pStyle w:val="BodyText"/>
        <w:spacing w:line="364" w:lineRule="auto"/>
        <w:ind w:left="293" w:right="708" w:firstLine="961"/>
        <w:jc w:val="both"/>
      </w:pPr>
      <w:r>
        <w:t>同时针对该桩基的难点和不利因素，认真做好开挖桩孔前的一系列安全管理检查，采取有效的安全技术措施，建立起安全保证体系， 保质保量如期完成抗滑桩工程。</w:t>
      </w:r>
    </w:p>
    <w:p>
      <w:pPr>
        <w:pStyle w:val="Heading1"/>
        <w:spacing w:before="337"/>
        <w:rPr>
          <w:rFonts w:ascii="幼圆" w:eastAsia="幼圆" w:hint="eastAsia"/>
        </w:rPr>
      </w:pPr>
      <w:bookmarkStart w:id="2" w:name="_TOC_250013"/>
      <w:r>
        <w:rPr>
          <w:rFonts w:ascii="Arial" w:eastAsia="Arial"/>
        </w:rPr>
        <w:t>2</w:t>
      </w:r>
      <w:bookmarkEnd w:id="2"/>
      <w:r>
        <w:rPr>
          <w:rFonts w:ascii="幼圆" w:eastAsia="幼圆" w:hint="eastAsia"/>
        </w:rPr>
        <w:t>、地质和气侯条件</w:t>
      </w:r>
    </w:p>
    <w:p>
      <w:pPr>
        <w:pStyle w:val="BodyText"/>
        <w:spacing w:before="2"/>
        <w:rPr>
          <w:rFonts w:ascii="幼圆"/>
          <w:b/>
          <w:sz w:val="70"/>
        </w:rPr>
      </w:pPr>
    </w:p>
    <w:p>
      <w:pPr>
        <w:pStyle w:val="ListParagraph"/>
        <w:numPr>
          <w:ilvl w:val="0"/>
          <w:numId w:val="11"/>
        </w:numPr>
        <w:tabs>
          <w:tab w:val="left" w:pos="1349"/>
        </w:tabs>
        <w:spacing w:before="0" w:after="0" w:line="240" w:lineRule="auto"/>
        <w:ind w:left="1348" w:right="0" w:hanging="1056"/>
        <w:jc w:val="left"/>
        <w:rPr>
          <w:sz w:val="42"/>
        </w:rPr>
      </w:pPr>
      <w:r>
        <w:rPr>
          <w:sz w:val="42"/>
        </w:rPr>
        <w:t>地质：主要地质分为三层分别为：</w:t>
      </w:r>
    </w:p>
    <w:p>
      <w:pPr>
        <w:pStyle w:val="ListParagraph"/>
        <w:numPr>
          <w:ilvl w:val="1"/>
          <w:numId w:val="11"/>
        </w:numPr>
        <w:tabs>
          <w:tab w:val="left" w:pos="1119"/>
        </w:tabs>
        <w:spacing w:before="280" w:after="0" w:line="364" w:lineRule="auto"/>
        <w:ind w:left="480" w:right="749" w:firstLine="0"/>
        <w:jc w:val="left"/>
        <w:rPr>
          <w:sz w:val="42"/>
        </w:rPr>
      </w:pPr>
      <w:r>
        <w:rPr>
          <w:sz w:val="42"/>
        </w:rPr>
        <w:t>、回填层：褐灰、褐色、褐红、褐黄、紫灰等色，由少量粘性土混</w:t>
      </w:r>
      <w:r>
        <w:rPr>
          <w:spacing w:val="-4"/>
          <w:sz w:val="42"/>
        </w:rPr>
        <w:t>含次棱角状砾石、渣石、块石等组成。场地多为不平整坑洼状结构。</w:t>
      </w:r>
    </w:p>
    <w:p>
      <w:pPr>
        <w:pStyle w:val="ListParagraph"/>
        <w:numPr>
          <w:ilvl w:val="1"/>
          <w:numId w:val="11"/>
        </w:numPr>
        <w:tabs>
          <w:tab w:val="left" w:pos="1119"/>
        </w:tabs>
        <w:spacing w:before="0" w:after="0" w:line="364" w:lineRule="auto"/>
        <w:ind w:left="480" w:right="594" w:firstLine="0"/>
        <w:jc w:val="left"/>
        <w:rPr>
          <w:sz w:val="42"/>
        </w:rPr>
      </w:pPr>
      <w:r>
        <w:rPr>
          <w:sz w:val="42"/>
        </w:rPr>
        <w:t xml:space="preserve">、残坡积层：褐色、褐黄、褐红、土黄、褐灰、紫红灯色，稍湿， </w:t>
      </w:r>
      <w:r>
        <w:rPr>
          <w:spacing w:val="-3"/>
          <w:sz w:val="42"/>
        </w:rPr>
        <w:t>一般上段以稍密为主，部分中密；中下段稍密-中密，局部密实；由坡积</w:t>
      </w:r>
      <w:r>
        <w:rPr>
          <w:spacing w:val="-5"/>
          <w:sz w:val="42"/>
        </w:rPr>
        <w:t>堆积物粘土及碎石土组成。</w:t>
      </w:r>
    </w:p>
    <w:p>
      <w:pPr>
        <w:pStyle w:val="ListParagraph"/>
        <w:numPr>
          <w:ilvl w:val="1"/>
          <w:numId w:val="11"/>
        </w:numPr>
        <w:tabs>
          <w:tab w:val="left" w:pos="1115"/>
        </w:tabs>
        <w:spacing w:before="0" w:after="0" w:line="364" w:lineRule="auto"/>
        <w:ind w:left="480" w:right="335" w:firstLine="0"/>
        <w:jc w:val="left"/>
        <w:rPr>
          <w:sz w:val="42"/>
        </w:rPr>
      </w:pPr>
      <w:r>
        <w:rPr>
          <w:sz w:val="42"/>
        </w:rPr>
        <w:t>、强风化泥岩：褐色、褐红、褐灰、棕红、紫红、紫灰等色，厚层状</w:t>
      </w:r>
      <w:r>
        <w:rPr>
          <w:spacing w:val="-4"/>
          <w:sz w:val="42"/>
        </w:rPr>
        <w:t>，岩层为侏罗系中统沙溪组泥岩夹泥质粉砂岩。钻进岩芯多呈含碎石粉质</w:t>
      </w:r>
      <w:r>
        <w:rPr>
          <w:spacing w:val="-5"/>
          <w:sz w:val="42"/>
        </w:rPr>
        <w:t xml:space="preserve">粘土状，深部孔段部分呈碎块状、少量呈短圆柱状，根据钻进岩芯分析， </w:t>
      </w:r>
      <w:r>
        <w:rPr>
          <w:sz w:val="42"/>
        </w:rPr>
        <w:t>岩层的组织结构大部分破坏，岩石的矿物成分显著变化，泥岩层的粘土 化成分高，风化裂隙很发育，岩体破碎，切割呈碎块状，遇水呈粉质粘 土状，干时手拧成碎砾状，所以，岩层具有一定的软化性、崩解性、弱 膨胀性。</w:t>
      </w:r>
    </w:p>
    <w:p>
      <w:pPr>
        <w:spacing w:after="0" w:line="364" w:lineRule="auto"/>
        <w:jc w:val="left"/>
        <w:rPr>
          <w:sz w:val="42"/>
        </w:rPr>
        <w:sectPr>
          <w:footerReference w:type="default" r:id="rId7"/>
          <w:pgSz w:w="17860" w:h="25260"/>
          <w:pgMar w:top="1300" w:right="1300" w:bottom="2040" w:left="2260" w:header="0" w:footer="1802"/>
          <w:pgNumType w:start="4"/>
          <w:cols w:space="708"/>
        </w:sectPr>
      </w:pPr>
    </w:p>
    <w:p>
      <w:pPr>
        <w:pStyle w:val="ListParagraph"/>
        <w:numPr>
          <w:ilvl w:val="0"/>
          <w:numId w:val="11"/>
        </w:numPr>
        <w:tabs>
          <w:tab w:val="left" w:pos="1349"/>
        </w:tabs>
        <w:spacing w:before="17" w:after="0" w:line="240" w:lineRule="auto"/>
        <w:ind w:left="1348" w:right="0" w:hanging="1056"/>
        <w:jc w:val="left"/>
        <w:rPr>
          <w:sz w:val="42"/>
        </w:rPr>
      </w:pPr>
      <w:r>
        <w:rPr>
          <w:sz w:val="42"/>
        </w:rPr>
        <w:t>地形、地貌、水文、气候</w:t>
      </w:r>
    </w:p>
    <w:p>
      <w:pPr>
        <w:pStyle w:val="BodyText"/>
        <w:spacing w:before="280"/>
        <w:ind w:left="1131"/>
      </w:pPr>
      <w:r>
        <w:t>地形、地貌以低中山构造侵蚀地貌为主。地形为回填土石方，气候为</w:t>
      </w:r>
    </w:p>
    <w:p>
      <w:pPr>
        <w:pStyle w:val="BodyText"/>
        <w:spacing w:before="279"/>
        <w:ind w:left="293"/>
      </w:pPr>
      <w:r>
        <w:t>20 度至+39 度，长年高温高湿度，雨季主要集中在 6-8 月。</w:t>
      </w:r>
    </w:p>
    <w:p>
      <w:pPr>
        <w:pStyle w:val="BodyText"/>
        <w:spacing w:before="5"/>
        <w:rPr>
          <w:sz w:val="52"/>
        </w:rPr>
      </w:pPr>
    </w:p>
    <w:p>
      <w:pPr>
        <w:pStyle w:val="BodyText"/>
        <w:ind w:left="293"/>
      </w:pPr>
      <w:r>
        <w:t>3、工程特点与难点</w:t>
      </w:r>
    </w:p>
    <w:p>
      <w:pPr>
        <w:pStyle w:val="BodyText"/>
        <w:spacing w:before="12"/>
        <w:rPr>
          <w:sz w:val="61"/>
        </w:rPr>
      </w:pPr>
    </w:p>
    <w:p>
      <w:pPr>
        <w:pStyle w:val="ListParagraph"/>
        <w:numPr>
          <w:ilvl w:val="0"/>
          <w:numId w:val="1"/>
        </w:numPr>
        <w:tabs>
          <w:tab w:val="left" w:pos="2188"/>
        </w:tabs>
        <w:spacing w:before="0" w:after="0" w:line="364" w:lineRule="auto"/>
        <w:ind w:left="293" w:right="268" w:firstLine="838"/>
        <w:jc w:val="left"/>
        <w:rPr>
          <w:sz w:val="40"/>
        </w:rPr>
      </w:pPr>
      <w:r>
        <w:rPr>
          <w:spacing w:val="-16"/>
          <w:sz w:val="42"/>
        </w:rPr>
        <w:t>本段高边坡防护工程工程量大，防护形式多，施工工序复杂多样</w:t>
      </w:r>
      <w:r>
        <w:rPr>
          <w:spacing w:val="-4"/>
          <w:sz w:val="42"/>
        </w:rPr>
        <w:t>，由于此处地形陡峭，施工中可利用的施工场地较小，给施工带来较大的施工难度。按照设计单位的要求，待抗滑桩边坡土方挖运完成后再进入抗滑桩施工。</w:t>
      </w:r>
    </w:p>
    <w:p>
      <w:pPr>
        <w:pStyle w:val="ListParagraph"/>
        <w:numPr>
          <w:ilvl w:val="1"/>
          <w:numId w:val="1"/>
        </w:numPr>
        <w:tabs>
          <w:tab w:val="left" w:pos="2375"/>
        </w:tabs>
        <w:spacing w:before="0" w:after="0" w:line="364" w:lineRule="auto"/>
        <w:ind w:left="480" w:right="551" w:firstLine="842"/>
        <w:jc w:val="left"/>
        <w:rPr>
          <w:sz w:val="42"/>
        </w:rPr>
      </w:pPr>
      <w:r>
        <w:rPr>
          <w:spacing w:val="-1"/>
          <w:sz w:val="42"/>
        </w:rPr>
        <w:t>施工场地布置，施工安全管理、工程质量控制工作、施工前后</w:t>
      </w:r>
      <w:r>
        <w:rPr>
          <w:sz w:val="42"/>
        </w:rPr>
        <w:t>工序组织安排等是本工程施工管理的关键。</w:t>
      </w:r>
    </w:p>
    <w:p>
      <w:pPr>
        <w:pStyle w:val="ListParagraph"/>
        <w:numPr>
          <w:ilvl w:val="1"/>
          <w:numId w:val="1"/>
        </w:numPr>
        <w:tabs>
          <w:tab w:val="left" w:pos="2375"/>
        </w:tabs>
        <w:spacing w:before="0" w:after="0" w:line="364" w:lineRule="auto"/>
        <w:ind w:left="480" w:right="485" w:firstLine="842"/>
        <w:jc w:val="left"/>
        <w:rPr>
          <w:sz w:val="42"/>
        </w:rPr>
      </w:pPr>
      <w:r>
        <w:rPr>
          <w:spacing w:val="-1"/>
          <w:sz w:val="42"/>
        </w:rPr>
        <w:t>本工程边坡多回填是边坡，强风化，遇雨易崩解塌方，必须开</w:t>
      </w:r>
      <w:r>
        <w:rPr>
          <w:sz w:val="42"/>
        </w:rPr>
        <w:t>挖后及时用三色布进行覆盖遮雨，并按设计及时对开挖的边坡进行施工防护。</w:t>
      </w:r>
    </w:p>
    <w:p>
      <w:pPr>
        <w:pStyle w:val="ListParagraph"/>
        <w:numPr>
          <w:ilvl w:val="1"/>
          <w:numId w:val="1"/>
        </w:numPr>
        <w:tabs>
          <w:tab w:val="left" w:pos="2375"/>
        </w:tabs>
        <w:spacing w:before="0" w:after="0" w:line="364" w:lineRule="auto"/>
        <w:ind w:left="480" w:right="551" w:firstLine="842"/>
        <w:jc w:val="left"/>
        <w:rPr>
          <w:sz w:val="42"/>
        </w:rPr>
      </w:pPr>
      <w:r>
        <w:rPr>
          <w:spacing w:val="-1"/>
          <w:sz w:val="42"/>
        </w:rPr>
        <w:t>从外观地形地貌很难判断高边坡是否稳定，所以开挖土石方和</w:t>
      </w:r>
      <w:r>
        <w:rPr>
          <w:sz w:val="42"/>
        </w:rPr>
        <w:t>支护必须同时进行，即每开挖一段边坡就要及时进行抗滑桩施工。</w:t>
      </w:r>
    </w:p>
    <w:p>
      <w:pPr>
        <w:pStyle w:val="BodyText"/>
        <w:spacing w:before="1"/>
        <w:rPr>
          <w:sz w:val="30"/>
        </w:rPr>
      </w:pPr>
    </w:p>
    <w:p>
      <w:pPr>
        <w:pStyle w:val="BodyText"/>
        <w:spacing w:before="1"/>
        <w:ind w:left="293"/>
      </w:pPr>
      <w:r>
        <w:t>4、施工要求和技术保证条件</w:t>
      </w:r>
    </w:p>
    <w:p>
      <w:pPr>
        <w:pStyle w:val="BodyText"/>
        <w:spacing w:before="12"/>
        <w:rPr>
          <w:sz w:val="61"/>
        </w:rPr>
      </w:pPr>
    </w:p>
    <w:p>
      <w:pPr>
        <w:pStyle w:val="BodyText"/>
        <w:spacing w:line="364" w:lineRule="auto"/>
        <w:ind w:left="480" w:right="547"/>
      </w:pPr>
      <w:r>
        <w:t>（1）施工要求：项目实行目标管理，高度重视，利用先进技术，精心组织，精心施工，优质、高速、低耗完成工程施工。明确管理责任目标， 做到岗位明确，责任到人，对每个工序都进行层层落实，层层把关。</w:t>
      </w:r>
    </w:p>
    <w:p>
      <w:pPr>
        <w:pStyle w:val="ListParagraph"/>
        <w:numPr>
          <w:ilvl w:val="0"/>
          <w:numId w:val="1"/>
        </w:numPr>
        <w:tabs>
          <w:tab w:val="left" w:pos="1349"/>
        </w:tabs>
        <w:spacing w:before="0" w:after="0" w:line="537" w:lineRule="exact"/>
        <w:ind w:left="1348" w:right="0" w:hanging="1056"/>
        <w:jc w:val="left"/>
        <w:rPr>
          <w:sz w:val="40"/>
        </w:rPr>
      </w:pPr>
      <w:r>
        <w:rPr>
          <w:sz w:val="42"/>
        </w:rPr>
        <w:t>质量目标：确保本项工程质量符合设计及施工规范要求。</w:t>
      </w:r>
    </w:p>
    <w:p>
      <w:pPr>
        <w:pStyle w:val="ListParagraph"/>
        <w:numPr>
          <w:ilvl w:val="0"/>
          <w:numId w:val="1"/>
        </w:numPr>
        <w:tabs>
          <w:tab w:val="left" w:pos="1349"/>
        </w:tabs>
        <w:spacing w:before="279" w:after="0" w:line="240" w:lineRule="auto"/>
        <w:ind w:left="1348" w:right="0" w:hanging="1056"/>
        <w:jc w:val="left"/>
        <w:rPr>
          <w:sz w:val="40"/>
        </w:rPr>
      </w:pPr>
      <w:r>
        <w:rPr>
          <w:spacing w:val="-2"/>
          <w:sz w:val="42"/>
        </w:rPr>
        <w:t xml:space="preserve">工期目标：力争 </w:t>
      </w:r>
      <w:r>
        <w:rPr>
          <w:sz w:val="42"/>
        </w:rPr>
        <w:t>40</w:t>
      </w:r>
      <w:r>
        <w:rPr>
          <w:spacing w:val="-12"/>
          <w:sz w:val="42"/>
        </w:rPr>
        <w:t xml:space="preserve"> 天完成本项工程施工。</w:t>
      </w:r>
    </w:p>
    <w:p>
      <w:pPr>
        <w:pStyle w:val="ListParagraph"/>
        <w:numPr>
          <w:ilvl w:val="0"/>
          <w:numId w:val="1"/>
        </w:numPr>
        <w:tabs>
          <w:tab w:val="left" w:pos="1356"/>
        </w:tabs>
        <w:spacing w:before="275" w:after="0" w:line="364" w:lineRule="auto"/>
        <w:ind w:left="293" w:right="727" w:firstLine="0"/>
        <w:jc w:val="left"/>
        <w:rPr>
          <w:sz w:val="40"/>
        </w:rPr>
      </w:pPr>
      <w:r>
        <w:rPr>
          <w:spacing w:val="-1"/>
          <w:sz w:val="42"/>
        </w:rPr>
        <w:t>安全生产目标：杜绝重大伤亡、设备隐患、火灾事故，把各种安全</w:t>
      </w:r>
      <w:r>
        <w:rPr>
          <w:sz w:val="42"/>
        </w:rPr>
        <w:t>隐患消除在萌芽状态。</w:t>
      </w:r>
    </w:p>
    <w:p>
      <w:pPr>
        <w:pStyle w:val="ListParagraph"/>
        <w:numPr>
          <w:ilvl w:val="0"/>
          <w:numId w:val="1"/>
        </w:numPr>
        <w:tabs>
          <w:tab w:val="left" w:pos="1349"/>
        </w:tabs>
        <w:spacing w:before="0" w:after="0" w:line="536" w:lineRule="exact"/>
        <w:ind w:left="1348" w:right="0" w:hanging="1056"/>
        <w:jc w:val="left"/>
        <w:rPr>
          <w:sz w:val="40"/>
        </w:rPr>
      </w:pPr>
      <w:r>
        <w:rPr>
          <w:sz w:val="42"/>
        </w:rPr>
        <w:t>文明施工目标：执行现场标准化管理，创文明施工现场。</w:t>
      </w:r>
    </w:p>
    <w:p>
      <w:pPr>
        <w:spacing w:after="0" w:line="536" w:lineRule="exact"/>
        <w:jc w:val="left"/>
        <w:rPr>
          <w:sz w:val="40"/>
        </w:rPr>
        <w:sectPr>
          <w:footerReference w:type="default" r:id="rId8"/>
          <w:pgSz w:w="17860" w:h="25260"/>
          <w:pgMar w:top="1300" w:right="1300" w:bottom="2040" w:left="2260" w:header="0" w:footer="1802"/>
          <w:pgNumType w:start="5"/>
          <w:cols w:space="708"/>
        </w:sectPr>
      </w:pPr>
    </w:p>
    <w:p>
      <w:pPr>
        <w:pStyle w:val="ListParagraph"/>
        <w:numPr>
          <w:ilvl w:val="0"/>
          <w:numId w:val="1"/>
        </w:numPr>
        <w:tabs>
          <w:tab w:val="left" w:pos="1349"/>
        </w:tabs>
        <w:spacing w:before="0" w:after="0" w:line="536" w:lineRule="exact"/>
        <w:ind w:left="1348" w:right="0" w:hanging="1056"/>
        <w:jc w:val="left"/>
        <w:rPr>
          <w:rFonts w:ascii="幼圆" w:eastAsia="幼圆" w:hint="eastAsia"/>
          <w:sz w:val="40"/>
        </w:rPr>
      </w:pPr>
      <w:r>
        <w:rPr>
          <w:rFonts w:ascii="幼圆" w:eastAsia="幼圆" w:hint="eastAsia"/>
          <w:sz w:val="42"/>
        </w:rPr>
        <w:t>服务目标：与各方密切配合，为本项工程施工创造良好的施工条件。</w:t>
      </w:r>
    </w:p>
    <w:p>
      <w:pPr>
        <w:pStyle w:val="ListParagraph"/>
        <w:numPr>
          <w:ilvl w:val="0"/>
          <w:numId w:val="1"/>
        </w:numPr>
        <w:tabs>
          <w:tab w:val="left" w:pos="1349"/>
        </w:tabs>
        <w:spacing w:before="279" w:after="0" w:line="240" w:lineRule="auto"/>
        <w:ind w:left="1348" w:right="0" w:hanging="1056"/>
        <w:jc w:val="left"/>
        <w:rPr>
          <w:rFonts w:ascii="幼圆" w:eastAsia="幼圆" w:hint="eastAsia"/>
          <w:sz w:val="40"/>
        </w:rPr>
      </w:pPr>
      <w:r>
        <w:rPr>
          <w:rFonts w:ascii="幼圆" w:eastAsia="幼圆" w:hint="eastAsia"/>
          <w:sz w:val="42"/>
        </w:rPr>
        <w:t>技术保证条件</w:t>
      </w:r>
    </w:p>
    <w:p>
      <w:pPr>
        <w:pStyle w:val="BodyText"/>
        <w:spacing w:before="279" w:line="364" w:lineRule="auto"/>
        <w:ind w:left="480" w:right="511" w:firstLine="669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①熟悉图纸、会审施工图，领会施工组织设计意图。提出主要材料、施工机具规格和需用量计划，并逐步落实供货单位及进场时间。</w:t>
      </w:r>
    </w:p>
    <w:p>
      <w:pPr>
        <w:pStyle w:val="BodyText"/>
        <w:spacing w:line="364" w:lineRule="auto"/>
        <w:ind w:left="480" w:right="547" w:firstLine="633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②对业主提供的坐标和水准点进行复核，做好控制桩位和半永久性水准点的布设，作出放线测量报告并及时与建设方会签。</w:t>
      </w:r>
    </w:p>
    <w:p>
      <w:pPr>
        <w:pStyle w:val="BodyText"/>
        <w:spacing w:line="537" w:lineRule="exact"/>
        <w:ind w:left="1243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③搭设施工临时设施，敷设现场临时水电供应管线。</w:t>
      </w:r>
    </w:p>
    <w:p>
      <w:pPr>
        <w:pStyle w:val="BodyText"/>
        <w:spacing w:before="278"/>
        <w:ind w:left="1243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④确定设备设置位置，按顺序组织设备就位安装。</w:t>
      </w:r>
    </w:p>
    <w:p>
      <w:pPr>
        <w:pStyle w:val="ListParagraph"/>
        <w:numPr>
          <w:ilvl w:val="0"/>
          <w:numId w:val="1"/>
        </w:numPr>
        <w:tabs>
          <w:tab w:val="left" w:pos="2030"/>
        </w:tabs>
        <w:spacing w:before="280" w:after="0" w:line="240" w:lineRule="auto"/>
        <w:ind w:left="2029" w:right="0" w:hanging="1054"/>
        <w:jc w:val="left"/>
        <w:rPr>
          <w:rFonts w:ascii="幼圆" w:eastAsia="幼圆" w:hint="eastAsia"/>
          <w:sz w:val="40"/>
        </w:rPr>
      </w:pPr>
      <w:r>
        <w:rPr>
          <w:rFonts w:ascii="幼圆" w:eastAsia="幼圆" w:hint="eastAsia"/>
          <w:sz w:val="42"/>
        </w:rPr>
        <w:t>施工协调：</w:t>
      </w:r>
    </w:p>
    <w:p>
      <w:pPr>
        <w:pStyle w:val="BodyText"/>
        <w:spacing w:before="279" w:line="364" w:lineRule="auto"/>
        <w:ind w:left="293" w:right="403" w:firstLine="964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①积极参与包括业主、监理、设计、地质、施工等各方协调会议，及时解决施工过程中出现的问题，确保施工顺利进行。</w:t>
      </w:r>
    </w:p>
    <w:p>
      <w:pPr>
        <w:pStyle w:val="BodyText"/>
        <w:spacing w:line="364" w:lineRule="auto"/>
        <w:ind w:left="293" w:right="404" w:firstLine="964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spacing w:val="-22"/>
        </w:rPr>
        <w:t xml:space="preserve">②服从公安、环卫等政府部门的安排，认真处理好与周边单位的关系， </w:t>
      </w:r>
      <w:r>
        <w:rPr>
          <w:rFonts w:ascii="幼圆" w:eastAsia="幼圆" w:hAnsi="幼圆" w:hint="eastAsia"/>
        </w:rPr>
        <w:t>减少外来干扰，把主要精力投入施工，决不能因外界矛盾而影响施工。</w:t>
      </w:r>
    </w:p>
    <w:p>
      <w:pPr>
        <w:pStyle w:val="BodyText"/>
        <w:spacing w:line="537" w:lineRule="exact"/>
        <w:ind w:left="1243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③及时协调各班组之间可能出现的矛盾，做到人尽其能、物尽其用。</w:t>
      </w:r>
    </w:p>
    <w:p>
      <w:pPr>
        <w:pStyle w:val="ListParagraph"/>
        <w:numPr>
          <w:ilvl w:val="0"/>
          <w:numId w:val="1"/>
        </w:numPr>
        <w:tabs>
          <w:tab w:val="left" w:pos="1979"/>
        </w:tabs>
        <w:spacing w:before="278" w:after="0" w:line="240" w:lineRule="auto"/>
        <w:ind w:left="1978" w:right="0" w:hanging="1053"/>
        <w:jc w:val="left"/>
        <w:rPr>
          <w:rFonts w:ascii="幼圆" w:eastAsia="幼圆" w:hint="eastAsia"/>
          <w:sz w:val="40"/>
        </w:rPr>
      </w:pPr>
      <w:r>
        <w:rPr>
          <w:rFonts w:ascii="幼圆" w:eastAsia="幼圆" w:hint="eastAsia"/>
          <w:sz w:val="42"/>
        </w:rPr>
        <w:t>施工工艺：按抗滑桩施工工艺流程图组织施工。</w:t>
      </w:r>
    </w:p>
    <w:p>
      <w:pPr>
        <w:pStyle w:val="ListParagraph"/>
        <w:numPr>
          <w:ilvl w:val="0"/>
          <w:numId w:val="1"/>
        </w:numPr>
        <w:tabs>
          <w:tab w:val="left" w:pos="2188"/>
        </w:tabs>
        <w:spacing w:before="279" w:after="0" w:line="240" w:lineRule="auto"/>
        <w:ind w:left="2187" w:right="0" w:hanging="1262"/>
        <w:jc w:val="left"/>
        <w:rPr>
          <w:rFonts w:ascii="幼圆" w:eastAsia="幼圆" w:hint="eastAsia"/>
          <w:sz w:val="40"/>
        </w:rPr>
      </w:pPr>
      <w:r>
        <w:rPr>
          <w:rFonts w:ascii="幼圆" w:eastAsia="幼圆" w:hint="eastAsia"/>
          <w:sz w:val="42"/>
        </w:rPr>
        <w:t>测量放样：</w:t>
      </w:r>
    </w:p>
    <w:p>
      <w:pPr>
        <w:pStyle w:val="BodyText"/>
        <w:spacing w:before="279" w:line="364" w:lineRule="auto"/>
        <w:ind w:left="293" w:right="267" w:firstLine="842"/>
        <w:jc w:val="both"/>
        <w:rPr>
          <w:rFonts w:ascii="幼圆" w:eastAsia="幼圆" w:hint="eastAsia"/>
        </w:rPr>
      </w:pPr>
      <w:r>
        <w:rPr>
          <w:rFonts w:ascii="幼圆" w:eastAsia="幼圆" w:hint="eastAsia"/>
        </w:rPr>
        <w:t>开始施工前，项目部组织测量人员对业主所提供的平面、高程控制点 (网)及其成果进行复测，确认无误后进行控制桩加密，并形成测量成果， 作为以后现场施工测量控制的重要依据。并对拟使用于工程的测量器具进</w:t>
      </w:r>
      <w:r>
        <w:rPr>
          <w:rFonts w:ascii="幼圆" w:eastAsia="幼圆" w:hint="eastAsia"/>
          <w:spacing w:val="-15"/>
        </w:rPr>
        <w:t>行检查，确保测量仪器在检定有效期内使用，并且要求测量人员持证上岗。</w:t>
      </w:r>
    </w:p>
    <w:p>
      <w:pPr>
        <w:pStyle w:val="BodyText"/>
        <w:spacing w:line="364" w:lineRule="auto"/>
        <w:ind w:left="293" w:right="481" w:firstLine="838"/>
        <w:jc w:val="both"/>
        <w:rPr>
          <w:rFonts w:ascii="幼圆" w:eastAsia="幼圆" w:hint="eastAsia"/>
        </w:rPr>
      </w:pPr>
      <w:r>
        <w:rPr>
          <w:rFonts w:ascii="幼圆" w:eastAsia="幼圆" w:hint="eastAsia"/>
        </w:rPr>
        <w:t>另外，在进行每次测量时，全站仪要根据当时大气压强、气温和大气湿度进行常数修正，对水平角和各边长距离进行测定。根据设计定位条件</w:t>
      </w:r>
      <w:r>
        <w:rPr>
          <w:rFonts w:ascii="幼圆" w:eastAsia="幼圆" w:hint="eastAsia"/>
          <w:spacing w:val="-9"/>
        </w:rPr>
        <w:t>和已布设的测量控制网， 利用全站仪依次准确放出各桩位，并进行闭合校</w:t>
      </w:r>
      <w:r>
        <w:rPr>
          <w:rFonts w:ascii="幼圆" w:eastAsia="幼圆" w:hint="eastAsia"/>
        </w:rPr>
        <w:t>正，钉上木桩，并以桩上的铁钉作标记，用砼固定木桩，桩位经施工人员自检、监理单位和建设单位联合验收后即可进行下一道工序。</w:t>
      </w:r>
    </w:p>
    <w:p>
      <w:pPr>
        <w:pStyle w:val="ListParagraph"/>
        <w:numPr>
          <w:ilvl w:val="0"/>
          <w:numId w:val="1"/>
        </w:numPr>
        <w:tabs>
          <w:tab w:val="left" w:pos="2400"/>
        </w:tabs>
        <w:spacing w:before="0" w:after="0" w:line="532" w:lineRule="exact"/>
        <w:ind w:left="2400" w:right="0" w:hanging="1265"/>
        <w:jc w:val="left"/>
        <w:rPr>
          <w:rFonts w:ascii="幼圆" w:eastAsia="幼圆" w:hint="eastAsia"/>
          <w:sz w:val="40"/>
        </w:rPr>
      </w:pPr>
      <w:r>
        <w:rPr>
          <w:rFonts w:ascii="幼圆" w:eastAsia="幼圆" w:hint="eastAsia"/>
          <w:sz w:val="42"/>
        </w:rPr>
        <w:t>根据滑坡的成因、场地施工条件、安全可靠和经济实用等原则，</w:t>
      </w:r>
    </w:p>
    <w:p>
      <w:pPr>
        <w:spacing w:after="0" w:line="532" w:lineRule="exact"/>
        <w:jc w:val="left"/>
        <w:rPr>
          <w:rFonts w:ascii="幼圆" w:eastAsia="幼圆" w:hint="eastAsia"/>
          <w:sz w:val="40"/>
        </w:rPr>
        <w:sectPr>
          <w:footerReference w:type="default" r:id="rId9"/>
          <w:pgSz w:w="17860" w:h="25260"/>
          <w:pgMar w:top="1320" w:right="1300" w:bottom="2000" w:left="2260" w:header="0" w:footer="1802"/>
          <w:pgNumType w:start="6"/>
          <w:cols w:space="708"/>
        </w:sectPr>
      </w:pPr>
    </w:p>
    <w:p>
      <w:pPr>
        <w:pStyle w:val="BodyText"/>
        <w:spacing w:before="17" w:line="364" w:lineRule="auto"/>
        <w:ind w:left="293" w:right="527"/>
      </w:pPr>
      <w:r>
        <w:t>同时考虑到滑坡体整体稳定，计划采取减载、支护、排水及坡面防护同时施工的措施。</w:t>
      </w:r>
    </w:p>
    <w:p>
      <w:pPr>
        <w:pStyle w:val="BodyText"/>
        <w:spacing w:line="537" w:lineRule="exact"/>
        <w:ind w:left="1257"/>
      </w:pPr>
      <w:r>
        <w:t>高边坡施工总的原则：开挖一级、防护锚固一级；逐级开挖，逐级防</w:t>
      </w:r>
    </w:p>
    <w:p>
      <w:pPr>
        <w:pStyle w:val="BodyText"/>
        <w:spacing w:before="6"/>
        <w:rPr>
          <w:sz w:val="18"/>
        </w:rPr>
      </w:pPr>
    </w:p>
    <w:p>
      <w:pPr>
        <w:pStyle w:val="BodyText"/>
        <w:spacing w:before="43"/>
        <w:ind w:left="293"/>
      </w:pPr>
      <w:r>
        <w:t>护。</w:t>
      </w:r>
    </w:p>
    <w:p>
      <w:pPr>
        <w:pStyle w:val="ListParagraph"/>
        <w:numPr>
          <w:ilvl w:val="0"/>
          <w:numId w:val="12"/>
        </w:numPr>
        <w:tabs>
          <w:tab w:val="left" w:pos="2523"/>
        </w:tabs>
        <w:spacing w:before="279" w:after="0" w:line="240" w:lineRule="auto"/>
        <w:ind w:left="2522" w:right="0" w:hanging="1266"/>
        <w:jc w:val="left"/>
        <w:rPr>
          <w:sz w:val="40"/>
        </w:rPr>
      </w:pPr>
      <w:r>
        <w:rPr>
          <w:spacing w:val="-12"/>
          <w:sz w:val="42"/>
        </w:rPr>
        <w:t>对高边坡地下水足够重视，完善综合排水设施。必要时采取井</w:t>
      </w:r>
    </w:p>
    <w:p>
      <w:pPr>
        <w:pStyle w:val="BodyText"/>
        <w:spacing w:before="6"/>
        <w:rPr>
          <w:sz w:val="18"/>
        </w:rPr>
      </w:pPr>
    </w:p>
    <w:p>
      <w:pPr>
        <w:pStyle w:val="BodyText"/>
        <w:spacing w:before="42"/>
        <w:ind w:left="293"/>
      </w:pPr>
      <w:r>
        <w:t>点降水措施，为抗滑桩施工提供有利条件。</w:t>
      </w:r>
    </w:p>
    <w:p>
      <w:pPr>
        <w:pStyle w:val="ListParagraph"/>
        <w:numPr>
          <w:ilvl w:val="0"/>
          <w:numId w:val="12"/>
        </w:numPr>
        <w:tabs>
          <w:tab w:val="left" w:pos="2523"/>
        </w:tabs>
        <w:spacing w:before="279" w:after="0" w:line="364" w:lineRule="auto"/>
        <w:ind w:left="293" w:right="403" w:firstLine="964"/>
        <w:jc w:val="both"/>
        <w:rPr>
          <w:sz w:val="40"/>
        </w:rPr>
      </w:pPr>
      <w:r>
        <w:rPr>
          <w:sz w:val="42"/>
        </w:rPr>
        <w:t>施工开挖过程中随时进行地质核查，对边坡稳（滑坡）</w:t>
      </w:r>
      <w:r>
        <w:rPr>
          <w:spacing w:val="-6"/>
          <w:sz w:val="42"/>
        </w:rPr>
        <w:t>定性进</w:t>
      </w:r>
      <w:r>
        <w:rPr>
          <w:sz w:val="42"/>
        </w:rPr>
        <w:t>行施工监测。发现实际地质情况与设计不符时，或地质有异常变化时，立即向监理、设计单位及业主报告。</w:t>
      </w:r>
    </w:p>
    <w:p>
      <w:pPr>
        <w:pStyle w:val="ListParagraph"/>
        <w:numPr>
          <w:ilvl w:val="0"/>
          <w:numId w:val="12"/>
        </w:numPr>
        <w:tabs>
          <w:tab w:val="left" w:pos="2523"/>
        </w:tabs>
        <w:spacing w:before="0" w:after="0" w:line="364" w:lineRule="auto"/>
        <w:ind w:left="293" w:right="527" w:firstLine="964"/>
        <w:jc w:val="both"/>
        <w:rPr>
          <w:sz w:val="40"/>
        </w:rPr>
      </w:pPr>
      <w:r>
        <w:rPr>
          <w:spacing w:val="-10"/>
          <w:sz w:val="42"/>
        </w:rPr>
        <w:t>水是诱发滑坡的主要原因，为此应尽量排干抗滑桩区域范围 内的地表水，可分别设置截水沟、平台排水沟、边沟和纵向排水沟，并且</w:t>
      </w:r>
      <w:r>
        <w:rPr>
          <w:spacing w:val="-5"/>
          <w:sz w:val="42"/>
        </w:rPr>
        <w:t>在坡面上覆盖防水布，避免雨水冲刷坍塌。</w:t>
      </w:r>
    </w:p>
    <w:p>
      <w:pPr>
        <w:pStyle w:val="BodyText"/>
        <w:spacing w:line="364" w:lineRule="auto"/>
        <w:ind w:left="293" w:right="704" w:firstLine="964"/>
        <w:jc w:val="both"/>
      </w:pPr>
      <w:r>
        <w:t>（</w:t>
      </w:r>
      <w:r>
        <w:rPr>
          <w:spacing w:val="-140"/>
        </w:rPr>
        <w:t xml:space="preserve"> </w:t>
      </w:r>
      <w:r>
        <w:t>16</w:t>
      </w:r>
      <w:r>
        <w:rPr>
          <w:spacing w:val="-134"/>
        </w:rPr>
        <w:t xml:space="preserve"> </w:t>
      </w:r>
      <w:r>
        <w:t>）</w:t>
      </w:r>
      <w:r>
        <w:rPr>
          <w:spacing w:val="51"/>
        </w:rPr>
        <w:t>为了准确并及时掌握滑坡体动态情况，设置滑坡体变</w:t>
      </w:r>
      <w:r>
        <w:rPr>
          <w:spacing w:val="48"/>
        </w:rPr>
        <w:t>形监测点和监测岗，及时提出指导性施工意见以及评判滑坡体稳</w:t>
      </w:r>
      <w:r>
        <w:rPr>
          <w:spacing w:val="39"/>
        </w:rPr>
        <w:t>定性和工程治理效果， 确保工程质量及施工人员安全</w:t>
      </w:r>
    </w:p>
    <w:p>
      <w:pPr>
        <w:pStyle w:val="BodyText"/>
        <w:spacing w:line="536" w:lineRule="exact"/>
        <w:ind w:left="1257"/>
        <w:jc w:val="both"/>
      </w:pPr>
      <w:r>
        <w:rPr>
          <w:spacing w:val="57"/>
        </w:rPr>
        <w:t>第二章 编制依据</w:t>
      </w:r>
    </w:p>
    <w:p>
      <w:pPr>
        <w:pStyle w:val="BodyText"/>
        <w:spacing w:before="276"/>
        <w:ind w:left="1257"/>
      </w:pPr>
      <w:r>
        <w:t>1、编制依</w:t>
      </w:r>
    </w:p>
    <w:p>
      <w:pPr>
        <w:pStyle w:val="BodyText"/>
        <w:spacing w:before="279"/>
        <w:ind w:left="293"/>
      </w:pPr>
      <w:r>
        <w:t>（</w:t>
      </w:r>
      <w:r>
        <w:rPr>
          <w:spacing w:val="-152"/>
        </w:rPr>
        <w:t xml:space="preserve"> </w:t>
      </w:r>
      <w:r>
        <w:rPr>
          <w:spacing w:val="15"/>
        </w:rPr>
        <w:t>1）</w:t>
      </w:r>
      <w:r>
        <w:rPr>
          <w:spacing w:val="41"/>
        </w:rPr>
        <w:t xml:space="preserve"> 重庆市黔江区博宏•上郡新都梯步绿化边坡项目设计图纸</w:t>
      </w:r>
    </w:p>
    <w:p>
      <w:pPr>
        <w:pStyle w:val="BodyText"/>
        <w:tabs>
          <w:tab w:val="left" w:pos="10136"/>
        </w:tabs>
        <w:spacing w:before="279"/>
        <w:ind w:left="293"/>
      </w:pPr>
      <w:r>
        <w:rPr>
          <w:w w:val="100"/>
        </w:rPr>
        <w:t>（</w:t>
      </w:r>
      <w:r>
        <w:rPr>
          <w:spacing w:val="-153"/>
        </w:rPr>
        <w:t xml:space="preserve"> </w:t>
      </w:r>
      <w:r>
        <w:rPr>
          <w:spacing w:val="30"/>
          <w:w w:val="100"/>
        </w:rPr>
        <w:t>2</w:t>
      </w:r>
      <w:r>
        <w:rPr>
          <w:spacing w:val="-184"/>
          <w:w w:val="100"/>
        </w:rPr>
        <w:t>）</w:t>
      </w:r>
      <w:r>
        <w:rPr>
          <w:spacing w:val="57"/>
          <w:w w:val="100"/>
        </w:rPr>
        <w:t>《</w:t>
      </w:r>
      <w:r>
        <w:rPr>
          <w:spacing w:val="61"/>
          <w:w w:val="100"/>
        </w:rPr>
        <w:t>建</w:t>
      </w:r>
      <w:r>
        <w:rPr>
          <w:spacing w:val="57"/>
          <w:w w:val="100"/>
        </w:rPr>
        <w:t>筑边</w:t>
      </w:r>
      <w:r>
        <w:rPr>
          <w:spacing w:val="60"/>
          <w:w w:val="100"/>
        </w:rPr>
        <w:t>坡</w:t>
      </w:r>
      <w:r>
        <w:rPr>
          <w:spacing w:val="57"/>
          <w:w w:val="100"/>
        </w:rPr>
        <w:t>工程技</w:t>
      </w:r>
      <w:r>
        <w:rPr>
          <w:spacing w:val="60"/>
          <w:w w:val="100"/>
        </w:rPr>
        <w:t>术</w:t>
      </w:r>
      <w:r>
        <w:rPr>
          <w:spacing w:val="57"/>
          <w:w w:val="100"/>
        </w:rPr>
        <w:t>规</w:t>
      </w:r>
      <w:r>
        <w:rPr>
          <w:spacing w:val="60"/>
          <w:w w:val="100"/>
        </w:rPr>
        <w:t>范</w:t>
      </w:r>
      <w:r>
        <w:rPr>
          <w:spacing w:val="-180"/>
          <w:w w:val="100"/>
        </w:rPr>
        <w:t>》</w:t>
      </w:r>
      <w:r>
        <w:rPr>
          <w:w w:val="100"/>
        </w:rPr>
        <w:t>（</w:t>
      </w:r>
      <w:r>
        <w:rPr>
          <w:spacing w:val="-149"/>
        </w:rPr>
        <w:t xml:space="preserve"> </w:t>
      </w:r>
      <w:r>
        <w:rPr>
          <w:w w:val="100"/>
        </w:rPr>
        <w:t>GB50330-2002</w:t>
      </w:r>
      <w:r>
        <w:tab/>
      </w:r>
      <w:r>
        <w:rPr>
          <w:spacing w:val="-184"/>
          <w:w w:val="100"/>
        </w:rPr>
        <w:t>）</w:t>
      </w:r>
      <w:r>
        <w:rPr>
          <w:w w:val="100"/>
        </w:rPr>
        <w:t>；</w:t>
      </w:r>
    </w:p>
    <w:p>
      <w:pPr>
        <w:pStyle w:val="ListParagraph"/>
        <w:numPr>
          <w:ilvl w:val="0"/>
          <w:numId w:val="10"/>
        </w:numPr>
        <w:tabs>
          <w:tab w:val="left" w:pos="1346"/>
        </w:tabs>
        <w:spacing w:before="279" w:after="0" w:line="240" w:lineRule="auto"/>
        <w:ind w:left="1345" w:right="0" w:hanging="1053"/>
        <w:jc w:val="left"/>
        <w:rPr>
          <w:sz w:val="42"/>
        </w:rPr>
      </w:pPr>
      <w:r>
        <w:rPr>
          <w:spacing w:val="-2"/>
          <w:sz w:val="42"/>
        </w:rPr>
        <w:t>《建筑桩基技术规范》</w:t>
      </w:r>
      <w:r>
        <w:rPr>
          <w:sz w:val="42"/>
        </w:rPr>
        <w:t>(JCJ94-2008)：</w:t>
      </w:r>
    </w:p>
    <w:p>
      <w:pPr>
        <w:pStyle w:val="ListParagraph"/>
        <w:numPr>
          <w:ilvl w:val="0"/>
          <w:numId w:val="10"/>
        </w:numPr>
        <w:tabs>
          <w:tab w:val="left" w:pos="1346"/>
        </w:tabs>
        <w:spacing w:before="279" w:after="0" w:line="240" w:lineRule="auto"/>
        <w:ind w:left="1345" w:right="0" w:hanging="1053"/>
        <w:jc w:val="left"/>
        <w:rPr>
          <w:sz w:val="42"/>
        </w:rPr>
      </w:pPr>
      <w:r>
        <w:rPr>
          <w:spacing w:val="-2"/>
          <w:sz w:val="42"/>
        </w:rPr>
        <w:t>《建筑地基基础工程施工质量验收规范》</w:t>
      </w:r>
      <w:r>
        <w:rPr>
          <w:sz w:val="42"/>
        </w:rPr>
        <w:t>GB50202-2002</w:t>
      </w:r>
    </w:p>
    <w:p>
      <w:pPr>
        <w:pStyle w:val="ListParagraph"/>
        <w:numPr>
          <w:ilvl w:val="0"/>
          <w:numId w:val="10"/>
        </w:numPr>
        <w:tabs>
          <w:tab w:val="left" w:pos="1346"/>
        </w:tabs>
        <w:spacing w:before="280" w:after="0" w:line="240" w:lineRule="auto"/>
        <w:ind w:left="1345" w:right="0" w:hanging="1053"/>
        <w:jc w:val="left"/>
        <w:rPr>
          <w:sz w:val="42"/>
        </w:rPr>
      </w:pPr>
      <w:r>
        <w:rPr>
          <w:spacing w:val="-2"/>
          <w:sz w:val="42"/>
        </w:rPr>
        <w:t>《混凝土结构工程施工质量验收规范》</w:t>
      </w:r>
      <w:r>
        <w:rPr>
          <w:sz w:val="42"/>
        </w:rPr>
        <w:t>GB50204-2002</w:t>
      </w:r>
    </w:p>
    <w:p>
      <w:pPr>
        <w:pStyle w:val="ListParagraph"/>
        <w:numPr>
          <w:ilvl w:val="0"/>
          <w:numId w:val="10"/>
        </w:numPr>
        <w:tabs>
          <w:tab w:val="left" w:pos="1346"/>
        </w:tabs>
        <w:spacing w:before="275" w:after="0" w:line="240" w:lineRule="auto"/>
        <w:ind w:left="1345" w:right="0" w:hanging="1053"/>
        <w:jc w:val="left"/>
        <w:rPr>
          <w:sz w:val="42"/>
        </w:rPr>
      </w:pPr>
      <w:r>
        <w:rPr>
          <w:spacing w:val="-2"/>
          <w:sz w:val="42"/>
        </w:rPr>
        <w:t>《建筑工程施工质量验收统一标准》</w:t>
      </w:r>
      <w:r>
        <w:rPr>
          <w:sz w:val="42"/>
        </w:rPr>
        <w:t>GB50300-2001</w:t>
      </w:r>
    </w:p>
    <w:p>
      <w:pPr>
        <w:pStyle w:val="ListParagraph"/>
        <w:numPr>
          <w:ilvl w:val="0"/>
          <w:numId w:val="10"/>
        </w:numPr>
        <w:tabs>
          <w:tab w:val="left" w:pos="1346"/>
        </w:tabs>
        <w:spacing w:before="279" w:after="0" w:line="240" w:lineRule="auto"/>
        <w:ind w:left="1345" w:right="0" w:hanging="1053"/>
        <w:jc w:val="left"/>
        <w:rPr>
          <w:sz w:val="42"/>
        </w:rPr>
      </w:pPr>
      <w:r>
        <w:rPr>
          <w:spacing w:val="-2"/>
          <w:sz w:val="42"/>
        </w:rPr>
        <w:t>《混凝土质量控制标准》</w:t>
      </w:r>
      <w:r>
        <w:rPr>
          <w:sz w:val="42"/>
        </w:rPr>
        <w:t>GB50164-92</w:t>
      </w:r>
    </w:p>
    <w:p>
      <w:pPr>
        <w:pStyle w:val="ListParagraph"/>
        <w:numPr>
          <w:ilvl w:val="0"/>
          <w:numId w:val="10"/>
        </w:numPr>
        <w:tabs>
          <w:tab w:val="left" w:pos="1346"/>
        </w:tabs>
        <w:spacing w:before="280" w:after="0" w:line="240" w:lineRule="auto"/>
        <w:ind w:left="1345" w:right="0" w:hanging="1053"/>
        <w:jc w:val="left"/>
        <w:rPr>
          <w:sz w:val="42"/>
        </w:rPr>
      </w:pPr>
      <w:r>
        <w:rPr>
          <w:spacing w:val="-2"/>
          <w:sz w:val="42"/>
        </w:rPr>
        <w:t>《施工现场临时用电安全技术规范》</w:t>
      </w:r>
      <w:r>
        <w:rPr>
          <w:sz w:val="42"/>
        </w:rPr>
        <w:t>JGJ46-2005</w:t>
      </w:r>
    </w:p>
    <w:p>
      <w:pPr>
        <w:pStyle w:val="ListParagraph"/>
        <w:numPr>
          <w:ilvl w:val="0"/>
          <w:numId w:val="10"/>
        </w:numPr>
        <w:tabs>
          <w:tab w:val="left" w:pos="1346"/>
        </w:tabs>
        <w:spacing w:before="278" w:after="0" w:line="240" w:lineRule="auto"/>
        <w:ind w:left="1345" w:right="0" w:hanging="1053"/>
        <w:jc w:val="left"/>
        <w:rPr>
          <w:sz w:val="42"/>
        </w:rPr>
      </w:pPr>
      <w:r>
        <w:rPr>
          <w:spacing w:val="-2"/>
          <w:sz w:val="42"/>
        </w:rPr>
        <w:t>《混凝土检验评定标准》</w:t>
      </w:r>
      <w:r>
        <w:rPr>
          <w:sz w:val="42"/>
        </w:rPr>
        <w:t>GBJ107-87</w:t>
      </w:r>
    </w:p>
    <w:p>
      <w:pPr>
        <w:spacing w:after="0" w:line="240" w:lineRule="auto"/>
        <w:jc w:val="left"/>
        <w:rPr>
          <w:sz w:val="42"/>
        </w:rPr>
        <w:sectPr>
          <w:footerReference w:type="default" r:id="rId10"/>
          <w:pgSz w:w="17860" w:h="25260"/>
          <w:pgMar w:top="1300" w:right="1300" w:bottom="2040" w:left="2260" w:header="0" w:footer="1802"/>
          <w:pgNumType w:start="7"/>
          <w:cols w:space="708"/>
        </w:sectPr>
      </w:pPr>
    </w:p>
    <w:p>
      <w:pPr>
        <w:pStyle w:val="ListParagraph"/>
        <w:numPr>
          <w:ilvl w:val="0"/>
          <w:numId w:val="10"/>
        </w:numPr>
        <w:tabs>
          <w:tab w:val="left" w:pos="1558"/>
        </w:tabs>
        <w:spacing w:before="17" w:after="0" w:line="240" w:lineRule="auto"/>
        <w:ind w:left="1557" w:right="0" w:hanging="1265"/>
        <w:jc w:val="left"/>
        <w:rPr>
          <w:sz w:val="42"/>
        </w:rPr>
      </w:pPr>
      <w:r>
        <w:rPr>
          <w:spacing w:val="-2"/>
          <w:sz w:val="42"/>
        </w:rPr>
        <w:t>《建筑基桩检测技术规范》</w:t>
      </w:r>
      <w:r>
        <w:rPr>
          <w:sz w:val="42"/>
        </w:rPr>
        <w:t>JGJ106-2003</w:t>
      </w:r>
    </w:p>
    <w:p>
      <w:pPr>
        <w:pStyle w:val="ListParagraph"/>
        <w:numPr>
          <w:ilvl w:val="0"/>
          <w:numId w:val="10"/>
        </w:numPr>
        <w:tabs>
          <w:tab w:val="left" w:pos="1558"/>
        </w:tabs>
        <w:spacing w:before="280" w:after="0" w:line="240" w:lineRule="auto"/>
        <w:ind w:left="1557" w:right="0" w:hanging="1265"/>
        <w:jc w:val="left"/>
        <w:rPr>
          <w:sz w:val="42"/>
        </w:rPr>
      </w:pPr>
      <w:r>
        <w:rPr>
          <w:spacing w:val="-1"/>
          <w:sz w:val="42"/>
        </w:rPr>
        <w:t>《钢筋焊接及验收规程》</w:t>
      </w:r>
      <w:r>
        <w:rPr>
          <w:sz w:val="42"/>
        </w:rPr>
        <w:t>JGJ18-96</w:t>
      </w:r>
    </w:p>
    <w:p>
      <w:pPr>
        <w:pStyle w:val="ListParagraph"/>
        <w:numPr>
          <w:ilvl w:val="0"/>
          <w:numId w:val="10"/>
        </w:numPr>
        <w:tabs>
          <w:tab w:val="left" w:pos="1558"/>
        </w:tabs>
        <w:spacing w:before="279" w:after="0" w:line="240" w:lineRule="auto"/>
        <w:ind w:left="1557" w:right="0" w:hanging="1265"/>
        <w:jc w:val="left"/>
        <w:rPr>
          <w:sz w:val="42"/>
        </w:rPr>
      </w:pPr>
      <w:r>
        <w:rPr>
          <w:spacing w:val="-1"/>
          <w:sz w:val="42"/>
        </w:rPr>
        <w:t>《工程测量规范》</w:t>
      </w:r>
      <w:r>
        <w:rPr>
          <w:sz w:val="42"/>
        </w:rPr>
        <w:t>GB 50026-2007</w:t>
      </w:r>
    </w:p>
    <w:p>
      <w:pPr>
        <w:pStyle w:val="ListParagraph"/>
        <w:numPr>
          <w:ilvl w:val="0"/>
          <w:numId w:val="10"/>
        </w:numPr>
        <w:tabs>
          <w:tab w:val="left" w:pos="1558"/>
        </w:tabs>
        <w:spacing w:before="279" w:after="0" w:line="240" w:lineRule="auto"/>
        <w:ind w:left="1557" w:right="0" w:hanging="1265"/>
        <w:jc w:val="left"/>
        <w:rPr>
          <w:sz w:val="42"/>
        </w:rPr>
      </w:pPr>
      <w:r>
        <w:rPr>
          <w:spacing w:val="-1"/>
          <w:sz w:val="42"/>
        </w:rPr>
        <w:t>《建筑机械使用安全技术规程》</w:t>
      </w:r>
      <w:r>
        <w:rPr>
          <w:sz w:val="42"/>
        </w:rPr>
        <w:t>JGJ33-2001</w:t>
      </w:r>
    </w:p>
    <w:p>
      <w:pPr>
        <w:pStyle w:val="ListParagraph"/>
        <w:numPr>
          <w:ilvl w:val="0"/>
          <w:numId w:val="10"/>
        </w:numPr>
        <w:tabs>
          <w:tab w:val="left" w:pos="1558"/>
        </w:tabs>
        <w:spacing w:before="279" w:after="0" w:line="240" w:lineRule="auto"/>
        <w:ind w:left="1557" w:right="0" w:hanging="1265"/>
        <w:jc w:val="left"/>
        <w:rPr>
          <w:sz w:val="42"/>
        </w:rPr>
      </w:pPr>
      <w:r>
        <w:rPr>
          <w:spacing w:val="-2"/>
          <w:sz w:val="42"/>
        </w:rPr>
        <w:t>《建筑施工安全检查标准》</w:t>
      </w:r>
      <w:r>
        <w:rPr>
          <w:sz w:val="42"/>
        </w:rPr>
        <w:t>JGJ 59-99</w:t>
      </w:r>
    </w:p>
    <w:p>
      <w:pPr>
        <w:pStyle w:val="ListParagraph"/>
        <w:numPr>
          <w:ilvl w:val="0"/>
          <w:numId w:val="10"/>
        </w:numPr>
        <w:tabs>
          <w:tab w:val="left" w:pos="1558"/>
        </w:tabs>
        <w:spacing w:before="279" w:after="0" w:line="364" w:lineRule="auto"/>
        <w:ind w:left="293" w:right="526" w:firstLine="0"/>
        <w:jc w:val="left"/>
        <w:rPr>
          <w:sz w:val="42"/>
        </w:rPr>
      </w:pPr>
      <w:r>
        <w:rPr>
          <w:spacing w:val="-1"/>
          <w:sz w:val="42"/>
        </w:rPr>
        <w:t>工地现场调查、采集、咨询所获取的资料和我单位类似工程施工积</w:t>
      </w:r>
      <w:r>
        <w:rPr>
          <w:sz w:val="42"/>
        </w:rPr>
        <w:t>累的施工经验及设备。</w:t>
      </w:r>
    </w:p>
    <w:p>
      <w:pPr>
        <w:pStyle w:val="Heading3"/>
        <w:spacing w:line="364" w:lineRule="auto"/>
        <w:ind w:right="703"/>
      </w:pPr>
      <w:r>
        <w:t>（</w:t>
      </w:r>
      <w:r>
        <w:rPr>
          <w:spacing w:val="-157"/>
        </w:rPr>
        <w:t xml:space="preserve"> </w:t>
      </w:r>
      <w:r>
        <w:t>16</w:t>
      </w:r>
      <w:r>
        <w:rPr>
          <w:spacing w:val="-154"/>
        </w:rPr>
        <w:t xml:space="preserve"> </w:t>
      </w:r>
      <w:r>
        <w:t>）</w:t>
      </w:r>
      <w:r>
        <w:rPr>
          <w:spacing w:val="50"/>
        </w:rPr>
        <w:t>国家及相关部委颁布的法律、法规和现行设计规范、工程</w:t>
      </w:r>
      <w:r>
        <w:rPr>
          <w:spacing w:val="54"/>
        </w:rPr>
        <w:t>质量验收标准、及本工程施工组织设计等；</w:t>
      </w:r>
    </w:p>
    <w:p>
      <w:pPr>
        <w:spacing w:before="0" w:line="537" w:lineRule="exact"/>
        <w:ind w:left="293" w:right="0" w:firstLine="0"/>
        <w:jc w:val="left"/>
        <w:rPr>
          <w:b/>
          <w:sz w:val="42"/>
        </w:rPr>
      </w:pPr>
      <w:bookmarkStart w:id="3" w:name="_TOC_250012"/>
      <w:bookmarkEnd w:id="3"/>
      <w:r>
        <w:rPr>
          <w:b/>
          <w:sz w:val="42"/>
        </w:rPr>
        <w:t>2、工程应用的主要法规</w:t>
      </w:r>
    </w:p>
    <w:p>
      <w:pPr>
        <w:pStyle w:val="ListParagraph"/>
        <w:numPr>
          <w:ilvl w:val="1"/>
          <w:numId w:val="10"/>
        </w:numPr>
        <w:tabs>
          <w:tab w:val="left" w:pos="1644"/>
        </w:tabs>
        <w:spacing w:before="278" w:after="0" w:line="240" w:lineRule="auto"/>
        <w:ind w:left="1644" w:right="0" w:hanging="1053"/>
        <w:jc w:val="left"/>
        <w:rPr>
          <w:sz w:val="42"/>
        </w:rPr>
      </w:pPr>
      <w:r>
        <w:rPr>
          <w:sz w:val="42"/>
        </w:rPr>
        <w:t>《中华人民共和国建筑法》</w:t>
      </w:r>
    </w:p>
    <w:p>
      <w:pPr>
        <w:pStyle w:val="ListParagraph"/>
        <w:numPr>
          <w:ilvl w:val="1"/>
          <w:numId w:val="10"/>
        </w:numPr>
        <w:tabs>
          <w:tab w:val="left" w:pos="1644"/>
        </w:tabs>
        <w:spacing w:before="279" w:after="0" w:line="240" w:lineRule="auto"/>
        <w:ind w:left="1644" w:right="0" w:hanging="1053"/>
        <w:jc w:val="left"/>
        <w:rPr>
          <w:sz w:val="42"/>
        </w:rPr>
      </w:pPr>
      <w:r>
        <w:rPr>
          <w:sz w:val="42"/>
        </w:rPr>
        <w:t>《中华人民共和国劳动法》</w:t>
      </w:r>
    </w:p>
    <w:p>
      <w:pPr>
        <w:pStyle w:val="ListParagraph"/>
        <w:numPr>
          <w:ilvl w:val="1"/>
          <w:numId w:val="10"/>
        </w:numPr>
        <w:tabs>
          <w:tab w:val="left" w:pos="1644"/>
        </w:tabs>
        <w:spacing w:before="279" w:after="0" w:line="240" w:lineRule="auto"/>
        <w:ind w:left="1644" w:right="0" w:hanging="1053"/>
        <w:jc w:val="left"/>
        <w:rPr>
          <w:sz w:val="42"/>
        </w:rPr>
      </w:pPr>
      <w:r>
        <w:rPr>
          <w:sz w:val="42"/>
        </w:rPr>
        <w:t>《中华人民共和国测绘法》</w:t>
      </w:r>
    </w:p>
    <w:p>
      <w:pPr>
        <w:pStyle w:val="ListParagraph"/>
        <w:numPr>
          <w:ilvl w:val="1"/>
          <w:numId w:val="10"/>
        </w:numPr>
        <w:tabs>
          <w:tab w:val="left" w:pos="1644"/>
        </w:tabs>
        <w:spacing w:before="279" w:after="0" w:line="240" w:lineRule="auto"/>
        <w:ind w:left="1644" w:right="0" w:hanging="1053"/>
        <w:jc w:val="left"/>
        <w:rPr>
          <w:sz w:val="42"/>
        </w:rPr>
      </w:pPr>
      <w:r>
        <w:rPr>
          <w:sz w:val="42"/>
        </w:rPr>
        <w:t>《中华人民共和国环境保护法》</w:t>
      </w:r>
    </w:p>
    <w:p>
      <w:pPr>
        <w:pStyle w:val="ListParagraph"/>
        <w:numPr>
          <w:ilvl w:val="1"/>
          <w:numId w:val="10"/>
        </w:numPr>
        <w:tabs>
          <w:tab w:val="left" w:pos="1644"/>
        </w:tabs>
        <w:spacing w:before="280" w:after="0" w:line="240" w:lineRule="auto"/>
        <w:ind w:left="1644" w:right="0" w:hanging="1053"/>
        <w:jc w:val="left"/>
        <w:rPr>
          <w:sz w:val="42"/>
        </w:rPr>
      </w:pPr>
      <w:r>
        <w:rPr>
          <w:sz w:val="42"/>
        </w:rPr>
        <w:t>《中华人民共和国安全生产法》</w:t>
      </w:r>
    </w:p>
    <w:p>
      <w:pPr>
        <w:pStyle w:val="ListParagraph"/>
        <w:numPr>
          <w:ilvl w:val="1"/>
          <w:numId w:val="10"/>
        </w:numPr>
        <w:tabs>
          <w:tab w:val="left" w:pos="1644"/>
        </w:tabs>
        <w:spacing w:before="279" w:after="0" w:line="240" w:lineRule="auto"/>
        <w:ind w:left="1644" w:right="0" w:hanging="1053"/>
        <w:jc w:val="left"/>
        <w:rPr>
          <w:sz w:val="42"/>
        </w:rPr>
      </w:pPr>
      <w:r>
        <w:rPr>
          <w:sz w:val="42"/>
        </w:rPr>
        <w:t>《建设工程安全生产管理条例》</w:t>
      </w:r>
    </w:p>
    <w:p>
      <w:pPr>
        <w:pStyle w:val="ListParagraph"/>
        <w:numPr>
          <w:ilvl w:val="1"/>
          <w:numId w:val="10"/>
        </w:numPr>
        <w:tabs>
          <w:tab w:val="left" w:pos="1644"/>
        </w:tabs>
        <w:spacing w:before="279" w:after="0" w:line="240" w:lineRule="auto"/>
        <w:ind w:left="1644" w:right="0" w:hanging="1053"/>
        <w:jc w:val="left"/>
        <w:rPr>
          <w:sz w:val="42"/>
        </w:rPr>
      </w:pPr>
      <w:r>
        <w:rPr>
          <w:sz w:val="42"/>
        </w:rPr>
        <w:t>《建筑工程质量管理条例》</w:t>
      </w:r>
    </w:p>
    <w:p>
      <w:pPr>
        <w:pStyle w:val="ListParagraph"/>
        <w:numPr>
          <w:ilvl w:val="1"/>
          <w:numId w:val="10"/>
        </w:numPr>
        <w:tabs>
          <w:tab w:val="left" w:pos="1644"/>
        </w:tabs>
        <w:spacing w:before="279" w:after="0" w:line="240" w:lineRule="auto"/>
        <w:ind w:left="1644" w:right="0" w:hanging="1053"/>
        <w:jc w:val="left"/>
        <w:rPr>
          <w:sz w:val="42"/>
        </w:rPr>
      </w:pPr>
      <w:r>
        <w:rPr>
          <w:sz w:val="42"/>
        </w:rPr>
        <w:t>《建设工程施工现场管理规定》</w:t>
      </w:r>
    </w:p>
    <w:p>
      <w:pPr>
        <w:pStyle w:val="ListParagraph"/>
        <w:numPr>
          <w:ilvl w:val="1"/>
          <w:numId w:val="10"/>
        </w:numPr>
        <w:tabs>
          <w:tab w:val="left" w:pos="1644"/>
        </w:tabs>
        <w:spacing w:before="279" w:after="0" w:line="240" w:lineRule="auto"/>
        <w:ind w:left="1644" w:right="0" w:hanging="1053"/>
        <w:jc w:val="left"/>
        <w:rPr>
          <w:sz w:val="42"/>
        </w:rPr>
      </w:pPr>
      <w:r>
        <w:rPr>
          <w:sz w:val="42"/>
        </w:rPr>
        <w:t>《建筑安全生产监督管理规定》</w:t>
      </w:r>
    </w:p>
    <w:p>
      <w:pPr>
        <w:pStyle w:val="ListParagraph"/>
        <w:numPr>
          <w:ilvl w:val="1"/>
          <w:numId w:val="10"/>
        </w:numPr>
        <w:tabs>
          <w:tab w:val="left" w:pos="1857"/>
        </w:tabs>
        <w:spacing w:before="279" w:after="0" w:line="240" w:lineRule="auto"/>
        <w:ind w:left="1856" w:right="0" w:hanging="1266"/>
        <w:jc w:val="left"/>
        <w:rPr>
          <w:sz w:val="42"/>
        </w:rPr>
      </w:pPr>
      <w:r>
        <w:rPr>
          <w:sz w:val="42"/>
        </w:rPr>
        <w:t>《建设领域推广应用新技术管理规定》</w:t>
      </w:r>
    </w:p>
    <w:p>
      <w:pPr>
        <w:pStyle w:val="ListParagraph"/>
        <w:numPr>
          <w:ilvl w:val="1"/>
          <w:numId w:val="10"/>
        </w:numPr>
        <w:tabs>
          <w:tab w:val="left" w:pos="1839"/>
        </w:tabs>
        <w:spacing w:before="279" w:after="0" w:line="240" w:lineRule="auto"/>
        <w:ind w:left="1838" w:right="0" w:hanging="1248"/>
        <w:jc w:val="left"/>
        <w:rPr>
          <w:sz w:val="42"/>
        </w:rPr>
      </w:pPr>
      <w:r>
        <w:rPr>
          <w:sz w:val="42"/>
        </w:rPr>
        <w:t>《危险性较大的分部分项工程安全管理办法》</w:t>
      </w:r>
    </w:p>
    <w:p>
      <w:pPr>
        <w:spacing w:before="379"/>
        <w:ind w:left="591" w:right="0" w:firstLine="0"/>
        <w:jc w:val="left"/>
        <w:rPr>
          <w:b/>
          <w:sz w:val="31"/>
        </w:rPr>
      </w:pPr>
      <w:r>
        <w:rPr>
          <w:rFonts w:ascii="幼圆" w:eastAsia="幼圆" w:hint="eastAsia"/>
          <w:b/>
          <w:sz w:val="31"/>
        </w:rPr>
        <w:t>3</w:t>
      </w:r>
      <w:r>
        <w:rPr>
          <w:b/>
          <w:sz w:val="31"/>
        </w:rPr>
        <w:t>、编制原则</w:t>
      </w:r>
    </w:p>
    <w:p>
      <w:pPr>
        <w:pStyle w:val="ListParagraph"/>
        <w:numPr>
          <w:ilvl w:val="0"/>
          <w:numId w:val="9"/>
        </w:numPr>
        <w:tabs>
          <w:tab w:val="left" w:pos="1536"/>
        </w:tabs>
        <w:spacing w:before="116" w:after="0" w:line="240" w:lineRule="auto"/>
        <w:ind w:left="1536" w:right="0" w:hanging="1056"/>
        <w:jc w:val="left"/>
        <w:rPr>
          <w:sz w:val="42"/>
        </w:rPr>
      </w:pPr>
      <w:r>
        <w:rPr>
          <w:sz w:val="42"/>
        </w:rPr>
        <w:t>严格遵守相关的法律法规、规范标准和设计文件等。</w:t>
      </w:r>
    </w:p>
    <w:p>
      <w:pPr>
        <w:pStyle w:val="ListParagraph"/>
        <w:numPr>
          <w:ilvl w:val="0"/>
          <w:numId w:val="9"/>
        </w:numPr>
        <w:tabs>
          <w:tab w:val="left" w:pos="1533"/>
        </w:tabs>
        <w:spacing w:before="279" w:after="0" w:line="364" w:lineRule="auto"/>
        <w:ind w:left="480" w:right="551" w:firstLine="0"/>
        <w:jc w:val="left"/>
        <w:rPr>
          <w:sz w:val="42"/>
        </w:rPr>
      </w:pPr>
      <w:r>
        <w:rPr>
          <w:spacing w:val="-1"/>
          <w:sz w:val="42"/>
        </w:rPr>
        <w:t>坚持技术先进性、科学合理性、经济适用性、安全可靠性与实事求</w:t>
      </w:r>
      <w:r>
        <w:rPr>
          <w:sz w:val="42"/>
        </w:rPr>
        <w:t>是相结合。</w:t>
      </w:r>
    </w:p>
    <w:p>
      <w:pPr>
        <w:pStyle w:val="BodyText"/>
        <w:spacing w:line="364" w:lineRule="auto"/>
        <w:ind w:left="480" w:right="714" w:firstLine="234"/>
      </w:pPr>
      <w:r>
        <w:t>（</w:t>
      </w:r>
      <w:r>
        <w:rPr>
          <w:spacing w:val="-139"/>
        </w:rPr>
        <w:t xml:space="preserve"> </w:t>
      </w:r>
      <w:r>
        <w:t>3</w:t>
      </w:r>
      <w:r>
        <w:rPr>
          <w:spacing w:val="-163"/>
        </w:rPr>
        <w:t xml:space="preserve"> </w:t>
      </w:r>
      <w:r>
        <w:t>）</w:t>
      </w:r>
      <w:r>
        <w:rPr>
          <w:spacing w:val="38"/>
        </w:rPr>
        <w:t xml:space="preserve"> 对施工现场坚持全员、全方位、全过程严密监控， 动态</w:t>
      </w:r>
      <w:r>
        <w:rPr>
          <w:spacing w:val="28"/>
        </w:rPr>
        <w:t>控制， 科学管理的原则。</w:t>
      </w:r>
    </w:p>
    <w:p>
      <w:pPr>
        <w:spacing w:after="0" w:line="364" w:lineRule="auto"/>
        <w:sectPr>
          <w:footerReference w:type="default" r:id="rId11"/>
          <w:pgSz w:w="17860" w:h="25260"/>
          <w:pgMar w:top="1300" w:right="1300" w:bottom="2040" w:left="2260" w:header="0" w:footer="1802"/>
          <w:pgNumType w:start="8"/>
          <w:cols w:space="708"/>
        </w:sectPr>
      </w:pPr>
    </w:p>
    <w:p>
      <w:pPr>
        <w:pStyle w:val="Heading3"/>
        <w:tabs>
          <w:tab w:val="left" w:pos="2470"/>
        </w:tabs>
        <w:spacing w:before="17"/>
        <w:ind w:left="480"/>
      </w:pPr>
      <w:bookmarkStart w:id="4" w:name="_TOC_250011"/>
      <w:r>
        <w:rPr>
          <w:spacing w:val="61"/>
        </w:rPr>
        <w:t>第三</w:t>
      </w:r>
      <w:r>
        <w:t>章</w:t>
        <w:tab/>
      </w:r>
      <w:r>
        <w:rPr>
          <w:spacing w:val="57"/>
        </w:rPr>
        <w:t>施</w:t>
      </w:r>
      <w:r>
        <w:rPr>
          <w:spacing w:val="60"/>
        </w:rPr>
        <w:t>工</w:t>
      </w:r>
      <w:r>
        <w:rPr>
          <w:spacing w:val="57"/>
        </w:rPr>
        <w:t>进</w:t>
      </w:r>
      <w:r>
        <w:rPr>
          <w:spacing w:val="60"/>
        </w:rPr>
        <w:t>度计</w:t>
      </w:r>
      <w:bookmarkEnd w:id="4"/>
      <w:r>
        <w:t>划</w:t>
      </w:r>
    </w:p>
    <w:p>
      <w:pPr>
        <w:pStyle w:val="BodyText"/>
        <w:tabs>
          <w:tab w:val="left" w:pos="6295"/>
        </w:tabs>
        <w:spacing w:before="280" w:line="364" w:lineRule="auto"/>
        <w:ind w:left="480" w:right="465" w:firstLine="467"/>
      </w:pPr>
      <w:r>
        <w:t>—</w:t>
      </w:r>
      <w:r>
        <w:rPr>
          <w:spacing w:val="-151"/>
        </w:rPr>
        <w:t xml:space="preserve"> </w:t>
      </w:r>
      <w:r>
        <w:rPr>
          <w:spacing w:val="-141"/>
        </w:rPr>
        <w:t>、</w:t>
      </w:r>
      <w:r>
        <w:rPr>
          <w:spacing w:val="57"/>
        </w:rPr>
        <w:t>施工</w:t>
      </w:r>
      <w:r>
        <w:rPr>
          <w:spacing w:val="61"/>
        </w:rPr>
        <w:t>工</w:t>
      </w:r>
      <w:r>
        <w:rPr>
          <w:spacing w:val="58"/>
        </w:rPr>
        <w:t>期</w:t>
      </w:r>
      <w:r>
        <w:rPr>
          <w:spacing w:val="57"/>
        </w:rPr>
        <w:t>计</w:t>
      </w:r>
      <w:r>
        <w:rPr>
          <w:spacing w:val="60"/>
        </w:rPr>
        <w:t>划</w:t>
      </w:r>
      <w:r>
        <w:rPr>
          <w:spacing w:val="57"/>
        </w:rPr>
        <w:t>总工</w:t>
      </w:r>
      <w:r>
        <w:t>期</w:t>
        <w:tab/>
        <w:t>40</w:t>
      </w:r>
      <w:r>
        <w:rPr>
          <w:spacing w:val="-17"/>
        </w:rPr>
        <w:t xml:space="preserve"> </w:t>
      </w:r>
      <w:r>
        <w:rPr>
          <w:spacing w:val="-141"/>
        </w:rPr>
        <w:t>天</w:t>
      </w:r>
      <w:r>
        <w:t>（</w:t>
      </w:r>
      <w:r>
        <w:rPr>
          <w:spacing w:val="-149"/>
        </w:rPr>
        <w:t xml:space="preserve"> </w:t>
      </w:r>
      <w:r>
        <w:rPr>
          <w:spacing w:val="60"/>
        </w:rPr>
        <w:t>施</w:t>
      </w:r>
      <w:r>
        <w:rPr>
          <w:spacing w:val="57"/>
        </w:rPr>
        <w:t>工起算</w:t>
      </w:r>
      <w:r>
        <w:rPr>
          <w:spacing w:val="60"/>
        </w:rPr>
        <w:t>时</w:t>
      </w:r>
      <w:r>
        <w:rPr>
          <w:spacing w:val="57"/>
        </w:rPr>
        <w:t>间以</w:t>
      </w:r>
      <w:r>
        <w:rPr>
          <w:spacing w:val="60"/>
        </w:rPr>
        <w:t>开</w:t>
      </w:r>
      <w:r>
        <w:rPr>
          <w:spacing w:val="57"/>
        </w:rPr>
        <w:t>工令为</w:t>
      </w:r>
      <w:r>
        <w:rPr>
          <w:spacing w:val="60"/>
        </w:rPr>
        <w:t>准</w:t>
      </w:r>
      <w:r>
        <w:rPr>
          <w:spacing w:val="-11"/>
        </w:rPr>
        <w:t xml:space="preserve">， </w:t>
      </w:r>
      <w:r>
        <w:rPr>
          <w:spacing w:val="57"/>
        </w:rPr>
        <w:t>具体的</w:t>
      </w:r>
      <w:r>
        <w:rPr>
          <w:spacing w:val="60"/>
        </w:rPr>
        <w:t>进</w:t>
      </w:r>
      <w:r>
        <w:rPr>
          <w:spacing w:val="57"/>
        </w:rPr>
        <w:t>度计</w:t>
      </w:r>
      <w:r>
        <w:rPr>
          <w:spacing w:val="60"/>
        </w:rPr>
        <w:t>划</w:t>
      </w:r>
      <w:r>
        <w:rPr>
          <w:spacing w:val="57"/>
        </w:rPr>
        <w:t>附后</w:t>
      </w:r>
      <w:r>
        <w:rPr>
          <w:spacing w:val="-180"/>
        </w:rPr>
        <w:t>）</w:t>
      </w:r>
      <w:r>
        <w:t>。</w:t>
      </w:r>
    </w:p>
    <w:p>
      <w:pPr>
        <w:pStyle w:val="BodyText"/>
        <w:spacing w:line="537" w:lineRule="exact"/>
        <w:ind w:left="1254"/>
      </w:pPr>
      <w:r>
        <w:rPr>
          <w:spacing w:val="51"/>
        </w:rPr>
        <w:t>本工程关键施工路线为：</w:t>
      </w:r>
    </w:p>
    <w:p>
      <w:pPr>
        <w:pStyle w:val="BodyText"/>
        <w:tabs>
          <w:tab w:val="left" w:pos="3922"/>
        </w:tabs>
        <w:spacing w:before="279" w:line="364" w:lineRule="auto"/>
        <w:ind w:left="293" w:right="635" w:firstLine="961"/>
      </w:pPr>
      <w:r>
        <w:rPr>
          <w:spacing w:val="57"/>
        </w:rPr>
        <w:t>施工准</w:t>
      </w:r>
      <w:r>
        <w:rPr>
          <w:spacing w:val="60"/>
        </w:rPr>
        <w:t>备</w:t>
      </w:r>
      <w:r>
        <w:t>→</w:t>
        <w:tab/>
      </w:r>
      <w:r>
        <w:rPr>
          <w:spacing w:val="57"/>
        </w:rPr>
        <w:t>测</w:t>
      </w:r>
      <w:r>
        <w:rPr>
          <w:spacing w:val="60"/>
        </w:rPr>
        <w:t>量</w:t>
      </w:r>
      <w:r>
        <w:rPr>
          <w:spacing w:val="57"/>
        </w:rPr>
        <w:t>放线</w:t>
      </w:r>
      <w:r>
        <w:t>→</w:t>
      </w:r>
      <w:r>
        <w:rPr>
          <w:spacing w:val="-150"/>
        </w:rPr>
        <w:t xml:space="preserve"> </w:t>
      </w:r>
      <w:r>
        <w:rPr>
          <w:spacing w:val="60"/>
        </w:rPr>
        <w:t>挖</w:t>
      </w:r>
      <w:r>
        <w:rPr>
          <w:spacing w:val="57"/>
        </w:rPr>
        <w:t>孔桩</w:t>
      </w:r>
      <w:r>
        <w:rPr>
          <w:spacing w:val="60"/>
        </w:rPr>
        <w:t>土</w:t>
      </w:r>
      <w:r>
        <w:rPr>
          <w:spacing w:val="57"/>
        </w:rPr>
        <w:t>石方</w:t>
      </w:r>
      <w:r>
        <w:t>→</w:t>
      </w:r>
      <w:r>
        <w:rPr>
          <w:spacing w:val="-150"/>
        </w:rPr>
        <w:t xml:space="preserve"> </w:t>
      </w:r>
      <w:r>
        <w:rPr>
          <w:spacing w:val="60"/>
        </w:rPr>
        <w:t>绑</w:t>
      </w:r>
      <w:r>
        <w:rPr>
          <w:spacing w:val="57"/>
        </w:rPr>
        <w:t>扎护</w:t>
      </w:r>
      <w:r>
        <w:rPr>
          <w:spacing w:val="60"/>
        </w:rPr>
        <w:t>壁</w:t>
      </w:r>
      <w:r>
        <w:rPr>
          <w:spacing w:val="57"/>
        </w:rPr>
        <w:t>钢筋</w:t>
      </w:r>
      <w:r>
        <w:t>→</w:t>
      </w:r>
      <w:r>
        <w:rPr>
          <w:spacing w:val="-149"/>
        </w:rPr>
        <w:t xml:space="preserve"> </w:t>
      </w:r>
      <w:r>
        <w:t>支</w:t>
      </w:r>
      <w:r>
        <w:rPr>
          <w:spacing w:val="57"/>
        </w:rPr>
        <w:t>护壁模</w:t>
      </w:r>
      <w:r>
        <w:rPr>
          <w:spacing w:val="60"/>
        </w:rPr>
        <w:t>板</w:t>
      </w:r>
      <w:r>
        <w:t>→</w:t>
      </w:r>
      <w:r>
        <w:rPr>
          <w:spacing w:val="-141"/>
        </w:rPr>
        <w:t xml:space="preserve"> </w:t>
      </w:r>
      <w:r>
        <w:rPr>
          <w:spacing w:val="57"/>
        </w:rPr>
        <w:t>护</w:t>
      </w:r>
      <w:r>
        <w:rPr>
          <w:spacing w:val="62"/>
        </w:rPr>
        <w:t>壁</w:t>
      </w:r>
      <w:r>
        <w:rPr>
          <w:spacing w:val="57"/>
        </w:rPr>
        <w:t>砼浇灌</w:t>
      </w:r>
      <w:r>
        <w:t>→</w:t>
      </w:r>
      <w:r>
        <w:rPr>
          <w:spacing w:val="-139"/>
        </w:rPr>
        <w:t xml:space="preserve"> </w:t>
      </w:r>
      <w:r>
        <w:rPr>
          <w:spacing w:val="57"/>
        </w:rPr>
        <w:t>拆除</w:t>
      </w:r>
      <w:r>
        <w:rPr>
          <w:spacing w:val="60"/>
        </w:rPr>
        <w:t>护</w:t>
      </w:r>
      <w:r>
        <w:rPr>
          <w:spacing w:val="57"/>
        </w:rPr>
        <w:t>壁模板</w:t>
      </w:r>
      <w:r>
        <w:t>（</w:t>
      </w:r>
      <w:r>
        <w:rPr>
          <w:spacing w:val="-139"/>
        </w:rPr>
        <w:t xml:space="preserve"> </w:t>
      </w:r>
      <w:r>
        <w:rPr>
          <w:spacing w:val="57"/>
        </w:rPr>
        <w:t>嵌岩</w:t>
      </w:r>
      <w:r>
        <w:rPr>
          <w:spacing w:val="60"/>
        </w:rPr>
        <w:t>部</w:t>
      </w:r>
      <w:r>
        <w:rPr>
          <w:spacing w:val="57"/>
        </w:rPr>
        <w:t>分采用</w:t>
      </w:r>
      <w:r>
        <w:rPr>
          <w:spacing w:val="60"/>
        </w:rPr>
        <w:t>水</w:t>
      </w:r>
      <w:r>
        <w:rPr>
          <w:spacing w:val="57"/>
        </w:rPr>
        <w:t>磨钻</w:t>
      </w:r>
      <w:r>
        <w:t xml:space="preserve">， </w:t>
      </w:r>
      <w:r>
        <w:rPr>
          <w:spacing w:val="57"/>
        </w:rPr>
        <w:t>循环进</w:t>
      </w:r>
      <w:r>
        <w:rPr>
          <w:spacing w:val="60"/>
        </w:rPr>
        <w:t>行</w:t>
      </w:r>
      <w:r>
        <w:rPr>
          <w:spacing w:val="57"/>
        </w:rPr>
        <w:t>至设</w:t>
      </w:r>
      <w:r>
        <w:rPr>
          <w:spacing w:val="60"/>
        </w:rPr>
        <w:t>计</w:t>
      </w:r>
      <w:r>
        <w:rPr>
          <w:spacing w:val="57"/>
        </w:rPr>
        <w:t>深度</w:t>
      </w:r>
      <w:r>
        <w:rPr>
          <w:spacing w:val="23"/>
        </w:rPr>
        <w:t>）→</w:t>
      </w:r>
      <w:r>
        <w:rPr>
          <w:spacing w:val="57"/>
        </w:rPr>
        <w:t>成孔</w:t>
      </w:r>
      <w:r>
        <w:rPr>
          <w:spacing w:val="60"/>
        </w:rPr>
        <w:t>深</w:t>
      </w:r>
      <w:r>
        <w:rPr>
          <w:spacing w:val="57"/>
        </w:rPr>
        <w:t>度验收</w:t>
      </w:r>
      <w:r>
        <w:t>→</w:t>
      </w:r>
      <w:r>
        <w:rPr>
          <w:spacing w:val="-141"/>
        </w:rPr>
        <w:t xml:space="preserve"> </w:t>
      </w:r>
      <w:r>
        <w:rPr>
          <w:spacing w:val="57"/>
        </w:rPr>
        <w:t>安扎</w:t>
      </w:r>
      <w:r>
        <w:rPr>
          <w:spacing w:val="60"/>
        </w:rPr>
        <w:t>钢</w:t>
      </w:r>
      <w:r>
        <w:rPr>
          <w:spacing w:val="57"/>
        </w:rPr>
        <w:t>筋笼</w:t>
      </w:r>
      <w:r>
        <w:t>→</w:t>
      </w:r>
      <w:r>
        <w:rPr>
          <w:spacing w:val="-143"/>
        </w:rPr>
        <w:t xml:space="preserve"> </w:t>
      </w:r>
      <w:r>
        <w:rPr>
          <w:spacing w:val="60"/>
        </w:rPr>
        <w:t>浇</w:t>
      </w:r>
      <w:r>
        <w:rPr>
          <w:spacing w:val="57"/>
        </w:rPr>
        <w:t>灌桩</w:t>
      </w:r>
      <w:r>
        <w:t>身</w:t>
      </w:r>
      <w:r>
        <w:rPr>
          <w:spacing w:val="57"/>
        </w:rPr>
        <w:t>混凝土</w:t>
      </w:r>
      <w:r>
        <w:t>→</w:t>
      </w:r>
      <w:r>
        <w:rPr>
          <w:spacing w:val="-150"/>
        </w:rPr>
        <w:t xml:space="preserve"> </w:t>
      </w:r>
      <w:r>
        <w:rPr>
          <w:spacing w:val="57"/>
        </w:rPr>
        <w:t>清理</w:t>
      </w:r>
      <w:r>
        <w:rPr>
          <w:spacing w:val="60"/>
        </w:rPr>
        <w:t>扫</w:t>
      </w:r>
      <w:r>
        <w:rPr>
          <w:spacing w:val="57"/>
        </w:rPr>
        <w:t>尾工作</w:t>
      </w:r>
      <w:r>
        <w:t>。</w:t>
      </w:r>
    </w:p>
    <w:p>
      <w:pPr>
        <w:pStyle w:val="Heading3"/>
        <w:spacing w:line="536" w:lineRule="exact"/>
        <w:ind w:left="1257"/>
      </w:pPr>
      <w:bookmarkStart w:id="5" w:name="_TOC_250010"/>
      <w:bookmarkEnd w:id="5"/>
      <w:r>
        <w:rPr>
          <w:spacing w:val="54"/>
        </w:rPr>
        <w:t>二、施工资源及机械配置计划</w:t>
      </w:r>
    </w:p>
    <w:p>
      <w:pPr>
        <w:pStyle w:val="BodyText"/>
        <w:spacing w:before="279"/>
        <w:ind w:left="1254"/>
      </w:pPr>
      <w:r>
        <w:t>1、材料计划</w:t>
      </w:r>
    </w:p>
    <w:p>
      <w:pPr>
        <w:pStyle w:val="BodyText"/>
        <w:spacing w:before="279" w:line="364" w:lineRule="auto"/>
        <w:ind w:left="293" w:right="706" w:firstLine="961"/>
      </w:pPr>
      <w:r>
        <w:rPr>
          <w:spacing w:val="54"/>
        </w:rPr>
        <w:t>工程所有材料由项目经理部依据进度计划及施工图预算工</w:t>
      </w:r>
      <w:r>
        <w:rPr>
          <w:spacing w:val="48"/>
        </w:rPr>
        <w:t>程量自行采购。钢筋原材必须配有质量保证书，试验员对每批次</w:t>
      </w:r>
      <w:r>
        <w:rPr>
          <w:spacing w:val="49"/>
        </w:rPr>
        <w:t>钢筋进行原材料试验；混凝土采用搅拌站集中拌合，并由混凝土</w:t>
      </w:r>
      <w:r>
        <w:rPr>
          <w:spacing w:val="50"/>
        </w:rPr>
        <w:t>罐车运至施工现场。</w:t>
      </w:r>
    </w:p>
    <w:p>
      <w:pPr>
        <w:pStyle w:val="BodyText"/>
        <w:spacing w:line="536" w:lineRule="exact"/>
        <w:ind w:left="1254"/>
      </w:pPr>
      <w:r>
        <w:t>2、施工机械计划</w:t>
      </w:r>
    </w:p>
    <w:p>
      <w:pPr>
        <w:pStyle w:val="BodyText"/>
        <w:spacing w:before="279"/>
        <w:ind w:left="1254"/>
      </w:pPr>
      <w:r>
        <w:rPr>
          <w:spacing w:val="53"/>
        </w:rPr>
        <w:t>施工机械在开工前一周组织进场。</w:t>
      </w:r>
    </w:p>
    <w:p>
      <w:pPr>
        <w:pStyle w:val="Heading2"/>
        <w:tabs>
          <w:tab w:val="left" w:pos="3595"/>
        </w:tabs>
        <w:spacing w:before="235"/>
        <w:ind w:left="1373"/>
        <w:jc w:val="left"/>
        <w:rPr>
          <w:rFonts w:ascii="宋体" w:eastAsia="宋体" w:hint="eastAsia"/>
        </w:rPr>
      </w:pPr>
      <w:bookmarkStart w:id="6" w:name="_TOC_250009"/>
      <w:r>
        <w:rPr>
          <w:rFonts w:ascii="宋体" w:eastAsia="宋体" w:hint="eastAsia"/>
          <w:spacing w:val="61"/>
        </w:rPr>
        <w:t>第四</w:t>
      </w:r>
      <w:r>
        <w:rPr>
          <w:rFonts w:ascii="宋体" w:eastAsia="宋体" w:hint="eastAsia"/>
        </w:rPr>
        <w:t>章</w:t>
        <w:tab/>
      </w:r>
      <w:r>
        <w:rPr>
          <w:rFonts w:ascii="宋体" w:eastAsia="宋体" w:hint="eastAsia"/>
          <w:spacing w:val="61"/>
        </w:rPr>
        <w:t>施工工艺技</w:t>
      </w:r>
      <w:bookmarkEnd w:id="6"/>
      <w:r>
        <w:rPr>
          <w:rFonts w:ascii="宋体" w:eastAsia="宋体" w:hint="eastAsia"/>
        </w:rPr>
        <w:t>术</w:t>
      </w:r>
    </w:p>
    <w:p>
      <w:pPr>
        <w:pStyle w:val="BodyText"/>
        <w:spacing w:before="362"/>
        <w:ind w:left="1254"/>
      </w:pPr>
      <w:r>
        <w:t>— 、施工技术要求</w:t>
      </w:r>
    </w:p>
    <w:p>
      <w:pPr>
        <w:pStyle w:val="BodyText"/>
        <w:spacing w:before="279" w:line="364" w:lineRule="auto"/>
        <w:ind w:left="293" w:right="876" w:firstLine="961"/>
      </w:pPr>
      <w:r>
        <w:t>1、开挖后的桩体断面尺寸不得小于桩身设计断面尺寸加护壁厚度， 且桩体孔型符合设计要求。</w:t>
      </w:r>
    </w:p>
    <w:p>
      <w:pPr>
        <w:pStyle w:val="BodyText"/>
        <w:spacing w:line="364" w:lineRule="auto"/>
        <w:ind w:left="293" w:right="701" w:firstLine="478"/>
      </w:pPr>
      <w:r>
        <w:t>2、桩体须分三序开挖， 及时做好护壁和锁口， 本段内锁口为C30 钢筋混凝土，锁口高出地面 0.2m 。桩体护壁必须严格按照设计图纸要求进行施工，护壁厚度及护壁钢筋数量、布置必须符合设计要求，护壁钢筋搭接必须符合规范要求；桩身混凝土必须连续浇筑， 不得形成水平施工缝；</w:t>
      </w:r>
    </w:p>
    <w:p>
      <w:pPr>
        <w:pStyle w:val="BodyText"/>
        <w:spacing w:line="535" w:lineRule="exact"/>
        <w:ind w:left="771"/>
      </w:pPr>
      <w:r>
        <w:t>3、水泥、钢筋等主要原材料的各项指标必须满足设计规范要</w:t>
      </w:r>
    </w:p>
    <w:p>
      <w:pPr>
        <w:spacing w:after="0" w:line="535" w:lineRule="exact"/>
        <w:sectPr>
          <w:footerReference w:type="default" r:id="rId12"/>
          <w:pgSz w:w="17860" w:h="25260"/>
          <w:pgMar w:top="1300" w:right="1300" w:bottom="2040" w:left="2260" w:header="0" w:footer="1802"/>
          <w:pgNumType w:start="9"/>
          <w:cols w:space="708"/>
        </w:sectPr>
      </w:pPr>
    </w:p>
    <w:p>
      <w:pPr>
        <w:pStyle w:val="BodyText"/>
        <w:spacing w:before="17"/>
        <w:ind w:left="293"/>
      </w:pPr>
      <w:r>
        <w:t>求， 进场复试合格后才可用于本工程； 严禁使用不合格材料；</w:t>
      </w:r>
    </w:p>
    <w:p>
      <w:pPr>
        <w:pStyle w:val="BodyText"/>
        <w:spacing w:before="280" w:line="364" w:lineRule="auto"/>
        <w:ind w:left="293" w:right="869" w:firstLine="478"/>
      </w:pPr>
      <w:r>
        <w:t>4、桩身混凝土浇注、钢筋连接必须满足设计规范要求， 钢筋混凝±强度必须达到设计强度；</w:t>
      </w:r>
    </w:p>
    <w:p>
      <w:pPr>
        <w:pStyle w:val="BodyText"/>
      </w:pPr>
    </w:p>
    <w:p>
      <w:pPr>
        <w:pStyle w:val="BodyText"/>
        <w:spacing w:before="277"/>
        <w:ind w:left="293"/>
      </w:pPr>
      <w:r>
        <w:rPr>
          <w:spacing w:val="52"/>
        </w:rPr>
        <w:t>二、抗滑桩施工的工艺流程：</w:t>
      </w:r>
    </w:p>
    <w:p>
      <w:pPr>
        <w:spacing w:after="0"/>
        <w:sectPr>
          <w:footerReference w:type="default" r:id="rId13"/>
          <w:pgSz w:w="17860" w:h="25260"/>
          <w:pgMar w:top="1300" w:right="1300" w:bottom="2040" w:left="2260" w:header="0" w:footer="1802"/>
          <w:pgNumType w:start="10"/>
          <w:cols w:space="708"/>
        </w:sectPr>
      </w:pPr>
    </w:p>
    <w:p>
      <w:pPr>
        <w:pStyle w:val="BodyText"/>
        <w:ind w:left="560"/>
        <w:rPr>
          <w:sz w:val="20"/>
        </w:rPr>
      </w:pPr>
      <w:r>
        <w:rPr>
          <w:sz w:val="20"/>
        </w:rPr>
        <w:pict>
          <v:group id="_x0000_i1025" style="width:582pt;height:598pt;mso-position-horizontal-relative:char;mso-position-vertical-relative:line" coordorigin="0,0" coordsize="11640,11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1640;height:11960;position:absolute" stroked="f">
              <v:imagedata r:id="rId1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288;height:317;left:5314;position:absolute;top:20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测量放样</w:t>
                    </w:r>
                  </w:p>
                </w:txbxContent>
              </v:textbox>
            </v:shape>
            <v:shape id="_x0000_s1028" type="#_x0000_t202" style="width:971;height:1134;left:1144;position:absolute;top:90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平场地</w:t>
                    </w:r>
                  </w:p>
                  <w:p>
                    <w:pPr>
                      <w:spacing w:before="10" w:line="400" w:lineRule="atLeast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7"/>
                        <w:sz w:val="31"/>
                      </w:rPr>
                      <w:t>截排水清刷坡</w:t>
                    </w:r>
                  </w:p>
                </w:txbxContent>
              </v:textbox>
            </v:shape>
            <v:shape id="_x0000_s1029" type="#_x0000_t202" style="width:1288;height:317;left:5310;position:absolute;top:137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施工准备</w:t>
                    </w:r>
                  </w:p>
                </w:txbxContent>
              </v:textbox>
            </v:shape>
            <v:shape id="_x0000_s1030" type="#_x0000_t202" style="width:2555;height:836;left:8730;position:absolute;top:907" filled="f" stroked="f">
              <v:textbox inset="0,0,0,0">
                <w:txbxContent>
                  <w:p>
                    <w:pPr>
                      <w:spacing w:before="0" w:line="320" w:lineRule="exact"/>
                      <w:ind w:left="8" w:right="26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安扒杆井架及卷扬</w:t>
                    </w:r>
                  </w:p>
                  <w:p>
                    <w:pPr>
                      <w:spacing w:before="0" w:line="515" w:lineRule="exact"/>
                      <w:ind w:left="5" w:right="26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机</w:t>
                    </w:r>
                    <w:r>
                      <w:rPr>
                        <w:position w:val="9"/>
                        <w:sz w:val="42"/>
                      </w:rPr>
                      <w:t>及</w:t>
                    </w:r>
                    <w:r>
                      <w:rPr>
                        <w:sz w:val="31"/>
                      </w:rPr>
                      <w:t>通风设备</w:t>
                    </w:r>
                  </w:p>
                </w:txbxContent>
              </v:textbox>
            </v:shape>
            <v:shape id="_x0000_s1031" type="#_x0000_t202" style="width:1288;height:317;left:5310;position:absolute;top:254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桩身开挖</w:t>
                    </w:r>
                  </w:p>
                </w:txbxContent>
              </v:textbox>
            </v:shape>
            <v:shape id="_x0000_s1032" type="#_x0000_t202" style="width:654;height:317;left:5627;position:absolute;top:348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出渣</w:t>
                    </w:r>
                  </w:p>
                </w:txbxContent>
              </v:textbox>
            </v:shape>
            <v:shape id="_x0000_s1033" type="#_x0000_t202" style="width:337;height:1545;left:1597;position:absolute;top:465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井</w:t>
                    </w:r>
                  </w:p>
                  <w:p>
                    <w:pPr>
                      <w:spacing w:before="13" w:line="244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内排</w:t>
                    </w:r>
                  </w:p>
                  <w:p>
                    <w:pPr>
                      <w:spacing w:before="7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水</w:t>
                    </w:r>
                  </w:p>
                </w:txbxContent>
              </v:textbox>
            </v:shape>
            <v:shape id="_x0000_s1034" type="#_x0000_t202" style="width:2555;height:728;left:4684;position:absolute;top:4651" filled="f" stroked="f">
              <v:textbox inset="0,0,0,0">
                <w:txbxContent>
                  <w:p>
                    <w:pPr>
                      <w:spacing w:before="0" w:line="359" w:lineRule="exact"/>
                      <w:ind w:left="8" w:right="26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检查井壁绘地质展</w:t>
                    </w:r>
                  </w:p>
                  <w:p>
                    <w:pPr>
                      <w:spacing w:before="13" w:line="355" w:lineRule="exact"/>
                      <w:ind w:left="0" w:right="32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示</w:t>
                    </w:r>
                  </w:p>
                </w:txbxContent>
              </v:textbox>
            </v:shape>
            <v:shape id="_x0000_s1035" type="#_x0000_t202" style="width:337;height:2363;left:9681;position:absolute;top:4417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井</w:t>
                    </w:r>
                  </w:p>
                  <w:p>
                    <w:pPr>
                      <w:spacing w:before="13" w:line="247" w:lineRule="auto"/>
                      <w:ind w:left="0" w:right="18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内通风照</w:t>
                    </w:r>
                  </w:p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明</w:t>
                    </w:r>
                  </w:p>
                </w:txbxContent>
              </v:textbox>
            </v:shape>
            <v:shape id="_x0000_s1036" type="#_x0000_t202" style="width:1921;height:317;left:4997;position:absolute;top:675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绑扎护壁钢筋</w:t>
                    </w:r>
                  </w:p>
                </w:txbxContent>
              </v:textbox>
            </v:shape>
            <v:shape id="_x0000_s1037" type="#_x0000_t202" style="width:1288;height:317;left:5310;position:absolute;top:792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护壁立模</w:t>
                    </w:r>
                  </w:p>
                </w:txbxContent>
              </v:textbox>
            </v:shape>
            <v:shape id="_x0000_s1038" type="#_x0000_t202" style="width:1604;height:317;left:5151;position:absolute;top:909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灌浆护壁砼</w:t>
                    </w:r>
                  </w:p>
                </w:txbxContent>
              </v:textbox>
            </v:shape>
            <v:shape id="_x0000_s1039" type="#_x0000_t202" style="width:654;height:317;left:5627;position:absolute;top:102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拆模</w:t>
                    </w:r>
                  </w:p>
                </w:txbxContent>
              </v:textbox>
            </v:shape>
            <v:shape id="_x0000_s1040" type="#_x0000_t202" style="width:1288;height:317;left:5310;position:absolute;top:1143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桩底达标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0"/>
        </w:rPr>
      </w:pPr>
      <w:r>
        <w:pict>
          <v:group id="_x0000_s1041" style="width:344pt;height:270pt;margin-top:8.81pt;margin-left:300pt;mso-position-horizontal-relative:page;mso-wrap-distance-left:0;mso-wrap-distance-right:0;position:absolute;z-index:-251658240" coordorigin="6000,176" coordsize="6880,5400">
            <v:shape id="_x0000_s1042" type="#_x0000_t75" style="width:6880;height:5400;left:6000;position:absolute;top:176" stroked="f">
              <v:imagedata r:id="rId15" o:title=""/>
            </v:shape>
            <v:shape id="_x0000_s1043" type="#_x0000_t202" style="width:3822;height:317;left:6247;position:absolute;top:38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钢筋制作与井下安装钢筋笼</w:t>
                    </w:r>
                  </w:p>
                </w:txbxContent>
              </v:textbox>
            </v:shape>
            <v:shape id="_x0000_s1044" type="#_x0000_t202" style="width:1288;height:317;left:7637;position:absolute;top:155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配料拌和</w:t>
                    </w:r>
                  </w:p>
                </w:txbxContent>
              </v:textbox>
            </v:shape>
            <v:shape id="_x0000_s1045" type="#_x0000_t202" style="width:1604;height:317;left:7478;position:absolute;top:272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灌注桩身砼</w:t>
                    </w:r>
                  </w:p>
                </w:txbxContent>
              </v:textbox>
            </v:shape>
            <v:shape id="_x0000_s1046" type="#_x0000_t202" style="width:1288;height:317;left:11010;position:absolute;top:272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制取试件</w:t>
                    </w:r>
                  </w:p>
                </w:txbxContent>
              </v:textbox>
            </v:shape>
            <v:shape id="_x0000_s1047" type="#_x0000_t202" style="width:654;height:317;left:7954;position:absolute;top:389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成桩</w:t>
                    </w:r>
                  </w:p>
                </w:txbxContent>
              </v:textbox>
            </v:shape>
            <v:shape id="_x0000_s1048" type="#_x0000_t202" style="width:1921;height:317;left:7165;position:absolute;top:506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清理扫尾工作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0"/>
        </w:rPr>
        <w:sectPr>
          <w:footerReference w:type="default" r:id="rId16"/>
          <w:pgSz w:w="17860" w:h="25260"/>
          <w:pgMar w:top="1380" w:right="1300" w:bottom="2040" w:left="2260" w:header="0" w:footer="1802"/>
          <w:pgNumType w:start="11"/>
          <w:cols w:space="708"/>
        </w:sectPr>
      </w:pPr>
    </w:p>
    <w:p>
      <w:pPr>
        <w:pStyle w:val="Heading3"/>
        <w:spacing w:before="17"/>
      </w:pPr>
      <w:bookmarkStart w:id="7" w:name="_TOC_250008"/>
      <w:bookmarkEnd w:id="7"/>
      <w:r>
        <w:t>三、施工方法</w:t>
      </w:r>
    </w:p>
    <w:p>
      <w:pPr>
        <w:spacing w:before="280"/>
        <w:ind w:left="293" w:right="0" w:firstLine="0"/>
        <w:jc w:val="left"/>
        <w:rPr>
          <w:b/>
          <w:sz w:val="42"/>
        </w:rPr>
      </w:pPr>
      <w:bookmarkStart w:id="8" w:name="_TOC_250007"/>
      <w:bookmarkEnd w:id="8"/>
      <w:r>
        <w:rPr>
          <w:b/>
          <w:sz w:val="42"/>
        </w:rPr>
        <w:t>1、施工准备</w:t>
      </w:r>
    </w:p>
    <w:p>
      <w:pPr>
        <w:pStyle w:val="BodyText"/>
        <w:spacing w:before="279" w:line="364" w:lineRule="auto"/>
        <w:ind w:left="293" w:right="636" w:firstLine="961"/>
        <w:jc w:val="both"/>
      </w:pPr>
      <w:r>
        <w:t>项目部技术人员对现场情况进行实地踏勘， 认真研究施工图设计的各项技术指标与设计意图， 并结合挖孔桩施工工艺， 对设计疑问进行了详细的整理。</w:t>
      </w:r>
    </w:p>
    <w:p>
      <w:pPr>
        <w:pStyle w:val="BodyText"/>
        <w:spacing w:line="364" w:lineRule="auto"/>
        <w:ind w:left="293" w:right="697" w:firstLine="961"/>
        <w:jc w:val="both"/>
      </w:pPr>
      <w:r>
        <w:rPr>
          <w:spacing w:val="51"/>
        </w:rPr>
        <w:t>在桩孔开挖前需对边坡及台地的地表裂缝进行封闭处理，防</w:t>
      </w:r>
      <w:r>
        <w:rPr>
          <w:spacing w:val="49"/>
        </w:rPr>
        <w:t>止地表水下渗而影响孔壁稳固；然后对桩位区域的场地进行平整</w:t>
      </w:r>
      <w:r>
        <w:rPr>
          <w:spacing w:val="48"/>
        </w:rPr>
        <w:t>清理，平整高程以相应的桩顶标高为准，同时沿拟建道路及抗滑</w:t>
      </w:r>
      <w:r>
        <w:rPr>
          <w:spacing w:val="32"/>
        </w:rPr>
        <w:t>桩的走向， 靠近道路内侧平整出施工场地， 以便修筑施工道。</w:t>
      </w:r>
    </w:p>
    <w:p>
      <w:pPr>
        <w:pStyle w:val="Heading3"/>
        <w:spacing w:line="536" w:lineRule="exact"/>
        <w:ind w:left="1257"/>
      </w:pPr>
      <w:bookmarkStart w:id="9" w:name="_TOC_250006"/>
      <w:bookmarkEnd w:id="9"/>
      <w:r>
        <w:t>2、测量放样</w:t>
      </w:r>
    </w:p>
    <w:p>
      <w:pPr>
        <w:pStyle w:val="BodyText"/>
        <w:spacing w:before="277" w:line="364" w:lineRule="auto"/>
        <w:ind w:left="293" w:right="699" w:firstLine="961"/>
        <w:jc w:val="both"/>
      </w:pPr>
      <w:r>
        <w:t>按照设计的桩位进行施工放样。依据设计坐标，用全站仪放出一序桩孔的开挖线，定出桩位、设十字护桩，并引至挖孔范围以外， 以备施工中校核桩位。</w:t>
      </w:r>
    </w:p>
    <w:p>
      <w:pPr>
        <w:pStyle w:val="Heading3"/>
        <w:spacing w:line="536" w:lineRule="exact"/>
        <w:ind w:left="1257"/>
      </w:pPr>
      <w:bookmarkStart w:id="10" w:name="_TOC_250005"/>
      <w:bookmarkEnd w:id="10"/>
      <w:r>
        <w:t>3、桩孔开挖</w:t>
      </w:r>
    </w:p>
    <w:p>
      <w:pPr>
        <w:pStyle w:val="BodyText"/>
        <w:spacing w:before="279"/>
        <w:ind w:left="1254"/>
      </w:pPr>
      <w:r>
        <w:rPr>
          <w:spacing w:val="45"/>
        </w:rPr>
        <w:t xml:space="preserve">先将边坡开挖至桩顶高程，再按设计跳挖开挖方式分 </w:t>
      </w:r>
      <w:r>
        <w:t>3</w:t>
      </w:r>
      <w:r>
        <w:rPr>
          <w:spacing w:val="4"/>
        </w:rPr>
        <w:t xml:space="preserve"> 序依</w:t>
      </w:r>
    </w:p>
    <w:p>
      <w:pPr>
        <w:pStyle w:val="BodyText"/>
        <w:spacing w:before="279"/>
        <w:ind w:left="293"/>
        <w:jc w:val="both"/>
      </w:pPr>
      <w:r>
        <w:rPr>
          <w:spacing w:val="44"/>
        </w:rPr>
        <w:t xml:space="preserve">次进行开挖。当井口土石方开挖 </w:t>
      </w:r>
      <w:r>
        <w:t>0.8</w:t>
      </w:r>
      <w:r>
        <w:rPr>
          <w:spacing w:val="45"/>
        </w:rPr>
        <w:t xml:space="preserve"> 米后，根据设计的锁口尺寸</w:t>
      </w:r>
    </w:p>
    <w:p>
      <w:pPr>
        <w:pStyle w:val="BodyText"/>
        <w:spacing w:before="279" w:line="364" w:lineRule="auto"/>
        <w:ind w:left="293" w:right="697"/>
        <w:jc w:val="both"/>
      </w:pPr>
      <w:r>
        <w:t>在原地面下挖 0.2 米，然后进行护壁和锁口钢筋的制作并及时进行模板安装，在井口模板的支护过程中用全站仪对其位置及桩口方正进行校核。井口浇注完毕后，立即将桩心十字轴线及标高投测到锁口护壁砼上，作为桩孔施工的桩心、垂直度、深度控制的依据。同时要在井口四周挖好排水沟，设置地表截、排水及防渗设施；雨季施工期间，应搭设雨棚。备 好井下排水、通风、照明设备。</w:t>
      </w:r>
    </w:p>
    <w:p>
      <w:pPr>
        <w:pStyle w:val="BodyText"/>
        <w:spacing w:line="364" w:lineRule="auto"/>
        <w:ind w:left="293" w:right="693" w:firstLine="961"/>
        <w:jc w:val="both"/>
      </w:pPr>
      <w:r>
        <w:rPr>
          <w:spacing w:val="50"/>
        </w:rPr>
        <w:t>本项工程拟采用斜三角架配合固定卷扬机提升装置，提升设</w:t>
      </w:r>
      <w:r>
        <w:rPr>
          <w:spacing w:val="43"/>
        </w:rPr>
        <w:t xml:space="preserve">备必须有自锁装置。待井口混凝土强度达到 </w:t>
      </w:r>
      <w:r>
        <w:t>70</w:t>
      </w:r>
      <w:r>
        <w:rPr>
          <w:spacing w:val="-5"/>
        </w:rPr>
        <w:t xml:space="preserve"> ％ 后，方可进行提</w:t>
      </w:r>
      <w:r>
        <w:rPr>
          <w:spacing w:val="48"/>
        </w:rPr>
        <w:t>升设施的安装。本工程地质条件复杂，按照设计要求，避免采用</w:t>
      </w:r>
    </w:p>
    <w:p>
      <w:pPr>
        <w:spacing w:after="0" w:line="364" w:lineRule="auto"/>
        <w:jc w:val="both"/>
        <w:sectPr>
          <w:footerReference w:type="default" r:id="rId17"/>
          <w:pgSz w:w="17860" w:h="25260"/>
          <w:pgMar w:top="1300" w:right="1300" w:bottom="2040" w:left="2260" w:header="0" w:footer="1802"/>
          <w:pgNumType w:start="12"/>
          <w:cols w:space="708"/>
        </w:sectPr>
      </w:pPr>
    </w:p>
    <w:p>
      <w:pPr>
        <w:pStyle w:val="BodyText"/>
        <w:spacing w:before="17" w:line="364" w:lineRule="auto"/>
        <w:ind w:left="293" w:right="633"/>
      </w:pPr>
      <w:r>
        <w:t>爆破方式。所以项目部拟定桩内土石方的开挖主要采用机械配合人工的方式， 辅以电动或气动工具和抽水机械。具体操作如下：</w:t>
      </w:r>
    </w:p>
    <w:p>
      <w:pPr>
        <w:pStyle w:val="BodyText"/>
        <w:tabs>
          <w:tab w:val="left" w:pos="12362"/>
        </w:tabs>
        <w:spacing w:line="364" w:lineRule="auto"/>
        <w:ind w:left="293" w:right="307" w:firstLine="961"/>
      </w:pPr>
      <w:r>
        <w:t>⑴</w:t>
      </w:r>
      <w:r>
        <w:rPr>
          <w:spacing w:val="-146"/>
        </w:rPr>
        <w:t xml:space="preserve"> </w:t>
      </w:r>
      <w:r>
        <w:rPr>
          <w:spacing w:val="60"/>
        </w:rPr>
        <w:t>土方开挖主</w:t>
      </w:r>
      <w:r>
        <w:rPr>
          <w:spacing w:val="64"/>
        </w:rPr>
        <w:t>要</w:t>
      </w:r>
      <w:r>
        <w:rPr>
          <w:spacing w:val="60"/>
        </w:rPr>
        <w:t>采用人工开挖</w:t>
      </w:r>
      <w:r>
        <w:t>，</w:t>
      </w:r>
      <w:r>
        <w:rPr>
          <w:spacing w:val="-142"/>
        </w:rPr>
        <w:t xml:space="preserve"> </w:t>
      </w:r>
      <w:r>
        <w:rPr>
          <w:spacing w:val="60"/>
        </w:rPr>
        <w:t>辅以风镐风钻</w:t>
      </w:r>
      <w:r>
        <w:t>，</w:t>
      </w:r>
      <w:r>
        <w:rPr>
          <w:spacing w:val="-142"/>
        </w:rPr>
        <w:t xml:space="preserve"> </w:t>
      </w:r>
      <w:r>
        <w:rPr>
          <w:spacing w:val="60"/>
        </w:rPr>
        <w:t>先中间后</w:t>
      </w:r>
      <w:r>
        <w:t>周</w:t>
      </w:r>
      <w:r>
        <w:rPr>
          <w:spacing w:val="60"/>
        </w:rPr>
        <w:t>边</w:t>
      </w:r>
      <w:r>
        <w:t>，</w:t>
      </w:r>
      <w:r>
        <w:rPr>
          <w:spacing w:val="-145"/>
        </w:rPr>
        <w:t xml:space="preserve"> </w:t>
      </w:r>
      <w:r>
        <w:rPr>
          <w:spacing w:val="60"/>
        </w:rPr>
        <w:t>每节护壁</w:t>
      </w:r>
      <w:r>
        <w:rPr>
          <w:spacing w:val="64"/>
        </w:rPr>
        <w:t>均</w:t>
      </w:r>
      <w:r>
        <w:rPr>
          <w:spacing w:val="60"/>
        </w:rPr>
        <w:t>应检查中心点</w:t>
      </w:r>
      <w:r>
        <w:rPr>
          <w:spacing w:val="64"/>
        </w:rPr>
        <w:t>及</w:t>
      </w:r>
      <w:r>
        <w:rPr>
          <w:spacing w:val="60"/>
        </w:rPr>
        <w:t>几何尺寸</w:t>
      </w:r>
      <w:r>
        <w:t>，</w:t>
      </w:r>
      <w:r>
        <w:rPr>
          <w:spacing w:val="-145"/>
        </w:rPr>
        <w:t xml:space="preserve"> </w:t>
      </w:r>
      <w:r>
        <w:rPr>
          <w:spacing w:val="60"/>
        </w:rPr>
        <w:t>合</w:t>
      </w:r>
      <w:r>
        <w:rPr>
          <w:spacing w:val="64"/>
        </w:rPr>
        <w:t>格</w:t>
      </w:r>
      <w:r>
        <w:rPr>
          <w:spacing w:val="60"/>
        </w:rPr>
        <w:t>后才能进行下</w:t>
      </w:r>
      <w:r>
        <w:t>道</w:t>
      </w:r>
      <w:r>
        <w:rPr>
          <w:spacing w:val="61"/>
        </w:rPr>
        <w:t>工作。</w:t>
      </w:r>
      <w:r>
        <w:rPr>
          <w:color w:val="FF0000"/>
          <w:spacing w:val="60"/>
        </w:rPr>
        <w:t>为保证</w:t>
      </w:r>
      <w:r>
        <w:rPr>
          <w:color w:val="FF0000"/>
          <w:spacing w:val="64"/>
        </w:rPr>
        <w:t>施</w:t>
      </w:r>
      <w:r>
        <w:rPr>
          <w:color w:val="FF0000"/>
          <w:spacing w:val="60"/>
        </w:rPr>
        <w:t>工安全</w:t>
      </w:r>
      <w:r>
        <w:rPr>
          <w:color w:val="FF0000"/>
        </w:rPr>
        <w:t>，</w:t>
      </w:r>
      <w:r>
        <w:rPr>
          <w:color w:val="FF0000"/>
          <w:spacing w:val="-148"/>
        </w:rPr>
        <w:t xml:space="preserve"> </w:t>
      </w:r>
      <w:r>
        <w:rPr>
          <w:color w:val="FF0000"/>
          <w:spacing w:val="60"/>
        </w:rPr>
        <w:t>每开</w:t>
      </w:r>
      <w:r>
        <w:rPr>
          <w:color w:val="FF0000"/>
          <w:spacing w:val="64"/>
        </w:rPr>
        <w:t>挖</w:t>
      </w:r>
      <w:r>
        <w:rPr>
          <w:color w:val="FF0000"/>
          <w:spacing w:val="60"/>
        </w:rPr>
        <w:t>下节桩孔前</w:t>
      </w:r>
      <w:r>
        <w:rPr>
          <w:color w:val="FF0000"/>
        </w:rPr>
        <w:t>，</w:t>
      </w:r>
      <w:r>
        <w:rPr>
          <w:color w:val="FF0000"/>
          <w:spacing w:val="-148"/>
        </w:rPr>
        <w:t xml:space="preserve"> </w:t>
      </w:r>
      <w:r>
        <w:rPr>
          <w:color w:val="FF0000"/>
          <w:spacing w:val="64"/>
        </w:rPr>
        <w:t>应</w:t>
      </w:r>
      <w:r>
        <w:rPr>
          <w:color w:val="FF0000"/>
        </w:rPr>
        <w:t>用</w:t>
      </w:r>
      <w:r>
        <w:rPr>
          <w:color w:val="FF0000"/>
          <w:spacing w:val="113"/>
        </w:rPr>
        <w:t xml:space="preserve"> </w:t>
      </w:r>
      <w:r>
        <w:rPr>
          <w:color w:val="FF0000"/>
        </w:rPr>
        <w:t>1.2m</w:t>
        <w:tab/>
      </w:r>
      <w:r>
        <w:rPr>
          <w:color w:val="FF0000"/>
          <w:spacing w:val="61"/>
        </w:rPr>
        <w:t>长直</w:t>
      </w:r>
      <w:r>
        <w:rPr>
          <w:color w:val="FF0000"/>
        </w:rPr>
        <w:t>径20mm</w:t>
      </w:r>
      <w:r>
        <w:rPr>
          <w:color w:val="FF0000"/>
          <w:spacing w:val="63"/>
        </w:rPr>
        <w:t xml:space="preserve"> </w:t>
      </w:r>
      <w:r>
        <w:rPr>
          <w:color w:val="FF0000"/>
          <w:spacing w:val="57"/>
        </w:rPr>
        <w:t>的钢筋打</w:t>
      </w:r>
      <w:r>
        <w:rPr>
          <w:color w:val="FF0000"/>
          <w:spacing w:val="60"/>
        </w:rPr>
        <w:t>入</w:t>
      </w:r>
      <w:r>
        <w:rPr>
          <w:color w:val="FF0000"/>
          <w:spacing w:val="57"/>
        </w:rPr>
        <w:t>土</w:t>
      </w:r>
      <w:r>
        <w:rPr>
          <w:color w:val="FF0000"/>
          <w:spacing w:val="60"/>
        </w:rPr>
        <w:t>中</w:t>
      </w:r>
      <w:r>
        <w:rPr>
          <w:color w:val="FF0000"/>
        </w:rPr>
        <w:t>，</w:t>
      </w:r>
      <w:r>
        <w:rPr>
          <w:color w:val="FF0000"/>
          <w:spacing w:val="17"/>
        </w:rPr>
        <w:t>测</w:t>
      </w:r>
      <w:r>
        <w:rPr>
          <w:color w:val="FF0000"/>
          <w:spacing w:val="60"/>
        </w:rPr>
        <w:t>试</w:t>
      </w:r>
      <w:r>
        <w:rPr>
          <w:color w:val="FF0000"/>
          <w:spacing w:val="57"/>
        </w:rPr>
        <w:t>是</w:t>
      </w:r>
      <w:r>
        <w:rPr>
          <w:color w:val="FF0000"/>
          <w:spacing w:val="60"/>
        </w:rPr>
        <w:t>否</w:t>
      </w:r>
      <w:r>
        <w:rPr>
          <w:color w:val="FF0000"/>
          <w:spacing w:val="57"/>
        </w:rPr>
        <w:t>有流</w:t>
      </w:r>
      <w:r>
        <w:rPr>
          <w:color w:val="FF0000"/>
          <w:spacing w:val="60"/>
        </w:rPr>
        <w:t>砂</w:t>
      </w:r>
      <w:r>
        <w:rPr>
          <w:color w:val="FF0000"/>
        </w:rPr>
        <w:t>、</w:t>
      </w:r>
      <w:r>
        <w:rPr>
          <w:color w:val="FF0000"/>
          <w:spacing w:val="21"/>
        </w:rPr>
        <w:t>淤</w:t>
      </w:r>
      <w:r>
        <w:rPr>
          <w:color w:val="FF0000"/>
          <w:spacing w:val="57"/>
        </w:rPr>
        <w:t>泥</w:t>
      </w:r>
      <w:r>
        <w:rPr>
          <w:color w:val="FF0000"/>
          <w:spacing w:val="60"/>
        </w:rPr>
        <w:t>出</w:t>
      </w:r>
      <w:r>
        <w:rPr>
          <w:color w:val="FF0000"/>
          <w:spacing w:val="57"/>
        </w:rPr>
        <w:t>现</w:t>
      </w:r>
      <w:r>
        <w:rPr>
          <w:color w:val="FF0000"/>
        </w:rPr>
        <w:t>，</w:t>
      </w:r>
      <w:r>
        <w:rPr>
          <w:color w:val="FF0000"/>
          <w:spacing w:val="21"/>
        </w:rPr>
        <w:t>遇</w:t>
      </w:r>
      <w:r>
        <w:rPr>
          <w:color w:val="FF0000"/>
          <w:spacing w:val="57"/>
        </w:rPr>
        <w:t>到</w:t>
      </w:r>
      <w:r>
        <w:rPr>
          <w:color w:val="FF0000"/>
          <w:spacing w:val="60"/>
        </w:rPr>
        <w:t>砂</w:t>
      </w:r>
      <w:r>
        <w:rPr>
          <w:color w:val="FF0000"/>
          <w:spacing w:val="57"/>
        </w:rPr>
        <w:t>层</w:t>
      </w:r>
      <w:r>
        <w:rPr>
          <w:color w:val="FF0000"/>
          <w:spacing w:val="60"/>
        </w:rPr>
        <w:t>时</w:t>
      </w:r>
      <w:r>
        <w:rPr>
          <w:color w:val="FF0000"/>
        </w:rPr>
        <w:t xml:space="preserve">， </w:t>
      </w:r>
      <w:r>
        <w:rPr>
          <w:color w:val="FF0000"/>
          <w:spacing w:val="57"/>
        </w:rPr>
        <w:t>每节挖</w:t>
      </w:r>
      <w:r>
        <w:rPr>
          <w:color w:val="FF0000"/>
          <w:spacing w:val="60"/>
        </w:rPr>
        <w:t>深</w:t>
      </w:r>
      <w:r>
        <w:rPr>
          <w:color w:val="FF0000"/>
          <w:spacing w:val="57"/>
        </w:rPr>
        <w:t>可</w:t>
      </w:r>
      <w:r>
        <w:rPr>
          <w:color w:val="FF0000"/>
          <w:spacing w:val="60"/>
        </w:rPr>
        <w:t>降</w:t>
      </w:r>
      <w:r>
        <w:rPr>
          <w:color w:val="FF0000"/>
        </w:rPr>
        <w:t>到</w:t>
      </w:r>
      <w:r>
        <w:rPr>
          <w:color w:val="FF0000"/>
          <w:spacing w:val="43"/>
        </w:rPr>
        <w:t xml:space="preserve"> </w:t>
      </w:r>
      <w:r>
        <w:rPr>
          <w:color w:val="FF0000"/>
        </w:rPr>
        <w:t>0.5m</w:t>
      </w:r>
      <w:r>
        <w:rPr>
          <w:color w:val="FF0000"/>
          <w:spacing w:val="-85"/>
        </w:rPr>
        <w:t xml:space="preserve"> </w:t>
      </w:r>
      <w:r>
        <w:rPr>
          <w:color w:val="FF0000"/>
        </w:rPr>
        <w:t>；</w:t>
      </w:r>
      <w:r>
        <w:rPr>
          <w:color w:val="FF0000"/>
          <w:spacing w:val="-151"/>
        </w:rPr>
        <w:t xml:space="preserve"> </w:t>
      </w:r>
      <w:r>
        <w:rPr>
          <w:color w:val="FF0000"/>
          <w:spacing w:val="57"/>
        </w:rPr>
        <w:t>挖深超</w:t>
      </w:r>
      <w:r>
        <w:rPr>
          <w:color w:val="FF0000"/>
        </w:rPr>
        <w:t>过</w:t>
      </w:r>
      <w:r>
        <w:rPr>
          <w:color w:val="FF0000"/>
          <w:spacing w:val="41"/>
        </w:rPr>
        <w:t xml:space="preserve"> </w:t>
      </w:r>
      <w:r>
        <w:rPr>
          <w:color w:val="FF0000"/>
        </w:rPr>
        <w:t>6m</w:t>
      </w:r>
      <w:r>
        <w:rPr>
          <w:color w:val="FF0000"/>
          <w:spacing w:val="41"/>
        </w:rPr>
        <w:t xml:space="preserve"> </w:t>
      </w:r>
      <w:r>
        <w:rPr>
          <w:color w:val="FF0000"/>
          <w:spacing w:val="57"/>
        </w:rPr>
        <w:t>后</w:t>
      </w:r>
      <w:r>
        <w:rPr>
          <w:color w:val="FF0000"/>
        </w:rPr>
        <w:t>，</w:t>
      </w:r>
      <w:r>
        <w:rPr>
          <w:color w:val="FF0000"/>
          <w:spacing w:val="-152"/>
        </w:rPr>
        <w:t xml:space="preserve"> </w:t>
      </w:r>
      <w:r>
        <w:rPr>
          <w:color w:val="FF0000"/>
          <w:spacing w:val="57"/>
        </w:rPr>
        <w:t>要用</w:t>
      </w:r>
      <w:r>
        <w:rPr>
          <w:color w:val="FF0000"/>
          <w:spacing w:val="60"/>
        </w:rPr>
        <w:t>鼓风</w:t>
      </w:r>
      <w:r>
        <w:rPr>
          <w:color w:val="FF0000"/>
          <w:spacing w:val="57"/>
        </w:rPr>
        <w:t>机连续</w:t>
      </w:r>
      <w:r>
        <w:rPr>
          <w:color w:val="FF0000"/>
          <w:spacing w:val="60"/>
        </w:rPr>
        <w:t>向</w:t>
      </w:r>
      <w:r>
        <w:rPr>
          <w:color w:val="FF0000"/>
          <w:spacing w:val="57"/>
        </w:rPr>
        <w:t>孔</w:t>
      </w:r>
      <w:r>
        <w:rPr>
          <w:color w:val="FF0000"/>
        </w:rPr>
        <w:t>内</w:t>
      </w:r>
      <w:r>
        <w:rPr>
          <w:color w:val="FF0000"/>
          <w:spacing w:val="57"/>
        </w:rPr>
        <w:t>送风</w:t>
      </w:r>
      <w:r>
        <w:rPr>
          <w:color w:val="FF0000"/>
        </w:rPr>
        <w:t>，</w:t>
      </w:r>
      <w:r>
        <w:rPr>
          <w:color w:val="FF0000"/>
          <w:spacing w:val="60"/>
        </w:rPr>
        <w:t>风管</w:t>
      </w:r>
      <w:r>
        <w:rPr>
          <w:color w:val="FF0000"/>
          <w:spacing w:val="57"/>
        </w:rPr>
        <w:t>口</w:t>
      </w:r>
      <w:r>
        <w:rPr>
          <w:color w:val="FF0000"/>
          <w:spacing w:val="60"/>
        </w:rPr>
        <w:t>要</w:t>
      </w:r>
      <w:r>
        <w:rPr>
          <w:color w:val="FF0000"/>
          <w:spacing w:val="57"/>
        </w:rPr>
        <w:t>求距</w:t>
      </w:r>
      <w:r>
        <w:rPr>
          <w:color w:val="FF0000"/>
          <w:spacing w:val="60"/>
        </w:rPr>
        <w:t>孔</w:t>
      </w:r>
      <w:r>
        <w:rPr>
          <w:color w:val="FF0000"/>
        </w:rPr>
        <w:t>底</w:t>
      </w:r>
      <w:r>
        <w:rPr>
          <w:color w:val="FF0000"/>
          <w:spacing w:val="-19"/>
        </w:rPr>
        <w:t xml:space="preserve"> </w:t>
      </w:r>
      <w:r>
        <w:rPr>
          <w:color w:val="FF0000"/>
        </w:rPr>
        <w:t>1m</w:t>
      </w:r>
      <w:r>
        <w:rPr>
          <w:color w:val="FF0000"/>
          <w:spacing w:val="-18"/>
        </w:rPr>
        <w:t xml:space="preserve"> </w:t>
      </w:r>
      <w:r>
        <w:rPr>
          <w:color w:val="FF0000"/>
          <w:spacing w:val="57"/>
        </w:rPr>
        <w:t>左</w:t>
      </w:r>
      <w:r>
        <w:rPr>
          <w:color w:val="FF0000"/>
          <w:spacing w:val="60"/>
        </w:rPr>
        <w:t>右</w:t>
      </w:r>
      <w:r>
        <w:rPr>
          <w:color w:val="FF0000"/>
        </w:rPr>
        <w:t>，</w:t>
      </w:r>
      <w:r>
        <w:rPr>
          <w:color w:val="FF0000"/>
          <w:spacing w:val="60"/>
        </w:rPr>
        <w:t>孔</w:t>
      </w:r>
      <w:r>
        <w:rPr>
          <w:color w:val="FF0000"/>
          <w:spacing w:val="57"/>
        </w:rPr>
        <w:t>内照</w:t>
      </w:r>
      <w:r>
        <w:rPr>
          <w:color w:val="FF0000"/>
          <w:spacing w:val="60"/>
        </w:rPr>
        <w:t>明</w:t>
      </w:r>
      <w:r>
        <w:rPr>
          <w:color w:val="FF0000"/>
          <w:spacing w:val="57"/>
        </w:rPr>
        <w:t>采</w:t>
      </w:r>
      <w:r>
        <w:rPr>
          <w:color w:val="FF0000"/>
          <w:spacing w:val="60"/>
        </w:rPr>
        <w:t>用</w:t>
      </w:r>
      <w:r>
        <w:rPr>
          <w:color w:val="FF0000"/>
          <w:spacing w:val="57"/>
        </w:rPr>
        <w:t>低压电</w:t>
      </w:r>
      <w:r>
        <w:rPr>
          <w:color w:val="FF0000"/>
        </w:rPr>
        <w:t>源（</w:t>
      </w:r>
      <w:r>
        <w:rPr>
          <w:color w:val="FF0000"/>
          <w:spacing w:val="-139"/>
        </w:rPr>
        <w:t xml:space="preserve"> </w:t>
      </w:r>
      <w:r>
        <w:rPr>
          <w:color w:val="FF0000"/>
        </w:rPr>
        <w:t>36V</w:t>
      </w:r>
      <w:r>
        <w:rPr>
          <w:color w:val="FF0000"/>
          <w:spacing w:val="-113"/>
        </w:rPr>
        <w:t xml:space="preserve"> </w:t>
      </w:r>
      <w:r>
        <w:rPr>
          <w:color w:val="FF0000"/>
        </w:rPr>
        <w:t>、100W</w:t>
      </w:r>
      <w:r>
        <w:rPr>
          <w:color w:val="FF0000"/>
          <w:spacing w:val="-79"/>
        </w:rPr>
        <w:t xml:space="preserve"> </w:t>
      </w:r>
      <w:r>
        <w:rPr>
          <w:color w:val="FF0000"/>
        </w:rPr>
        <w:t>）</w:t>
      </w:r>
      <w:r>
        <w:rPr>
          <w:color w:val="FF0000"/>
          <w:spacing w:val="17"/>
        </w:rPr>
        <w:t>的</w:t>
      </w:r>
      <w:r>
        <w:rPr>
          <w:color w:val="FF0000"/>
          <w:spacing w:val="57"/>
        </w:rPr>
        <w:t>防爆</w:t>
      </w:r>
      <w:r>
        <w:rPr>
          <w:color w:val="FF0000"/>
          <w:spacing w:val="60"/>
        </w:rPr>
        <w:t>灯</w:t>
      </w:r>
      <w:r>
        <w:rPr>
          <w:color w:val="FF0000"/>
        </w:rPr>
        <w:t>，</w:t>
      </w:r>
      <w:r>
        <w:rPr>
          <w:color w:val="FF0000"/>
          <w:spacing w:val="21"/>
        </w:rPr>
        <w:t>灯</w:t>
      </w:r>
      <w:r>
        <w:rPr>
          <w:color w:val="FF0000"/>
          <w:spacing w:val="57"/>
        </w:rPr>
        <w:t>炮离</w:t>
      </w:r>
      <w:r>
        <w:rPr>
          <w:color w:val="FF0000"/>
          <w:spacing w:val="60"/>
        </w:rPr>
        <w:t>孔</w:t>
      </w:r>
      <w:r>
        <w:rPr>
          <w:color w:val="FF0000"/>
        </w:rPr>
        <w:t>底</w:t>
      </w:r>
      <w:r>
        <w:rPr>
          <w:color w:val="FF0000"/>
          <w:spacing w:val="-15"/>
        </w:rPr>
        <w:t xml:space="preserve"> </w:t>
      </w:r>
      <w:r>
        <w:rPr>
          <w:color w:val="FF0000"/>
        </w:rPr>
        <w:t>2.0m</w:t>
      </w:r>
      <w:r>
        <w:rPr>
          <w:color w:val="FF0000"/>
          <w:spacing w:val="-78"/>
        </w:rPr>
        <w:t xml:space="preserve"> </w:t>
      </w:r>
      <w:r>
        <w:rPr>
          <w:color w:val="FF0000"/>
        </w:rPr>
        <w:t>，</w:t>
      </w:r>
      <w:r>
        <w:rPr>
          <w:color w:val="FF0000"/>
          <w:spacing w:val="21"/>
        </w:rPr>
        <w:t>并</w:t>
      </w:r>
      <w:r>
        <w:rPr>
          <w:color w:val="FF0000"/>
          <w:spacing w:val="57"/>
        </w:rPr>
        <w:t>且是</w:t>
      </w:r>
      <w:r>
        <w:rPr>
          <w:color w:val="FF0000"/>
          <w:spacing w:val="60"/>
        </w:rPr>
        <w:t>防</w:t>
      </w:r>
      <w:r>
        <w:rPr>
          <w:color w:val="FF0000"/>
          <w:spacing w:val="57"/>
        </w:rPr>
        <w:t>水</w:t>
      </w:r>
      <w:r>
        <w:rPr>
          <w:color w:val="FF0000"/>
          <w:spacing w:val="60"/>
        </w:rPr>
        <w:t>带</w:t>
      </w:r>
      <w:r>
        <w:rPr>
          <w:color w:val="FF0000"/>
          <w:spacing w:val="57"/>
        </w:rPr>
        <w:t>罩</w:t>
      </w:r>
      <w:r>
        <w:rPr>
          <w:color w:val="FF0000"/>
          <w:spacing w:val="61"/>
        </w:rPr>
        <w:t>的</w:t>
      </w:r>
      <w:r>
        <w:rPr>
          <w:color w:val="FF0000"/>
          <w:spacing w:val="57"/>
        </w:rPr>
        <w:t>安</w:t>
      </w:r>
      <w:r>
        <w:rPr>
          <w:color w:val="FF0000"/>
          <w:spacing w:val="60"/>
        </w:rPr>
        <w:t>全</w:t>
      </w:r>
      <w:r>
        <w:rPr>
          <w:color w:val="FF0000"/>
          <w:spacing w:val="57"/>
        </w:rPr>
        <w:t>灯</w:t>
      </w:r>
      <w:r>
        <w:rPr>
          <w:color w:val="FF0000"/>
          <w:spacing w:val="60"/>
        </w:rPr>
        <w:t>具</w:t>
      </w:r>
      <w:r>
        <w:rPr>
          <w:color w:val="FF0000"/>
          <w:spacing w:val="-11"/>
        </w:rPr>
        <w:t>。</w:t>
      </w:r>
      <w:r>
        <w:rPr>
          <w:color w:val="FF0000"/>
          <w:spacing w:val="60"/>
        </w:rPr>
        <w:t>桩口周围设围</w:t>
      </w:r>
      <w:r>
        <w:rPr>
          <w:color w:val="FF0000"/>
          <w:spacing w:val="64"/>
        </w:rPr>
        <w:t>护</w:t>
      </w:r>
      <w:r>
        <w:rPr>
          <w:color w:val="FF0000"/>
          <w:spacing w:val="60"/>
        </w:rPr>
        <w:t>栏。每天操作</w:t>
      </w:r>
      <w:r>
        <w:rPr>
          <w:color w:val="FF0000"/>
          <w:spacing w:val="64"/>
        </w:rPr>
        <w:t>工</w:t>
      </w:r>
      <w:r>
        <w:rPr>
          <w:color w:val="FF0000"/>
          <w:spacing w:val="60"/>
        </w:rPr>
        <w:t>人下井前必须</w:t>
      </w:r>
      <w:r>
        <w:rPr>
          <w:color w:val="FF0000"/>
          <w:spacing w:val="64"/>
        </w:rPr>
        <w:t>检</w:t>
      </w:r>
      <w:r>
        <w:rPr>
          <w:color w:val="FF0000"/>
          <w:spacing w:val="60"/>
        </w:rPr>
        <w:t>测井底是</w:t>
      </w:r>
      <w:r>
        <w:rPr>
          <w:color w:val="FF0000"/>
          <w:spacing w:val="76"/>
        </w:rPr>
        <w:t>否</w:t>
      </w:r>
      <w:r>
        <w:rPr>
          <w:color w:val="FF0000"/>
          <w:spacing w:val="61"/>
        </w:rPr>
        <w:t>有</w:t>
      </w:r>
      <w:r>
        <w:rPr>
          <w:color w:val="FF0000"/>
        </w:rPr>
        <w:t>害</w:t>
      </w:r>
      <w:r>
        <w:rPr>
          <w:color w:val="FF0000"/>
          <w:spacing w:val="57"/>
        </w:rPr>
        <w:t>气体</w:t>
      </w:r>
      <w:r>
        <w:rPr>
          <w:color w:val="FF0000"/>
        </w:rPr>
        <w:t>，</w:t>
      </w:r>
      <w:r>
        <w:rPr>
          <w:color w:val="FF0000"/>
          <w:spacing w:val="35"/>
        </w:rPr>
        <w:t>采</w:t>
      </w:r>
      <w:r>
        <w:rPr>
          <w:color w:val="FF0000"/>
          <w:spacing w:val="57"/>
        </w:rPr>
        <w:t>用简</w:t>
      </w:r>
      <w:r>
        <w:rPr>
          <w:color w:val="FF0000"/>
          <w:spacing w:val="60"/>
        </w:rPr>
        <w:t>单</w:t>
      </w:r>
      <w:r>
        <w:rPr>
          <w:color w:val="FF0000"/>
          <w:spacing w:val="57"/>
        </w:rPr>
        <w:t>有效的</w:t>
      </w:r>
      <w:r>
        <w:rPr>
          <w:color w:val="FF0000"/>
          <w:spacing w:val="60"/>
        </w:rPr>
        <w:t>办</w:t>
      </w:r>
      <w:r>
        <w:rPr>
          <w:color w:val="FF0000"/>
          <w:spacing w:val="57"/>
        </w:rPr>
        <w:t>法把</w:t>
      </w:r>
      <w:r>
        <w:rPr>
          <w:color w:val="FF0000"/>
          <w:spacing w:val="60"/>
        </w:rPr>
        <w:t>小</w:t>
      </w:r>
      <w:r>
        <w:rPr>
          <w:color w:val="FF0000"/>
          <w:spacing w:val="57"/>
        </w:rPr>
        <w:t>动物放</w:t>
      </w:r>
      <w:r>
        <w:rPr>
          <w:color w:val="FF0000"/>
          <w:spacing w:val="60"/>
        </w:rPr>
        <w:t>入</w:t>
      </w:r>
      <w:r>
        <w:rPr>
          <w:color w:val="FF0000"/>
          <w:spacing w:val="57"/>
        </w:rPr>
        <w:t>井底</w:t>
      </w:r>
      <w:r>
        <w:rPr>
          <w:color w:val="FF0000"/>
          <w:spacing w:val="60"/>
        </w:rPr>
        <w:t>不</w:t>
      </w:r>
      <w:r>
        <w:rPr>
          <w:color w:val="FF0000"/>
          <w:spacing w:val="57"/>
        </w:rPr>
        <w:t>少</w:t>
      </w:r>
      <w:r>
        <w:rPr>
          <w:color w:val="FF0000"/>
        </w:rPr>
        <w:t>于</w:t>
      </w:r>
      <w:r>
        <w:rPr>
          <w:color w:val="FF0000"/>
          <w:spacing w:val="-14"/>
        </w:rPr>
        <w:t xml:space="preserve"> </w:t>
      </w:r>
      <w:r>
        <w:rPr>
          <w:color w:val="FF0000"/>
        </w:rPr>
        <w:t>30</w:t>
      </w:r>
      <w:r>
        <w:rPr>
          <w:color w:val="FF0000"/>
          <w:spacing w:val="-20"/>
        </w:rPr>
        <w:t xml:space="preserve"> </w:t>
      </w:r>
      <w:r>
        <w:rPr>
          <w:color w:val="FF0000"/>
          <w:spacing w:val="57"/>
        </w:rPr>
        <w:t>分</w:t>
      </w:r>
      <w:r>
        <w:rPr>
          <w:color w:val="FF0000"/>
          <w:spacing w:val="60"/>
        </w:rPr>
        <w:t>钟</w:t>
      </w:r>
      <w:r>
        <w:rPr>
          <w:color w:val="FF0000"/>
        </w:rPr>
        <w:t>，以</w:t>
      </w:r>
      <w:r>
        <w:rPr>
          <w:color w:val="FF0000"/>
          <w:spacing w:val="60"/>
        </w:rPr>
        <w:t>检测井底有害</w:t>
      </w:r>
      <w:r>
        <w:rPr>
          <w:color w:val="FF0000"/>
          <w:spacing w:val="64"/>
        </w:rPr>
        <w:t>气</w:t>
      </w:r>
      <w:r>
        <w:rPr>
          <w:color w:val="FF0000"/>
          <w:spacing w:val="60"/>
        </w:rPr>
        <w:t>体和孔井内缺</w:t>
      </w:r>
      <w:r>
        <w:rPr>
          <w:color w:val="FF0000"/>
          <w:spacing w:val="64"/>
        </w:rPr>
        <w:t>氧</w:t>
      </w:r>
      <w:r>
        <w:rPr>
          <w:color w:val="FF0000"/>
        </w:rPr>
        <w:t>，</w:t>
      </w:r>
      <w:r>
        <w:rPr>
          <w:color w:val="FF0000"/>
          <w:spacing w:val="-144"/>
        </w:rPr>
        <w:t xml:space="preserve"> </w:t>
      </w:r>
      <w:r>
        <w:rPr>
          <w:color w:val="FF0000"/>
          <w:spacing w:val="60"/>
        </w:rPr>
        <w:t>符合要求方</w:t>
      </w:r>
      <w:r>
        <w:rPr>
          <w:color w:val="FF0000"/>
          <w:spacing w:val="64"/>
        </w:rPr>
        <w:t>准</w:t>
      </w:r>
      <w:r>
        <w:rPr>
          <w:color w:val="FF0000"/>
          <w:spacing w:val="60"/>
        </w:rPr>
        <w:t>作业。操作时</w:t>
      </w:r>
      <w:r>
        <w:rPr>
          <w:color w:val="FF0000"/>
        </w:rPr>
        <w:t>上</w:t>
      </w:r>
      <w:r>
        <w:rPr>
          <w:color w:val="FF0000"/>
          <w:spacing w:val="57"/>
        </w:rPr>
        <w:t>下人</w:t>
      </w:r>
      <w:r>
        <w:rPr>
          <w:color w:val="FF0000"/>
        </w:rPr>
        <w:t>员</w:t>
      </w:r>
      <w:r>
        <w:rPr>
          <w:color w:val="FF0000"/>
          <w:spacing w:val="14"/>
        </w:rPr>
        <w:t xml:space="preserve"> </w:t>
      </w:r>
      <w:r>
        <w:rPr>
          <w:color w:val="FF0000"/>
        </w:rPr>
        <w:t>2</w:t>
      </w:r>
      <w:r>
        <w:rPr>
          <w:color w:val="FF0000"/>
          <w:spacing w:val="-12"/>
        </w:rPr>
        <w:t xml:space="preserve"> </w:t>
      </w:r>
      <w:r>
        <w:rPr>
          <w:color w:val="FF0000"/>
          <w:spacing w:val="57"/>
        </w:rPr>
        <w:t>小时</w:t>
      </w:r>
      <w:r>
        <w:rPr>
          <w:color w:val="FF0000"/>
          <w:spacing w:val="60"/>
        </w:rPr>
        <w:t>轮</w:t>
      </w:r>
      <w:r>
        <w:rPr>
          <w:color w:val="FF0000"/>
          <w:spacing w:val="57"/>
        </w:rPr>
        <w:t>换作业</w:t>
      </w:r>
      <w:r>
        <w:rPr>
          <w:color w:val="FF0000"/>
        </w:rPr>
        <w:t>，</w:t>
      </w:r>
      <w:r>
        <w:rPr>
          <w:color w:val="FF0000"/>
          <w:spacing w:val="-147"/>
        </w:rPr>
        <w:t xml:space="preserve"> </w:t>
      </w:r>
      <w:r>
        <w:rPr>
          <w:color w:val="FF0000"/>
          <w:spacing w:val="57"/>
        </w:rPr>
        <w:t>桩孔</w:t>
      </w:r>
      <w:r>
        <w:rPr>
          <w:color w:val="FF0000"/>
          <w:spacing w:val="60"/>
        </w:rPr>
        <w:t>上</w:t>
      </w:r>
      <w:r>
        <w:rPr>
          <w:color w:val="FF0000"/>
          <w:spacing w:val="57"/>
        </w:rPr>
        <w:t>人员密</w:t>
      </w:r>
      <w:r>
        <w:rPr>
          <w:color w:val="FF0000"/>
          <w:spacing w:val="60"/>
        </w:rPr>
        <w:t>切</w:t>
      </w:r>
      <w:r>
        <w:rPr>
          <w:color w:val="FF0000"/>
          <w:spacing w:val="64"/>
        </w:rPr>
        <w:t>注</w:t>
      </w:r>
      <w:r>
        <w:rPr>
          <w:color w:val="FF0000"/>
          <w:spacing w:val="57"/>
        </w:rPr>
        <w:t>视</w:t>
      </w:r>
      <w:r>
        <w:rPr>
          <w:color w:val="FF0000"/>
          <w:spacing w:val="60"/>
        </w:rPr>
        <w:t>观</w:t>
      </w:r>
      <w:r>
        <w:rPr>
          <w:color w:val="FF0000"/>
          <w:spacing w:val="57"/>
        </w:rPr>
        <w:t>察桩孔</w:t>
      </w:r>
      <w:r>
        <w:rPr>
          <w:color w:val="FF0000"/>
          <w:spacing w:val="60"/>
        </w:rPr>
        <w:t>下</w:t>
      </w:r>
      <w:r>
        <w:rPr>
          <w:color w:val="FF0000"/>
          <w:spacing w:val="57"/>
        </w:rPr>
        <w:t>人员</w:t>
      </w:r>
      <w:r>
        <w:rPr>
          <w:color w:val="FF0000"/>
        </w:rPr>
        <w:t>的</w:t>
      </w:r>
      <w:r>
        <w:rPr>
          <w:color w:val="FF0000"/>
          <w:spacing w:val="60"/>
        </w:rPr>
        <w:t>情况</w:t>
      </w:r>
      <w:r>
        <w:rPr>
          <w:color w:val="FF0000"/>
        </w:rPr>
        <w:t>，</w:t>
      </w:r>
      <w:r>
        <w:rPr>
          <w:color w:val="FF0000"/>
          <w:spacing w:val="-146"/>
        </w:rPr>
        <w:t xml:space="preserve"> </w:t>
      </w:r>
      <w:r>
        <w:rPr>
          <w:color w:val="FF0000"/>
          <w:spacing w:val="60"/>
        </w:rPr>
        <w:t>使用对</w:t>
      </w:r>
      <w:r>
        <w:rPr>
          <w:color w:val="FF0000"/>
          <w:spacing w:val="64"/>
        </w:rPr>
        <w:t>讲</w:t>
      </w:r>
      <w:r>
        <w:rPr>
          <w:color w:val="FF0000"/>
          <w:spacing w:val="60"/>
        </w:rPr>
        <w:t>机通讯</w:t>
      </w:r>
      <w:r>
        <w:rPr>
          <w:color w:val="FF0000"/>
        </w:rPr>
        <w:t>，</w:t>
      </w:r>
      <w:r>
        <w:rPr>
          <w:color w:val="FF0000"/>
          <w:spacing w:val="-146"/>
        </w:rPr>
        <w:t xml:space="preserve"> </w:t>
      </w:r>
      <w:r>
        <w:rPr>
          <w:color w:val="FF0000"/>
          <w:spacing w:val="60"/>
        </w:rPr>
        <w:t>互相</w:t>
      </w:r>
      <w:r>
        <w:rPr>
          <w:color w:val="FF0000"/>
          <w:spacing w:val="64"/>
        </w:rPr>
        <w:t>响</w:t>
      </w:r>
      <w:r>
        <w:rPr>
          <w:color w:val="FF0000"/>
          <w:spacing w:val="60"/>
        </w:rPr>
        <w:t>应</w:t>
      </w:r>
      <w:r>
        <w:rPr>
          <w:color w:val="FF0000"/>
        </w:rPr>
        <w:t>，</w:t>
      </w:r>
      <w:r>
        <w:rPr>
          <w:color w:val="FF0000"/>
          <w:spacing w:val="-145"/>
        </w:rPr>
        <w:t xml:space="preserve"> </w:t>
      </w:r>
      <w:r>
        <w:rPr>
          <w:color w:val="FF0000"/>
          <w:spacing w:val="60"/>
        </w:rPr>
        <w:t>切实预防</w:t>
      </w:r>
      <w:r>
        <w:rPr>
          <w:color w:val="FF0000"/>
          <w:spacing w:val="64"/>
        </w:rPr>
        <w:t>安</w:t>
      </w:r>
      <w:r>
        <w:rPr>
          <w:color w:val="FF0000"/>
          <w:spacing w:val="60"/>
        </w:rPr>
        <w:t>全事故的发生</w:t>
      </w:r>
      <w:r>
        <w:rPr>
          <w:color w:val="FF0000"/>
        </w:rPr>
        <w:t>。</w:t>
      </w:r>
      <w:r>
        <w:rPr>
          <w:color w:val="FF0000"/>
          <w:spacing w:val="57"/>
        </w:rPr>
        <w:t>局部遇</w:t>
      </w:r>
      <w:r>
        <w:rPr>
          <w:color w:val="FF0000"/>
          <w:spacing w:val="60"/>
        </w:rPr>
        <w:t>较</w:t>
      </w:r>
      <w:r>
        <w:rPr>
          <w:color w:val="FF0000"/>
          <w:spacing w:val="57"/>
        </w:rPr>
        <w:t>大孤</w:t>
      </w:r>
      <w:r>
        <w:rPr>
          <w:color w:val="FF0000"/>
          <w:spacing w:val="60"/>
        </w:rPr>
        <w:t>石</w:t>
      </w:r>
      <w:r>
        <w:rPr>
          <w:color w:val="FF0000"/>
          <w:spacing w:val="57"/>
        </w:rPr>
        <w:t>时</w:t>
      </w:r>
      <w:r>
        <w:rPr>
          <w:color w:val="FF0000"/>
        </w:rPr>
        <w:t>，</w:t>
      </w:r>
      <w:r>
        <w:rPr>
          <w:color w:val="FF0000"/>
          <w:spacing w:val="-153"/>
        </w:rPr>
        <w:t xml:space="preserve"> </w:t>
      </w:r>
      <w:r>
        <w:rPr>
          <w:color w:val="FF0000"/>
          <w:spacing w:val="57"/>
        </w:rPr>
        <w:t>采</w:t>
      </w:r>
      <w:r>
        <w:rPr>
          <w:color w:val="FF0000"/>
          <w:spacing w:val="60"/>
        </w:rPr>
        <w:t>用</w:t>
      </w:r>
      <w:r>
        <w:rPr>
          <w:color w:val="FF0000"/>
          <w:spacing w:val="57"/>
        </w:rPr>
        <w:t>周边</w:t>
      </w:r>
      <w:r>
        <w:rPr>
          <w:color w:val="FF0000"/>
          <w:spacing w:val="60"/>
        </w:rPr>
        <w:t>钻</w:t>
      </w:r>
      <w:r>
        <w:rPr>
          <w:color w:val="FF0000"/>
          <w:spacing w:val="57"/>
        </w:rPr>
        <w:t>心法</w:t>
      </w:r>
      <w:r>
        <w:rPr>
          <w:color w:val="FF0000"/>
        </w:rPr>
        <w:t>，</w:t>
      </w:r>
      <w:r>
        <w:rPr>
          <w:color w:val="FF0000"/>
          <w:spacing w:val="-153"/>
        </w:rPr>
        <w:t xml:space="preserve"> </w:t>
      </w:r>
      <w:r>
        <w:rPr>
          <w:color w:val="FF0000"/>
          <w:spacing w:val="60"/>
        </w:rPr>
        <w:t>逐</w:t>
      </w:r>
      <w:r>
        <w:rPr>
          <w:color w:val="FF0000"/>
          <w:spacing w:val="57"/>
        </w:rPr>
        <w:t>层剔</w:t>
      </w:r>
      <w:r>
        <w:rPr>
          <w:color w:val="FF0000"/>
          <w:spacing w:val="60"/>
        </w:rPr>
        <w:t>除</w:t>
      </w:r>
      <w:r>
        <w:rPr>
          <w:color w:val="FF0000"/>
        </w:rPr>
        <w:t>。</w:t>
      </w:r>
    </w:p>
    <w:p>
      <w:pPr>
        <w:pStyle w:val="BodyText"/>
        <w:spacing w:line="364" w:lineRule="auto"/>
        <w:ind w:left="293" w:right="325" w:firstLine="241"/>
      </w:pPr>
      <w:r>
        <w:t>（</w:t>
      </w:r>
      <w:r>
        <w:rPr>
          <w:spacing w:val="-145"/>
        </w:rPr>
        <w:t xml:space="preserve"> </w:t>
      </w:r>
      <w:r>
        <w:rPr>
          <w:spacing w:val="17"/>
        </w:rPr>
        <w:t>2）</w:t>
      </w:r>
      <w:r>
        <w:rPr>
          <w:spacing w:val="32"/>
        </w:rPr>
        <w:t xml:space="preserve"> 土方运输:在孔口安装吊架,尽可能使用电动提升机， 电动</w:t>
      </w:r>
      <w:r>
        <w:rPr>
          <w:spacing w:val="43"/>
        </w:rPr>
        <w:t>提升机必须配有自锁装置，用吊桶人工提升到孔外指定地点堆放。</w:t>
      </w:r>
      <w:r>
        <w:rPr>
          <w:spacing w:val="42"/>
        </w:rPr>
        <w:t xml:space="preserve">在不具备使用电动提升机的时候， 当使用绞架作为提渣设备时， </w:t>
      </w:r>
      <w:r>
        <w:rPr>
          <w:spacing w:val="41"/>
        </w:rPr>
        <w:t>应做好绞架的质量把关， 控制好绞架安装质量。孔口四周必须设</w:t>
      </w:r>
      <w:r>
        <w:rPr>
          <w:spacing w:val="21"/>
        </w:rPr>
        <w:t xml:space="preserve">置护栏， 护栏高度宜为 </w:t>
      </w:r>
      <w:r>
        <w:t>1.20m</w:t>
      </w:r>
      <w:r>
        <w:rPr>
          <w:spacing w:val="-29"/>
        </w:rPr>
        <w:t xml:space="preserve"> 。</w:t>
      </w:r>
    </w:p>
    <w:p>
      <w:pPr>
        <w:pStyle w:val="BodyText"/>
        <w:spacing w:line="534" w:lineRule="exact"/>
        <w:ind w:left="1254"/>
      </w:pPr>
      <w:r>
        <w:rPr>
          <w:spacing w:val="52"/>
        </w:rPr>
        <w:t>挖孔桩挖土方式见下示意图：</w:t>
      </w:r>
    </w:p>
    <w:p>
      <w:pPr>
        <w:spacing w:after="0" w:line="534" w:lineRule="exact"/>
        <w:sectPr>
          <w:footerReference w:type="default" r:id="rId18"/>
          <w:pgSz w:w="17860" w:h="25260"/>
          <w:pgMar w:top="1300" w:right="1300" w:bottom="2040" w:left="2260" w:header="0" w:footer="1802"/>
          <w:pgNumType w:start="13"/>
          <w:cols w:space="708"/>
        </w:sectPr>
      </w:pPr>
    </w:p>
    <w:p>
      <w:pPr>
        <w:tabs>
          <w:tab w:val="left" w:pos="6400"/>
        </w:tabs>
        <w:spacing w:line="240" w:lineRule="auto"/>
        <w:ind w:left="112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2596991" cy="4509897"/>
            <wp:effectExtent l="0" t="0" r="0" b="0"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6991" cy="4509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position w:val="2"/>
          <w:sz w:val="20"/>
        </w:rPr>
        <w:drawing>
          <wp:inline distT="0" distB="0" distL="0" distR="0">
            <wp:extent cx="2596991" cy="3800475"/>
            <wp:effectExtent l="0" t="0" r="0" b="0"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6991" cy="380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2"/>
        </w:rPr>
      </w:pPr>
      <w:r>
        <w:pict>
          <v:group id="_x0000_s1049" style="width:118pt;height:33pt;margin-top:25.53pt;margin-left:198pt;mso-position-horizontal-relative:page;mso-wrap-distance-left:0;mso-wrap-distance-right:0;position:absolute;z-index:-251655168" coordorigin="3960,511" coordsize="2360,660">
            <v:shape id="_x0000_s1050" type="#_x0000_t75" style="width:540;height:440;left:3960;position:absolute;top:630" stroked="f">
              <v:imagedata r:id="rId21" o:title=""/>
            </v:shape>
            <v:shape id="_x0000_s1051" type="#_x0000_t75" style="width:1760;height:660;left:4560;position:absolute;top:510" stroked="f">
              <v:imagedata r:id="rId22" o:title=""/>
            </v:shape>
            <w10:wrap type="topAndBottom"/>
          </v:group>
        </w:pict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5956300</wp:posOffset>
            </wp:positionH>
            <wp:positionV relativeFrom="paragraph">
              <wp:posOffset>235362</wp:posOffset>
            </wp:positionV>
            <wp:extent cx="316706" cy="354710"/>
            <wp:effectExtent l="0" t="0" r="0" b="0"/>
            <wp:wrapTopAndBottom/>
            <wp:docPr id="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7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706" cy="354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52" style="width:86pt;height:33pt;margin-top:16.53pt;margin-left:500pt;mso-position-horizontal-relative:page;mso-wrap-distance-left:0;mso-wrap-distance-right:0;position:absolute;z-index:-251654144" coordorigin="10000,331" coordsize="1720,660">
            <v:shape id="_x0000_s1053" type="#_x0000_t75" style="width:1120;height:660;left:10000;position:absolute;top:330" stroked="f">
              <v:imagedata r:id="rId24" o:title=""/>
            </v:shape>
            <v:shape id="_x0000_s1054" type="#_x0000_t75" style="width:540;height:640;left:11180;position:absolute;top:330" stroked="f">
              <v:imagedata r:id="rId25" o:title=""/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3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1992529</wp:posOffset>
            </wp:positionH>
            <wp:positionV relativeFrom="paragraph">
              <wp:posOffset>131178</wp:posOffset>
            </wp:positionV>
            <wp:extent cx="7823129" cy="4974050"/>
            <wp:effectExtent l="0" t="0" r="0" b="0"/>
            <wp:wrapTopAndBottom/>
            <wp:docPr id="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0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23129" cy="4974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3" w:line="364" w:lineRule="auto"/>
        <w:ind w:left="293" w:right="700" w:firstLine="719"/>
      </w:pPr>
      <w:r>
        <w:t>（</w:t>
      </w:r>
      <w:r>
        <w:rPr>
          <w:spacing w:val="-128"/>
        </w:rPr>
        <w:t xml:space="preserve"> </w:t>
      </w:r>
      <w:r>
        <w:rPr>
          <w:spacing w:val="15"/>
        </w:rPr>
        <w:t>3）</w:t>
      </w:r>
      <w:r>
        <w:rPr>
          <w:spacing w:val="51"/>
        </w:rPr>
        <w:t>当挖至基底设计标高时，及时通知设计单位、监理工程</w:t>
      </w:r>
      <w:r>
        <w:rPr>
          <w:spacing w:val="39"/>
        </w:rPr>
        <w:t>师对孔底土性进行鉴定， 符合设计要求后及时封孔。</w:t>
      </w:r>
    </w:p>
    <w:p>
      <w:pPr>
        <w:spacing w:after="0" w:line="364" w:lineRule="auto"/>
        <w:sectPr>
          <w:footerReference w:type="default" r:id="rId27"/>
          <w:pgSz w:w="17860" w:h="25260"/>
          <w:pgMar w:top="1520" w:right="1300" w:bottom="2040" w:left="2260" w:header="0" w:footer="1802"/>
          <w:pgNumType w:start="14"/>
          <w:cols w:space="708"/>
        </w:sectPr>
      </w:pPr>
    </w:p>
    <w:p>
      <w:pPr>
        <w:pStyle w:val="Heading3"/>
        <w:spacing w:before="21"/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2288920</wp:posOffset>
            </wp:positionH>
            <wp:positionV relativeFrom="page">
              <wp:posOffset>11381485</wp:posOffset>
            </wp:positionV>
            <wp:extent cx="5486400" cy="3710559"/>
            <wp:effectExtent l="0" t="0" r="0" b="0"/>
            <wp:wrapNone/>
            <wp:docPr id="9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1.jpe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7105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1" w:name="_TOC_250004"/>
      <w:r>
        <w:rPr>
          <w:rFonts w:ascii="幼圆" w:eastAsia="幼圆" w:hint="eastAsia"/>
        </w:rPr>
        <w:t>4</w:t>
      </w:r>
      <w:bookmarkEnd w:id="11"/>
      <w:r>
        <w:t>、钢筋砼护壁</w:t>
      </w:r>
    </w:p>
    <w:p>
      <w:pPr>
        <w:pStyle w:val="BodyText"/>
        <w:spacing w:before="395" w:line="364" w:lineRule="auto"/>
        <w:ind w:left="293" w:right="701" w:firstLine="719"/>
      </w:pPr>
      <w:r>
        <w:t>① 挖孔过程中每次护壁施工前必须检查桩身净空尺寸和平面位置、垂直度，保证桩身的质量；下一节开挖应在上一节护壁砼终凝并在 24 小时后再进行， 并且要先挖桩芯部位， 后挖四周护壁部位。</w:t>
      </w:r>
    </w:p>
    <w:p>
      <w:pPr>
        <w:pStyle w:val="BodyText"/>
        <w:spacing w:line="364" w:lineRule="auto"/>
        <w:ind w:left="293" w:right="465" w:firstLine="961"/>
      </w:pPr>
      <w:r>
        <w:rPr>
          <w:spacing w:val="15"/>
        </w:rPr>
        <w:t xml:space="preserve">② 为了施工安全，挖孔护壁采用 </w:t>
      </w:r>
      <w:r>
        <w:t>C20</w:t>
      </w:r>
      <w:r>
        <w:rPr>
          <w:spacing w:val="19"/>
        </w:rPr>
        <w:t xml:space="preserve"> 钢筋砼结构，每掘进 </w:t>
      </w:r>
      <w:r>
        <w:t xml:space="preserve">1.0 </w:t>
      </w:r>
      <w:r>
        <w:rPr>
          <w:spacing w:val="57"/>
          <w:w w:val="100"/>
        </w:rPr>
        <w:t>米</w:t>
      </w:r>
      <w:r>
        <w:rPr>
          <w:w w:val="100"/>
        </w:rPr>
        <w:t>（</w:t>
      </w:r>
      <w:r>
        <w:rPr>
          <w:spacing w:val="-153"/>
        </w:rPr>
        <w:t xml:space="preserve"> </w:t>
      </w:r>
      <w:r>
        <w:rPr>
          <w:spacing w:val="57"/>
          <w:w w:val="100"/>
        </w:rPr>
        <w:t>若遇软弱层易塌方部位可根据模板规格减短进尺</w:t>
      </w:r>
      <w:r>
        <w:rPr>
          <w:spacing w:val="-180"/>
          <w:w w:val="100"/>
        </w:rPr>
        <w:t>）</w:t>
      </w:r>
      <w:r>
        <w:rPr>
          <w:w w:val="100"/>
        </w:rPr>
        <w:t>，</w:t>
      </w:r>
      <w:r>
        <w:rPr>
          <w:spacing w:val="-153"/>
        </w:rPr>
        <w:t xml:space="preserve"> </w:t>
      </w:r>
      <w:r>
        <w:rPr>
          <w:spacing w:val="38"/>
          <w:w w:val="100"/>
        </w:rPr>
        <w:t>及时进</w:t>
      </w:r>
      <w:r>
        <w:rPr>
          <w:spacing w:val="46"/>
        </w:rPr>
        <w:t>行护壁处理；施工护壁的程序是：首先按照设计要求安设护壁钢</w:t>
      </w:r>
      <w:r>
        <w:rPr>
          <w:spacing w:val="37"/>
        </w:rPr>
        <w:t xml:space="preserve">筋，经检查验收后安装护壁模板，然后根据桩孔中心点校正模板， </w:t>
      </w:r>
      <w:r>
        <w:rPr>
          <w:spacing w:val="48"/>
        </w:rPr>
        <w:t>保证护壁厚度、桩孔尺寸和垂直度，然后浇注护壁砼，上下护壁</w:t>
      </w:r>
      <w:r>
        <w:rPr>
          <w:spacing w:val="28"/>
        </w:rPr>
        <w:t xml:space="preserve">间应搭接 </w:t>
      </w:r>
      <w:r>
        <w:t>50mm</w:t>
      </w:r>
      <w:r>
        <w:rPr>
          <w:spacing w:val="-35"/>
        </w:rPr>
        <w:t xml:space="preserve"> ， 且用 </w:t>
      </w:r>
      <w:r>
        <w:t>25</w:t>
      </w:r>
      <w:r>
        <w:rPr>
          <w:spacing w:val="46"/>
        </w:rPr>
        <w:t xml:space="preserve"> 的钢筋或小型振动棒进行振捣以保证护</w:t>
      </w:r>
      <w:r>
        <w:rPr>
          <w:spacing w:val="48"/>
        </w:rPr>
        <w:t>壁砼的密实度，浇筑护壁砼要四周同时均匀浇注，以防护壁模板</w:t>
      </w:r>
      <w:r>
        <w:rPr>
          <w:spacing w:val="45"/>
        </w:rPr>
        <w:t xml:space="preserve">位移。当砼达到一定强度(一般为 </w:t>
      </w:r>
      <w:r>
        <w:t>24</w:t>
      </w:r>
      <w:r>
        <w:rPr>
          <w:spacing w:val="24"/>
        </w:rPr>
        <w:t xml:space="preserve"> 小时)后拆模， 拆模后进行</w:t>
      </w:r>
      <w:r>
        <w:rPr>
          <w:spacing w:val="49"/>
        </w:rPr>
        <w:t>校正，对不合格部分进行修正，直至合格。依次循环类推进行挖</w:t>
      </w:r>
      <w:r>
        <w:rPr>
          <w:spacing w:val="48"/>
        </w:rPr>
        <w:t>孔施工；护壁混凝土的灌注，上下节必须连成整体，保证孔壁的</w:t>
      </w:r>
      <w:r>
        <w:rPr>
          <w:spacing w:val="42"/>
        </w:rPr>
        <w:t xml:space="preserve">稳固程度。钢筋混凝土护壁应当连续设置， 护壁钢筋应当连续， </w:t>
      </w:r>
      <w:r>
        <w:rPr>
          <w:spacing w:val="40"/>
        </w:rPr>
        <w:t xml:space="preserve">下送混凝土时做到对称和四周均匀捣固，防止模板偏移。施工中， </w:t>
      </w:r>
      <w:r>
        <w:rPr>
          <w:spacing w:val="49"/>
        </w:rPr>
        <w:t>随时检查护壁受力情况，如发生护壁开裂、错位、孔下作业人员</w:t>
      </w:r>
      <w:r>
        <w:rPr>
          <w:spacing w:val="37"/>
        </w:rPr>
        <w:t>立即撤离， 待加固处理后方可继续开工。</w:t>
      </w:r>
    </w:p>
    <w:p>
      <w:pPr>
        <w:pStyle w:val="BodyText"/>
        <w:spacing w:line="525" w:lineRule="exact"/>
        <w:ind w:left="1131"/>
      </w:pPr>
      <w:r>
        <w:t>抗滑桩井孔护壁图：</w:t>
      </w:r>
    </w:p>
    <w:p>
      <w:pPr>
        <w:spacing w:after="0" w:line="525" w:lineRule="exact"/>
        <w:sectPr>
          <w:footerReference w:type="default" r:id="rId29"/>
          <w:pgSz w:w="17860" w:h="25260"/>
          <w:pgMar w:top="1300" w:right="1300" w:bottom="2040" w:left="2260" w:header="0" w:footer="1802"/>
          <w:pgNumType w:start="15"/>
          <w:cols w:space="708"/>
        </w:sectPr>
      </w:pPr>
    </w:p>
    <w:p>
      <w:pPr>
        <w:pStyle w:val="Heading3"/>
        <w:spacing w:before="21"/>
      </w:pPr>
      <w:r>
        <w:t>5、抗滑桩路面以上部分的处理</w:t>
      </w:r>
    </w:p>
    <w:p>
      <w:pPr>
        <w:pStyle w:val="BodyText"/>
        <w:spacing w:before="10"/>
        <w:rPr>
          <w:b/>
          <w:sz w:val="30"/>
        </w:rPr>
      </w:pPr>
    </w:p>
    <w:p>
      <w:pPr>
        <w:pStyle w:val="BodyText"/>
        <w:spacing w:line="364" w:lineRule="auto"/>
        <w:ind w:left="293" w:right="877" w:firstLine="719"/>
      </w:pPr>
      <w:r>
        <w:t>抗滑桩成型后， 因路面（ 道路） 施工需求， 路面以上部分桩体间土石方需要挖除， 成孔时完成的砼护壁也要凿除， 如图。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0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3503803</wp:posOffset>
            </wp:positionH>
            <wp:positionV relativeFrom="paragraph">
              <wp:posOffset>111442</wp:posOffset>
            </wp:positionV>
            <wp:extent cx="6131343" cy="1570862"/>
            <wp:effectExtent l="0" t="0" r="0" b="0"/>
            <wp:wrapTopAndBottom/>
            <wp:docPr id="1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2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31343" cy="15708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3263900</wp:posOffset>
            </wp:positionH>
            <wp:positionV relativeFrom="paragraph">
              <wp:posOffset>1864042</wp:posOffset>
            </wp:positionV>
            <wp:extent cx="6473475" cy="848772"/>
            <wp:effectExtent l="0" t="0" r="0" b="0"/>
            <wp:wrapTopAndBottom/>
            <wp:docPr id="1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3475" cy="8487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17"/>
        </w:rPr>
      </w:pPr>
    </w:p>
    <w:p>
      <w:pPr>
        <w:pStyle w:val="BodyText"/>
        <w:spacing w:before="4"/>
        <w:rPr>
          <w:sz w:val="7"/>
        </w:rPr>
      </w:pPr>
    </w:p>
    <w:p>
      <w:pPr>
        <w:pStyle w:val="BodyText"/>
        <w:spacing w:line="259" w:lineRule="exact"/>
        <w:ind w:left="4300"/>
        <w:rPr>
          <w:sz w:val="20"/>
        </w:rPr>
      </w:pPr>
      <w:r>
        <w:rPr>
          <w:position w:val="-4"/>
          <w:sz w:val="20"/>
        </w:rPr>
        <w:drawing>
          <wp:inline distT="0" distB="0" distL="0" distR="0">
            <wp:extent cx="88677" cy="164687"/>
            <wp:effectExtent l="0" t="0" r="0" b="0"/>
            <wp:docPr id="1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4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677" cy="164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4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2806700</wp:posOffset>
            </wp:positionH>
            <wp:positionV relativeFrom="paragraph">
              <wp:posOffset>223305</wp:posOffset>
            </wp:positionV>
            <wp:extent cx="4978622" cy="2394299"/>
            <wp:effectExtent l="0" t="0" r="0" b="0"/>
            <wp:wrapTopAndBottom/>
            <wp:docPr id="1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5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78622" cy="23942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</w:pPr>
    </w:p>
    <w:p>
      <w:pPr>
        <w:pStyle w:val="BodyText"/>
        <w:rPr>
          <w:sz w:val="43"/>
        </w:rPr>
      </w:pPr>
    </w:p>
    <w:p>
      <w:pPr>
        <w:pStyle w:val="BodyText"/>
        <w:spacing w:line="364" w:lineRule="auto"/>
        <w:ind w:left="293" w:right="628" w:firstLine="961"/>
        <w:jc w:val="both"/>
      </w:pPr>
      <w:r>
        <w:t>根据设计要求，抗滑桩施工中不得采用爆破，并且按照工序进行成孔，防止地基挠动出现滑移、坍塌。为保证抗滑柱成孔时周围土体不出现坍塌，除按设计要求设置钢筋砼护壁外，还应在成孔前保留一定的土石方， 使成孔后桩周围土体仍具有稳定性， 确保护壁成型。</w:t>
      </w:r>
    </w:p>
    <w:p>
      <w:pPr>
        <w:pStyle w:val="BodyText"/>
        <w:spacing w:line="364" w:lineRule="auto"/>
        <w:ind w:left="293" w:right="706" w:firstLine="961"/>
      </w:pPr>
      <w:r>
        <w:t>在抗滑桩达到规定龄后，可采用挖机挖除桩体外道路内土石方，随挖随运出场，桩间土石方则采用人工挖除，遇孤石可利用</w:t>
      </w:r>
    </w:p>
    <w:p>
      <w:pPr>
        <w:spacing w:after="0" w:line="364" w:lineRule="auto"/>
        <w:sectPr>
          <w:footerReference w:type="default" r:id="rId34"/>
          <w:pgSz w:w="17860" w:h="25260"/>
          <w:pgMar w:top="1300" w:right="1300" w:bottom="2040" w:left="2260" w:header="0" w:footer="1802"/>
          <w:pgNumType w:start="16"/>
          <w:cols w:space="708"/>
        </w:sectPr>
      </w:pPr>
    </w:p>
    <w:p>
      <w:pPr>
        <w:pStyle w:val="BodyText"/>
        <w:spacing w:before="17"/>
        <w:ind w:left="293"/>
      </w:pPr>
      <w:r>
        <w:t>风镐凿除， 不得采用挖机直接开挖。</w:t>
      </w:r>
    </w:p>
    <w:p>
      <w:pPr>
        <w:pStyle w:val="BodyText"/>
        <w:spacing w:before="280" w:line="364" w:lineRule="auto"/>
        <w:ind w:left="293" w:right="471" w:firstLine="961"/>
      </w:pPr>
      <w:r>
        <w:t>路面以上抗滑桩外露部位尚需剔凿护壁，一是为了完成桩间挡土墙施工，确保墙与桩的结构连接；二是为了装饰桩外表，起到美观的作用，剔凿护壁采用人工辅以风镐，墙桩连接处必须剔凿干净，保证砼咬合。其它部位同桩间挡土墙外露面做抹灰处理。钢筋砼护壁剔凿需要按要求搭设脚手架及临边防护，保证施工安全。</w:t>
      </w:r>
    </w:p>
    <w:p>
      <w:pPr>
        <w:pStyle w:val="BodyText"/>
        <w:spacing w:before="4"/>
        <w:rPr>
          <w:sz w:val="30"/>
        </w:rPr>
      </w:pPr>
    </w:p>
    <w:p>
      <w:pPr>
        <w:pStyle w:val="Heading3"/>
      </w:pPr>
      <w:r>
        <w:t>6、桩体钢筋笼的制作安装</w:t>
      </w:r>
    </w:p>
    <w:p>
      <w:pPr>
        <w:pStyle w:val="BodyText"/>
        <w:spacing w:before="10"/>
        <w:rPr>
          <w:b/>
          <w:sz w:val="30"/>
        </w:rPr>
      </w:pPr>
    </w:p>
    <w:p>
      <w:pPr>
        <w:pStyle w:val="BodyText"/>
        <w:spacing w:line="364" w:lineRule="auto"/>
        <w:ind w:left="293" w:right="701" w:firstLine="961"/>
        <w:jc w:val="both"/>
      </w:pPr>
      <w:r>
        <w:t>由于抗滑桩施工的作业条件有限，钢筋自重太重，钢筋数量较多，以及工期和对工人施工安全和健康考虑，对本工程钢筋加工设计桩长大 12m 以上的采用锥螺纹套管连接工艺、吊车吊装下井的方式比较理想。</w:t>
      </w:r>
    </w:p>
    <w:p>
      <w:pPr>
        <w:pStyle w:val="BodyText"/>
        <w:spacing w:line="535" w:lineRule="exact"/>
        <w:ind w:left="1013"/>
      </w:pPr>
      <w:r>
        <w:t>① 切削下料</w:t>
      </w:r>
    </w:p>
    <w:p>
      <w:pPr>
        <w:pStyle w:val="BodyText"/>
        <w:spacing w:before="279" w:line="364" w:lineRule="auto"/>
        <w:ind w:left="293" w:right="640" w:firstLine="719"/>
      </w:pPr>
      <w:r>
        <w:t>对端部不直的钢筋要预先调直或用无齿锯切割， 端面切口应与轴线垂直， 不得有挠曲现象。对已经下料的钢筋要妥善放置， 防止损坏端部。</w:t>
      </w:r>
    </w:p>
    <w:p>
      <w:pPr>
        <w:pStyle w:val="BodyText"/>
        <w:spacing w:line="536" w:lineRule="exact"/>
        <w:ind w:left="1013"/>
      </w:pPr>
      <w:r>
        <w:t>② 加工螺纹</w:t>
      </w:r>
    </w:p>
    <w:p>
      <w:pPr>
        <w:pStyle w:val="BodyText"/>
        <w:spacing w:before="279" w:line="364" w:lineRule="auto"/>
        <w:ind w:left="293" w:right="470" w:firstLine="719"/>
      </w:pPr>
      <w:r>
        <w:t>加工的钢筋直螺纹丝头的牙形、螺距等必须与连接套的牙形、螺距一致，且经配套的量规检测合格。合格后再由专职质检员随机抽样检验，发现有不合格的丝头时，应全部逐个检验，并切除所有不合格丝头，重新加工螺纹。验收合格后的丝头必须一端戴上保护帽， 另一端拧紧连接套。</w:t>
      </w:r>
    </w:p>
    <w:p>
      <w:pPr>
        <w:pStyle w:val="BodyText"/>
        <w:spacing w:line="532" w:lineRule="exact"/>
        <w:ind w:left="1013"/>
      </w:pPr>
      <w:r>
        <w:t>③ 钢筋连接</w:t>
      </w:r>
    </w:p>
    <w:p>
      <w:pPr>
        <w:pStyle w:val="BodyText"/>
        <w:spacing w:before="279" w:line="364" w:lineRule="auto"/>
        <w:ind w:left="293" w:right="706" w:firstLine="719"/>
      </w:pPr>
      <w:r>
        <w:t>将已拧套筒的上层钢筋拧到被连接的钢筋上， 而后转动连接钢筋或反拧套筒到预定位置，最后用扭力扳手按规定的扭矩值把接头拧紧，锁定连接套筒。对于不能转动的钢筋，可将锁定螺母</w:t>
      </w:r>
    </w:p>
    <w:p>
      <w:pPr>
        <w:spacing w:after="0" w:line="364" w:lineRule="auto"/>
        <w:sectPr>
          <w:footerReference w:type="default" r:id="rId35"/>
          <w:pgSz w:w="17860" w:h="25260"/>
          <w:pgMar w:top="1300" w:right="1300" w:bottom="2040" w:left="2260" w:header="0" w:footer="1802"/>
          <w:pgNumType w:start="17"/>
          <w:cols w:space="708"/>
        </w:sectPr>
      </w:pPr>
    </w:p>
    <w:p>
      <w:pPr>
        <w:pStyle w:val="BodyText"/>
        <w:spacing w:before="17" w:line="364" w:lineRule="auto"/>
        <w:ind w:left="293" w:right="712"/>
      </w:pPr>
      <w:r>
        <w:t>和连接套筒预先拧入加长的螺纹内，再反拧入另一根钢筋端头螺纹上， 最后用锁定螺母锁定连接套筒。</w:t>
      </w:r>
    </w:p>
    <w:p>
      <w:pPr>
        <w:pStyle w:val="BodyText"/>
        <w:spacing w:line="537" w:lineRule="exact"/>
        <w:ind w:left="1013"/>
      </w:pPr>
      <w:r>
        <w:t>④ 钢筋吊装与安装</w:t>
      </w:r>
    </w:p>
    <w:p>
      <w:pPr>
        <w:pStyle w:val="BodyText"/>
        <w:spacing w:before="279" w:line="364" w:lineRule="auto"/>
        <w:ind w:left="293" w:right="640" w:firstLine="719"/>
      </w:pPr>
      <w:r>
        <w:t>由于本工程的桩径截面大， 钢筋配置多， 重量较大， 按照常规的井外制作吊装入井的方式将无法施工。由于桩体孔径较大， 成型的钢筋笼不便于稳固和吊装，所以采用井上加工、吊车吊入井内安装的形式进行施工。</w:t>
      </w:r>
    </w:p>
    <w:p>
      <w:pPr>
        <w:pStyle w:val="BodyText"/>
        <w:spacing w:line="364" w:lineRule="auto"/>
        <w:ind w:left="293" w:right="705" w:firstLine="719"/>
      </w:pPr>
      <w:r>
        <w:t>另外考虑到钢筋笼的自重过大， 钢筋笼接触桩底岩面的面积又小，为了保证纲筋笼的位置稳定和避免钢筋笼的纵筋插入孔底基岩内，在井内安装钢筋笼时每隔 2 米的高度在护壁砼上预埋一定数量的钢筋插筋，与钢筋笼进行连接固定，从而保证钢筋笼在井内的稳定性并起到一定的卸载作用。</w:t>
      </w:r>
    </w:p>
    <w:p>
      <w:pPr>
        <w:pStyle w:val="BodyText"/>
        <w:spacing w:before="2"/>
        <w:rPr>
          <w:sz w:val="30"/>
        </w:rPr>
      </w:pPr>
    </w:p>
    <w:p>
      <w:pPr>
        <w:pStyle w:val="Heading3"/>
      </w:pPr>
      <w:r>
        <w:t>7、桩芯砼灌注</w:t>
      </w:r>
    </w:p>
    <w:p>
      <w:pPr>
        <w:pStyle w:val="BodyText"/>
        <w:spacing w:before="10"/>
        <w:rPr>
          <w:b/>
          <w:sz w:val="30"/>
        </w:rPr>
      </w:pPr>
    </w:p>
    <w:p>
      <w:pPr>
        <w:pStyle w:val="BodyText"/>
        <w:ind w:left="1131"/>
      </w:pPr>
      <w:r>
        <w:t>当钢筋检查验收隐蔽后，立即进行桩芯砼浇注。</w:t>
      </w:r>
    </w:p>
    <w:p>
      <w:pPr>
        <w:pStyle w:val="BodyText"/>
        <w:spacing w:before="280" w:line="364" w:lineRule="auto"/>
        <w:ind w:left="293" w:right="322" w:firstLine="838"/>
      </w:pPr>
      <w:r>
        <w:t>（1）、准备：砼桩芯浇注前准备工作十分重要，对桩芯砼质量关系很大，此工作必须认真。准备工作内容如下：</w:t>
      </w:r>
    </w:p>
    <w:p>
      <w:pPr>
        <w:pStyle w:val="BodyText"/>
        <w:spacing w:line="364" w:lineRule="auto"/>
        <w:ind w:left="293" w:right="497" w:firstLine="629"/>
        <w:jc w:val="both"/>
      </w:pPr>
      <w:r>
        <w:t>砼商品，设计要求桩芯砼为C30，坍落度10～12cm，为了确保渗水大时也能浇筑，在设计配合比时，应同时设计二种配合比，即常规砼配合比和水下砼配合比。</w:t>
      </w:r>
    </w:p>
    <w:p>
      <w:pPr>
        <w:pStyle w:val="BodyText"/>
        <w:spacing w:line="536" w:lineRule="exact"/>
        <w:ind w:left="926"/>
      </w:pPr>
      <w:r>
        <w:t>提前4小时做好作业桩护壁渗水堵截工作。</w:t>
      </w:r>
    </w:p>
    <w:p>
      <w:pPr>
        <w:pStyle w:val="BodyText"/>
        <w:spacing w:before="278"/>
        <w:ind w:left="926"/>
      </w:pPr>
      <w:r>
        <w:t>检查电气、机械、工具等，搭设溜槽及串筒。</w:t>
      </w:r>
    </w:p>
    <w:p>
      <w:pPr>
        <w:pStyle w:val="ListParagraph"/>
        <w:numPr>
          <w:ilvl w:val="1"/>
          <w:numId w:val="9"/>
        </w:numPr>
        <w:tabs>
          <w:tab w:val="left" w:pos="1979"/>
        </w:tabs>
        <w:spacing w:before="279" w:after="0" w:line="240" w:lineRule="auto"/>
        <w:ind w:left="1978" w:right="0" w:hanging="1056"/>
        <w:jc w:val="left"/>
        <w:rPr>
          <w:sz w:val="42"/>
        </w:rPr>
      </w:pPr>
      <w:r>
        <w:rPr>
          <w:sz w:val="42"/>
        </w:rPr>
        <w:t>、砼运输：</w:t>
      </w:r>
    </w:p>
    <w:p>
      <w:pPr>
        <w:pStyle w:val="BodyText"/>
        <w:spacing w:before="276"/>
        <w:ind w:left="1135"/>
      </w:pPr>
      <w:r>
        <w:t>本工程采用商品砼浇注桩芯，通过汽车泵送砼至现场。</w:t>
      </w:r>
    </w:p>
    <w:p>
      <w:pPr>
        <w:pStyle w:val="ListParagraph"/>
        <w:numPr>
          <w:ilvl w:val="1"/>
          <w:numId w:val="9"/>
        </w:numPr>
        <w:tabs>
          <w:tab w:val="left" w:pos="1997"/>
        </w:tabs>
        <w:spacing w:before="279" w:after="0" w:line="364" w:lineRule="auto"/>
        <w:ind w:left="293" w:right="261" w:firstLine="629"/>
        <w:jc w:val="left"/>
        <w:rPr>
          <w:sz w:val="42"/>
        </w:rPr>
      </w:pPr>
      <w:r>
        <w:rPr>
          <w:spacing w:val="1"/>
          <w:sz w:val="42"/>
        </w:rPr>
        <w:t xml:space="preserve">、砼振捣：桩内砼应使用插入式振动器分层振捣，除孔底 </w:t>
      </w:r>
      <w:r>
        <w:rPr>
          <w:sz w:val="42"/>
        </w:rPr>
        <w:t xml:space="preserve">800mm </w:t>
      </w:r>
      <w:r>
        <w:rPr>
          <w:spacing w:val="-18"/>
          <w:sz w:val="42"/>
        </w:rPr>
        <w:t>为第一振捣层外，其它均以</w:t>
      </w:r>
      <w:r>
        <w:rPr>
          <w:sz w:val="42"/>
        </w:rPr>
        <w:t>500mm</w:t>
      </w:r>
      <w:r>
        <w:rPr>
          <w:spacing w:val="-15"/>
          <w:sz w:val="42"/>
        </w:rPr>
        <w:t xml:space="preserve">为一振捣高度层，边灌注边分层振捣密实， </w:t>
      </w:r>
      <w:r>
        <w:rPr>
          <w:sz w:val="42"/>
        </w:rPr>
        <w:t>直至桩顶，以保证砼的密实度。振捣手必须选派经验丰富工人担任，当砼</w:t>
      </w:r>
    </w:p>
    <w:p>
      <w:pPr>
        <w:spacing w:after="0" w:line="364" w:lineRule="auto"/>
        <w:jc w:val="left"/>
        <w:rPr>
          <w:sz w:val="42"/>
        </w:rPr>
      </w:pPr>
      <w:r>
        <w:rPr>
          <w:sz w:val="42"/>
        </w:rPr>
        <w:br/>
      </w:r>
      <w:r>
        <w:rPr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https://d.book118.com/147120120021006043</w:t>
        </w:r>
      </w:hyperlink>
    </w:p>
    <w:p>
      <w:pPr>
        <w:spacing w:after="0" w:line="364" w:lineRule="auto"/>
        <w:jc w:val="left"/>
        <w:rPr>
          <w:sz w:val="42"/>
        </w:rPr>
      </w:pPr>
    </w:p>
    <w:sectPr>
      <w:footerReference w:type="default" r:id="rId37"/>
      <w:pgSz w:w="17860" w:h="25260"/>
      <w:pgMar w:top="1300" w:right="1300" w:bottom="2040" w:left="2260" w:header="0" w:footer="1802"/>
      <w:pgNumType w:start="1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0.05pt;height:17.95pt;margin-top:1159.35pt;margin-left:786.8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0.05pt;height:17.95pt;margin-top:1159.35pt;margin-left:786.8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0.05pt;height:17.95pt;margin-top:1159.35pt;margin-left:786.81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39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0.05pt;height:17.95pt;margin-top:1159.35pt;margin-left:786.81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0.05pt;height:17.95pt;margin-top:1159.35pt;margin-left:786.81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0.05pt;height:17.95pt;margin-top:1159.35pt;margin-left:786.81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0.05pt;height:17.95pt;margin-top:1159.35pt;margin-left:786.81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0.05pt;height:17.95pt;margin-top:1159.35pt;margin-left:786.81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0.05pt;height:17.95pt;margin-top:1159.35pt;margin-left:786.81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0.05pt;height:17.95pt;margin-top:1159.35pt;margin-left:786.81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0.05pt;height:17.95pt;margin-top:1159.35pt;margin-left:786.81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0.05pt;height:17.95pt;margin-top:1159.35pt;margin-left:786.81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0.05pt;height:17.95pt;margin-top:1159.35pt;margin-left:786.81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0.05pt;height:17.95pt;margin-top:1159.35pt;margin-left:786.81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20.05pt;height:17.95pt;margin-top:1159.35pt;margin-left:786.81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0.05pt;height:17.95pt;margin-top:1159.35pt;margin-left:786.81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20.05pt;height:17.95pt;margin-top:1159.35pt;margin-left:786.81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20.05pt;height:17.95pt;margin-top:1159.35pt;margin-left:786.81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ABFE2"/>
    <w:multiLevelType w:val="hybridMultilevel"/>
    <w:tmpl w:val="00000000"/>
    <w:lvl w:ilvl="0">
      <w:start w:val="1"/>
      <w:numFmt w:val="decimal"/>
      <w:lvlText w:val="（%1）"/>
      <w:lvlJc w:val="left"/>
      <w:pPr>
        <w:ind w:left="153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2"/>
      <w:numFmt w:val="decimal"/>
      <w:lvlText w:val="（%2）"/>
      <w:lvlJc w:val="left"/>
      <w:pPr>
        <w:ind w:left="1978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1"/>
      <w:numFmt w:val="lowerLetter"/>
      <w:lvlText w:val="%3."/>
      <w:lvlJc w:val="left"/>
      <w:pPr>
        <w:ind w:left="1736" w:hanging="48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1740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80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80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23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67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411" w:hanging="483"/>
      </w:pPr>
      <w:rPr>
        <w:rFonts w:hint="default"/>
      </w:rPr>
    </w:lvl>
  </w:abstractNum>
  <w:abstractNum w:abstractNumId="1">
    <w:nsid w:val="1C9FFF43"/>
    <w:multiLevelType w:val="hybridMultilevel"/>
    <w:tmpl w:val="00000000"/>
    <w:lvl w:ilvl="0">
      <w:start w:val="1"/>
      <w:numFmt w:val="decimal"/>
      <w:lvlText w:val="%1."/>
      <w:lvlJc w:val="left"/>
      <w:pPr>
        <w:ind w:left="2172" w:hanging="562"/>
        <w:jc w:val="left"/>
      </w:pPr>
      <w:rPr>
        <w:rFonts w:ascii="宋体" w:eastAsia="宋体" w:hAnsi="宋体" w:cs="宋体" w:hint="default"/>
        <w:spacing w:val="-127"/>
        <w:w w:val="100"/>
        <w:sz w:val="31"/>
        <w:szCs w:val="31"/>
      </w:rPr>
    </w:lvl>
    <w:lvl w:ilvl="1">
      <w:start w:val="0"/>
      <w:numFmt w:val="bullet"/>
      <w:lvlText w:val="•"/>
      <w:lvlJc w:val="left"/>
      <w:pPr>
        <w:ind w:left="2702" w:hanging="5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4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46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68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90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312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834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356" w:hanging="562"/>
      </w:pPr>
      <w:rPr>
        <w:rFonts w:hint="default"/>
      </w:rPr>
    </w:lvl>
  </w:abstractNum>
  <w:abstractNum w:abstractNumId="2">
    <w:nsid w:val="20916677"/>
    <w:multiLevelType w:val="hybridMultilevel"/>
    <w:tmpl w:val="00000000"/>
    <w:lvl w:ilvl="0">
      <w:start w:val="1"/>
      <w:numFmt w:val="decimal"/>
      <w:lvlText w:val="（%1）"/>
      <w:lvlJc w:val="left"/>
      <w:pPr>
        <w:ind w:left="293" w:hanging="1056"/>
        <w:jc w:val="right"/>
      </w:pPr>
      <w:rPr>
        <w:rFonts w:hint="default"/>
        <w:spacing w:val="-119"/>
        <w:w w:val="100"/>
      </w:rPr>
    </w:lvl>
    <w:lvl w:ilvl="1">
      <w:start w:val="2"/>
      <w:numFmt w:val="decimal"/>
      <w:lvlText w:val="（%2）"/>
      <w:lvlJc w:val="left"/>
      <w:pPr>
        <w:ind w:left="480" w:hanging="1053"/>
        <w:jc w:val="left"/>
      </w:pPr>
      <w:rPr>
        <w:rFonts w:ascii="宋体" w:eastAsia="宋体" w:hAnsi="宋体" w:cs="宋体" w:hint="default"/>
        <w:spacing w:val="-4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01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51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86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22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28" w:hanging="1053"/>
      </w:pPr>
      <w:rPr>
        <w:rFonts w:hint="default"/>
      </w:rPr>
    </w:lvl>
  </w:abstractNum>
  <w:abstractNum w:abstractNumId="3">
    <w:nsid w:val="2F2D16C0"/>
    <w:multiLevelType w:val="hybridMultilevel"/>
    <w:tmpl w:val="00000000"/>
    <w:lvl w:ilvl="0">
      <w:start w:val="1"/>
      <w:numFmt w:val="decimal"/>
      <w:lvlText w:val="（%1）"/>
      <w:lvlJc w:val="left"/>
      <w:pPr>
        <w:ind w:left="2292" w:hanging="1053"/>
        <w:jc w:val="left"/>
      </w:pPr>
      <w:rPr>
        <w:rFonts w:ascii="幼圆" w:eastAsia="幼圆" w:hAnsi="幼圆" w:cs="幼圆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499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99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99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99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9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99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9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99" w:hanging="1053"/>
      </w:pPr>
      <w:rPr>
        <w:rFonts w:hint="default"/>
      </w:rPr>
    </w:lvl>
  </w:abstractNum>
  <w:abstractNum w:abstractNumId="4">
    <w:nsid w:val="3D088AED"/>
    <w:multiLevelType w:val="hybridMultilevel"/>
    <w:tmpl w:val="00000000"/>
    <w:lvl w:ilvl="0">
      <w:start w:val="3"/>
      <w:numFmt w:val="decimal"/>
      <w:lvlText w:val="（%1）"/>
      <w:lvlJc w:val="left"/>
      <w:pPr>
        <w:ind w:left="1345" w:hanging="1052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1644" w:hanging="1052"/>
        <w:jc w:val="left"/>
      </w:pPr>
      <w:rPr>
        <w:rFonts w:ascii="宋体" w:eastAsia="宋体" w:hAnsi="宋体" w:cs="宋体" w:hint="default"/>
        <w:spacing w:val="-209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046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53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9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66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3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79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6" w:hanging="1052"/>
      </w:pPr>
      <w:rPr>
        <w:rFonts w:hint="default"/>
      </w:rPr>
    </w:lvl>
  </w:abstractNum>
  <w:abstractNum w:abstractNumId="5">
    <w:nsid w:val="5082539E"/>
    <w:multiLevelType w:val="hybridMultilevel"/>
    <w:tmpl w:val="00000000"/>
    <w:lvl w:ilvl="0">
      <w:start w:val="1"/>
      <w:numFmt w:val="decimal"/>
      <w:lvlText w:val="%1）"/>
      <w:lvlJc w:val="left"/>
      <w:pPr>
        <w:ind w:left="293" w:hanging="635"/>
        <w:jc w:val="right"/>
      </w:pPr>
      <w:rPr>
        <w:rFonts w:hint="default"/>
        <w:spacing w:val="0"/>
        <w:w w:val="96"/>
      </w:rPr>
    </w:lvl>
    <w:lvl w:ilvl="1">
      <w:start w:val="1"/>
      <w:numFmt w:val="decimal"/>
      <w:lvlText w:val="%2）"/>
      <w:lvlJc w:val="left"/>
      <w:pPr>
        <w:ind w:left="480" w:hanging="664"/>
        <w:jc w:val="left"/>
      </w:pPr>
      <w:rPr>
        <w:rFonts w:hint="default"/>
        <w:spacing w:val="-184"/>
        <w:w w:val="100"/>
      </w:rPr>
    </w:lvl>
    <w:lvl w:ilvl="2">
      <w:start w:val="1"/>
      <w:numFmt w:val="decimal"/>
      <w:lvlText w:val="（%3）"/>
      <w:lvlJc w:val="left"/>
      <w:pPr>
        <w:ind w:left="833" w:hanging="1053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2522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04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87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69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2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4" w:hanging="1053"/>
      </w:pPr>
      <w:rPr>
        <w:rFonts w:hint="default"/>
      </w:rPr>
    </w:lvl>
  </w:abstractNum>
  <w:abstractNum w:abstractNumId="6">
    <w:nsid w:val="5DAF62C1"/>
    <w:multiLevelType w:val="hybridMultilevel"/>
    <w:tmpl w:val="00000000"/>
    <w:lvl w:ilvl="0">
      <w:start w:val="1"/>
      <w:numFmt w:val="decimal"/>
      <w:lvlText w:val="%1."/>
      <w:lvlJc w:val="left"/>
      <w:pPr>
        <w:ind w:left="2359" w:hanging="562"/>
        <w:jc w:val="right"/>
      </w:pPr>
      <w:rPr>
        <w:rFonts w:ascii="宋体" w:eastAsia="宋体" w:hAnsi="宋体" w:cs="宋体" w:hint="default"/>
        <w:spacing w:val="-127"/>
        <w:w w:val="100"/>
        <w:sz w:val="31"/>
        <w:szCs w:val="31"/>
      </w:rPr>
    </w:lvl>
    <w:lvl w:ilvl="1">
      <w:start w:val="0"/>
      <w:numFmt w:val="bullet"/>
      <w:lvlText w:val="•"/>
      <w:lvlJc w:val="left"/>
      <w:pPr>
        <w:ind w:left="2860" w:hanging="5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60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60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61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861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361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861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362" w:hanging="562"/>
      </w:pPr>
      <w:rPr>
        <w:rFonts w:hint="default"/>
      </w:rPr>
    </w:lvl>
  </w:abstractNum>
  <w:abstractNum w:abstractNumId="7">
    <w:nsid w:val="5E8920BC"/>
    <w:multiLevelType w:val="hybridMultilevel"/>
    <w:tmpl w:val="00000000"/>
    <w:lvl w:ilvl="0">
      <w:start w:val="1"/>
      <w:numFmt w:val="decimal"/>
      <w:lvlText w:val="%1）"/>
      <w:lvlJc w:val="left"/>
      <w:pPr>
        <w:ind w:left="1647" w:hanging="635"/>
        <w:jc w:val="left"/>
      </w:pPr>
      <w:rPr>
        <w:rFonts w:hint="default"/>
        <w:spacing w:val="0"/>
        <w:w w:val="96"/>
      </w:rPr>
    </w:lvl>
    <w:lvl w:ilvl="1">
      <w:start w:val="0"/>
      <w:numFmt w:val="bullet"/>
      <w:lvlText w:val="•"/>
      <w:lvlJc w:val="left"/>
      <w:pPr>
        <w:ind w:left="290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7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3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0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6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0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67" w:hanging="635"/>
      </w:pPr>
      <w:rPr>
        <w:rFonts w:hint="default"/>
      </w:rPr>
    </w:lvl>
  </w:abstractNum>
  <w:abstractNum w:abstractNumId="8">
    <w:nsid w:val="61D87A7E"/>
    <w:multiLevelType w:val="hybridMultilevel"/>
    <w:tmpl w:val="00000000"/>
    <w:lvl w:ilvl="0">
      <w:start w:val="1"/>
      <w:numFmt w:val="decimal"/>
      <w:lvlText w:val="%1."/>
      <w:lvlJc w:val="left"/>
      <w:pPr>
        <w:ind w:left="397" w:hanging="562"/>
        <w:jc w:val="right"/>
      </w:pPr>
      <w:rPr>
        <w:rFonts w:ascii="宋体" w:eastAsia="宋体" w:hAnsi="宋体" w:cs="宋体" w:hint="default"/>
        <w:spacing w:val="-127"/>
        <w:w w:val="100"/>
        <w:sz w:val="31"/>
        <w:szCs w:val="31"/>
      </w:rPr>
    </w:lvl>
    <w:lvl w:ilvl="1">
      <w:start w:val="0"/>
      <w:numFmt w:val="bullet"/>
      <w:lvlText w:val="•"/>
      <w:lvlJc w:val="left"/>
      <w:pPr>
        <w:ind w:left="1100" w:hanging="5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00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00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00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00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00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301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001" w:hanging="562"/>
      </w:pPr>
      <w:rPr>
        <w:rFonts w:hint="default"/>
      </w:rPr>
    </w:lvl>
  </w:abstractNum>
  <w:abstractNum w:abstractNumId="9">
    <w:nsid w:val="6CF2B712"/>
    <w:multiLevelType w:val="hybridMultilevel"/>
    <w:tmpl w:val="00000000"/>
    <w:lvl w:ilvl="0">
      <w:start w:val="1"/>
      <w:numFmt w:val="decimal"/>
      <w:lvlText w:val="（%1）"/>
      <w:lvlJc w:val="left"/>
      <w:pPr>
        <w:ind w:left="833" w:hanging="1056"/>
        <w:jc w:val="left"/>
      </w:pPr>
      <w:rPr>
        <w:rFonts w:ascii="宋体" w:eastAsia="宋体" w:hAnsi="宋体" w:cs="宋体" w:hint="default"/>
        <w:spacing w:val="-87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8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2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07" w:hanging="1056"/>
      </w:pPr>
      <w:rPr>
        <w:rFonts w:hint="default"/>
      </w:rPr>
    </w:lvl>
  </w:abstractNum>
  <w:abstractNum w:abstractNumId="10">
    <w:nsid w:val="71842FFA"/>
    <w:multiLevelType w:val="hybridMultilevel"/>
    <w:tmpl w:val="00000000"/>
    <w:lvl w:ilvl="0">
      <w:start w:val="1"/>
      <w:numFmt w:val="decimal"/>
      <w:lvlText w:val="（%1）"/>
      <w:lvlJc w:val="left"/>
      <w:pPr>
        <w:ind w:left="293" w:hanging="1056"/>
        <w:jc w:val="right"/>
      </w:pPr>
      <w:rPr>
        <w:rFonts w:hint="default"/>
        <w:spacing w:val="-119"/>
        <w:w w:val="100"/>
      </w:rPr>
    </w:lvl>
    <w:lvl w:ilvl="1">
      <w:start w:val="2"/>
      <w:numFmt w:val="decimal"/>
      <w:lvlText w:val="（%2）"/>
      <w:lvlJc w:val="left"/>
      <w:pPr>
        <w:ind w:left="480" w:hanging="1053"/>
        <w:jc w:val="left"/>
      </w:pPr>
      <w:rPr>
        <w:rFonts w:ascii="宋体" w:eastAsia="宋体" w:hAnsi="宋体" w:cs="宋体" w:hint="default"/>
        <w:spacing w:val="-4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01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51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86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22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3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28" w:hanging="1053"/>
      </w:pPr>
      <w:rPr>
        <w:rFonts w:hint="default"/>
      </w:rPr>
    </w:lvl>
  </w:abstractNum>
  <w:abstractNum w:abstractNumId="11">
    <w:nsid w:val="7586DA8D"/>
    <w:multiLevelType w:val="hybridMultilevel"/>
    <w:tmpl w:val="00000000"/>
    <w:lvl w:ilvl="0">
      <w:start w:val="1"/>
      <w:numFmt w:val="decimal"/>
      <w:lvlText w:val="（%1）"/>
      <w:lvlJc w:val="left"/>
      <w:pPr>
        <w:ind w:left="1348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1"/>
      <w:numFmt w:val="decimal"/>
      <w:lvlText w:val="%2）"/>
      <w:lvlJc w:val="left"/>
      <w:pPr>
        <w:ind w:left="480" w:hanging="639"/>
        <w:jc w:val="left"/>
      </w:pPr>
      <w:rPr>
        <w:rFonts w:ascii="宋体" w:eastAsia="宋体" w:hAnsi="宋体" w:cs="宋体" w:hint="default"/>
        <w:spacing w:val="-206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779" w:hanging="6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9" w:hanging="6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59" w:hanging="6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9" w:hanging="6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39" w:hanging="6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79" w:hanging="6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9" w:hanging="639"/>
      </w:pPr>
      <w:rPr>
        <w:rFonts w:hint="default"/>
      </w:rPr>
    </w:lvl>
  </w:abstractNum>
  <w:num w:numId="1">
    <w:abstractNumId w:val="10"/>
  </w:num>
  <w:num w:numId="2">
    <w:abstractNumId w:val="3"/>
  </w:num>
  <w:num w:numId="3">
    <w:abstractNumId w:val="9"/>
  </w:num>
  <w:num w:numId="4">
    <w:abstractNumId w:val="5"/>
  </w:num>
  <w:num w:numId="5">
    <w:abstractNumId w:val="7"/>
  </w:num>
  <w:num w:numId="6">
    <w:abstractNumId w:val="6"/>
  </w:num>
  <w:num w:numId="7">
    <w:abstractNumId w:val="8"/>
  </w:num>
  <w:num w:numId="8">
    <w:abstractNumId w:val="1"/>
  </w:num>
  <w:num w:numId="9">
    <w:abstractNumId w:val="0"/>
  </w:num>
  <w:num w:numId="10">
    <w:abstractNumId w:val="4"/>
  </w:num>
  <w:num w:numId="11">
    <w:abstractNumId w:val="11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293"/>
      <w:outlineLvl w:val="0"/>
    </w:pPr>
    <w:rPr>
      <w:rFonts w:ascii="宋体" w:eastAsia="宋体" w:hAnsi="宋体" w:cs="宋体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jc w:val="center"/>
      <w:outlineLvl w:val="1"/>
    </w:pPr>
    <w:rPr>
      <w:rFonts w:ascii="楷体" w:eastAsia="楷体" w:hAnsi="楷体" w:cs="楷体"/>
      <w:sz w:val="48"/>
      <w:szCs w:val="48"/>
    </w:rPr>
  </w:style>
  <w:style w:type="paragraph" w:styleId="Heading3">
    <w:name w:val="heading 3"/>
    <w:basedOn w:val="Normal"/>
    <w:uiPriority w:val="1"/>
    <w:qFormat/>
    <w:pPr>
      <w:ind w:left="293"/>
      <w:outlineLvl w:val="2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489"/>
      <w:ind w:left="293"/>
    </w:pPr>
    <w:rPr>
      <w:rFonts w:ascii="楷体" w:eastAsia="楷体" w:hAnsi="楷体" w:cs="楷体"/>
      <w:b/>
      <w:bCs/>
      <w:sz w:val="36"/>
      <w:szCs w:val="36"/>
    </w:rPr>
  </w:style>
  <w:style w:type="paragraph" w:styleId="TOC2">
    <w:name w:val="toc 2"/>
    <w:basedOn w:val="Normal"/>
    <w:uiPriority w:val="1"/>
    <w:qFormat/>
    <w:pPr>
      <w:spacing w:before="364"/>
      <w:ind w:left="293"/>
    </w:pPr>
    <w:rPr>
      <w:rFonts w:ascii="楷体" w:eastAsia="楷体" w:hAnsi="楷体" w:cs="楷体"/>
      <w:b/>
      <w:bCs/>
      <w:sz w:val="30"/>
      <w:szCs w:val="30"/>
    </w:rPr>
  </w:style>
  <w:style w:type="paragraph" w:styleId="TOC3">
    <w:name w:val="toc 3"/>
    <w:basedOn w:val="Normal"/>
    <w:uiPriority w:val="1"/>
    <w:qFormat/>
    <w:pPr>
      <w:spacing w:before="364"/>
      <w:ind w:left="293"/>
    </w:pPr>
    <w:rPr>
      <w:rFonts w:ascii="楷体" w:eastAsia="楷体" w:hAnsi="楷体" w:cs="楷体"/>
      <w:b/>
      <w:bCs/>
      <w:i/>
    </w:rPr>
  </w:style>
  <w:style w:type="paragraph" w:styleId="TOC4">
    <w:name w:val="toc 4"/>
    <w:basedOn w:val="Normal"/>
    <w:uiPriority w:val="1"/>
    <w:qFormat/>
    <w:pPr>
      <w:spacing w:before="4"/>
      <w:ind w:left="610"/>
    </w:pPr>
    <w:rPr>
      <w:rFonts w:ascii="宋体" w:eastAsia="宋体" w:hAnsi="宋体" w:cs="宋体"/>
      <w:sz w:val="30"/>
      <w:szCs w:val="30"/>
    </w:rPr>
  </w:style>
  <w:style w:type="paragraph" w:styleId="TOC5">
    <w:name w:val="toc 5"/>
    <w:basedOn w:val="Normal"/>
    <w:uiPriority w:val="1"/>
    <w:qFormat/>
    <w:pPr>
      <w:spacing w:before="67"/>
      <w:ind w:left="610"/>
    </w:pPr>
    <w:rPr>
      <w:rFonts w:ascii="宋体" w:eastAsia="宋体" w:hAnsi="宋体" w:cs="宋体"/>
      <w:b/>
      <w:bCs/>
      <w:i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Title">
    <w:name w:val="Title"/>
    <w:basedOn w:val="Normal"/>
    <w:uiPriority w:val="1"/>
    <w:qFormat/>
    <w:pPr>
      <w:ind w:right="289"/>
      <w:jc w:val="center"/>
    </w:pPr>
    <w:rPr>
      <w:rFonts w:ascii="楷体" w:eastAsia="楷体" w:hAnsi="楷体" w:cs="楷体"/>
      <w:b/>
      <w:bCs/>
      <w:sz w:val="108"/>
      <w:szCs w:val="108"/>
    </w:rPr>
  </w:style>
  <w:style w:type="paragraph" w:styleId="ListParagraph">
    <w:name w:val="List Paragraph"/>
    <w:basedOn w:val="Normal"/>
    <w:uiPriority w:val="1"/>
    <w:qFormat/>
    <w:pPr>
      <w:ind w:left="480" w:hanging="1053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楷体" w:eastAsia="楷体" w:hAnsi="楷体" w:cs="楷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image" Target="media/image1.png" /><Relationship Id="rId15" Type="http://schemas.openxmlformats.org/officeDocument/2006/relationships/image" Target="media/image2.png" /><Relationship Id="rId16" Type="http://schemas.openxmlformats.org/officeDocument/2006/relationships/footer" Target="footer11.xml" /><Relationship Id="rId17" Type="http://schemas.openxmlformats.org/officeDocument/2006/relationships/footer" Target="footer12.xml" /><Relationship Id="rId18" Type="http://schemas.openxmlformats.org/officeDocument/2006/relationships/footer" Target="footer13.xml" /><Relationship Id="rId19" Type="http://schemas.openxmlformats.org/officeDocument/2006/relationships/image" Target="media/image3.png" /><Relationship Id="rId2" Type="http://schemas.openxmlformats.org/officeDocument/2006/relationships/webSettings" Target="webSettings.xml" /><Relationship Id="rId20" Type="http://schemas.openxmlformats.org/officeDocument/2006/relationships/image" Target="media/image4.png" /><Relationship Id="rId21" Type="http://schemas.openxmlformats.org/officeDocument/2006/relationships/image" Target="media/image5.png" /><Relationship Id="rId22" Type="http://schemas.openxmlformats.org/officeDocument/2006/relationships/image" Target="media/image6.png" /><Relationship Id="rId23" Type="http://schemas.openxmlformats.org/officeDocument/2006/relationships/image" Target="media/image7.png" /><Relationship Id="rId24" Type="http://schemas.openxmlformats.org/officeDocument/2006/relationships/image" Target="media/image8.png" /><Relationship Id="rId25" Type="http://schemas.openxmlformats.org/officeDocument/2006/relationships/image" Target="media/image9.png" /><Relationship Id="rId26" Type="http://schemas.openxmlformats.org/officeDocument/2006/relationships/image" Target="media/image10.png" /><Relationship Id="rId27" Type="http://schemas.openxmlformats.org/officeDocument/2006/relationships/footer" Target="footer14.xml" /><Relationship Id="rId28" Type="http://schemas.openxmlformats.org/officeDocument/2006/relationships/image" Target="media/image11.jpeg" /><Relationship Id="rId29" Type="http://schemas.openxmlformats.org/officeDocument/2006/relationships/footer" Target="footer15.xml" /><Relationship Id="rId3" Type="http://schemas.openxmlformats.org/officeDocument/2006/relationships/fontTable" Target="fontTable.xml" /><Relationship Id="rId30" Type="http://schemas.openxmlformats.org/officeDocument/2006/relationships/image" Target="media/image12.png" /><Relationship Id="rId31" Type="http://schemas.openxmlformats.org/officeDocument/2006/relationships/image" Target="media/image13.png" /><Relationship Id="rId32" Type="http://schemas.openxmlformats.org/officeDocument/2006/relationships/image" Target="media/image14.png" /><Relationship Id="rId33" Type="http://schemas.openxmlformats.org/officeDocument/2006/relationships/image" Target="media/image15.png" /><Relationship Id="rId34" Type="http://schemas.openxmlformats.org/officeDocument/2006/relationships/footer" Target="footer16.xml" /><Relationship Id="rId35" Type="http://schemas.openxmlformats.org/officeDocument/2006/relationships/footer" Target="footer17.xml" /><Relationship Id="rId36" Type="http://schemas.openxmlformats.org/officeDocument/2006/relationships/hyperlink" Target="https://d.book118.com/147120120021006043" TargetMode="External" /><Relationship Id="rId37" Type="http://schemas.openxmlformats.org/officeDocument/2006/relationships/footer" Target="footer18.xml" /><Relationship Id="rId38" Type="http://schemas.openxmlformats.org/officeDocument/2006/relationships/theme" Target="theme/theme1.xml" /><Relationship Id="rId39" Type="http://schemas.openxmlformats.org/officeDocument/2006/relationships/numbering" Target="numbering.xml" /><Relationship Id="rId4" Type="http://schemas.openxmlformats.org/officeDocument/2006/relationships/footer" Target="footer1.xml" /><Relationship Id="rId40" Type="http://schemas.openxmlformats.org/officeDocument/2006/relationships/styles" Target="styles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2024-01-31T21:00:46Z</dcterms:created>
  <dcterms:modified xsi:type="dcterms:W3CDTF">2024-01-31T21:00:46Z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2022-11-21T00:00:00Z</vt:filetime>
  </property>
  <property fmtid="{D5CDD505-2E9C-101B-9397-08002B2CF9AE}" pid="3" name="LastSaved">
    <vt:filetime>2024-01-31T00:00:00Z</vt:filetime>
  </property>
</Properties>
</file>