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
        <w:rPr>
          <w:rFonts w:ascii="Times New Roman"/>
          <w:sz w:val="19"/>
        </w:rPr>
      </w:pPr>
    </w:p>
    <w:p>
      <w:pPr>
        <w:pStyle w:val="Title"/>
      </w:pPr>
      <w:r>
        <w:t>轨道式集装箱门式起重机自动化技术规范</w:t>
      </w:r>
    </w:p>
    <w:p>
      <w:pPr>
        <w:spacing w:after="0"/>
        <w:sectPr>
          <w:type w:val="continuous"/>
          <w:pgSz w:w="11910" w:h="16840"/>
          <w:pgMar w:top="1580" w:right="820" w:bottom="280" w:left="1300" w:header="708" w:footer="708"/>
          <w:cols w:space="708"/>
        </w:sectPr>
      </w:pPr>
    </w:p>
    <w:p>
      <w:pPr>
        <w:pStyle w:val="BodyText"/>
        <w:spacing w:before="5"/>
        <w:rPr>
          <w:rFonts w:ascii="黑体"/>
          <w:sz w:val="25"/>
        </w:rPr>
      </w:pPr>
    </w:p>
    <w:p>
      <w:pPr>
        <w:pStyle w:val="Heading1"/>
        <w:tabs>
          <w:tab w:val="left" w:pos="959"/>
        </w:tabs>
      </w:pPr>
      <w:r>
        <w:t>目</w:t>
        <w:tab/>
        <w:t>次</w:t>
      </w:r>
    </w:p>
    <w:p>
      <w:pPr>
        <w:pStyle w:val="BodyText"/>
        <w:tabs>
          <w:tab w:val="right" w:leader="dot" w:pos="9462"/>
        </w:tabs>
        <w:spacing w:before="684"/>
        <w:ind w:left="118"/>
      </w:pPr>
      <w:r>
        <w:t>前言</w:t>
      </w:r>
      <w:r>
        <w:rPr>
          <w:rFonts w:ascii="Times New Roman" w:eastAsia="Times New Roman"/>
        </w:rPr>
        <w:tab/>
      </w:r>
      <w:r>
        <w:t>II</w:t>
      </w:r>
    </w:p>
    <w:p>
      <w:pPr>
        <w:pStyle w:val="BodyText"/>
        <w:tabs>
          <w:tab w:val="right" w:leader="dot" w:pos="9462"/>
        </w:tabs>
        <w:spacing w:before="132"/>
        <w:ind w:left="118"/>
      </w:pPr>
      <w:r>
        <w:t>引言</w:t>
      </w:r>
      <w:r>
        <w:rPr>
          <w:rFonts w:ascii="Times New Roman" w:eastAsia="Times New Roman"/>
        </w:rPr>
        <w:tab/>
      </w:r>
      <w:r>
        <w:t>III</w:t>
      </w:r>
    </w:p>
    <w:p>
      <w:pPr>
        <w:pStyle w:val="ListParagraph"/>
        <w:numPr>
          <w:ilvl w:val="0"/>
          <w:numId w:val="2"/>
        </w:numPr>
        <w:tabs>
          <w:tab w:val="left" w:pos="433"/>
          <w:tab w:val="right" w:leader="dot" w:pos="9460"/>
        </w:tabs>
        <w:spacing w:before="132" w:after="0" w:line="240" w:lineRule="auto"/>
        <w:ind w:left="432" w:right="0" w:hanging="315"/>
        <w:jc w:val="left"/>
        <w:rPr>
          <w:sz w:val="21"/>
        </w:rPr>
      </w:pPr>
      <w:hyperlink w:anchor="_bookmark0" w:history="1">
        <w:r>
          <w:rPr>
            <w:sz w:val="21"/>
          </w:rPr>
          <w:t>范围</w:t>
        </w:r>
        <w:r>
          <w:rPr>
            <w:rFonts w:ascii="Times New Roman" w:eastAsia="Times New Roman"/>
            <w:sz w:val="21"/>
          </w:rPr>
          <w:tab/>
        </w:r>
        <w:r>
          <w:rPr>
            <w:sz w:val="21"/>
          </w:rPr>
          <w:t>1</w:t>
        </w:r>
      </w:hyperlink>
    </w:p>
    <w:p>
      <w:pPr>
        <w:pStyle w:val="ListParagraph"/>
        <w:numPr>
          <w:ilvl w:val="0"/>
          <w:numId w:val="2"/>
        </w:numPr>
        <w:tabs>
          <w:tab w:val="left" w:pos="433"/>
          <w:tab w:val="right" w:leader="dot" w:pos="9460"/>
        </w:tabs>
        <w:spacing w:before="129" w:after="0" w:line="240" w:lineRule="auto"/>
        <w:ind w:left="432" w:right="0" w:hanging="315"/>
        <w:jc w:val="left"/>
        <w:rPr>
          <w:sz w:val="21"/>
        </w:rPr>
      </w:pPr>
      <w:hyperlink w:anchor="_bookmark1" w:history="1">
        <w:r>
          <w:rPr>
            <w:sz w:val="21"/>
          </w:rPr>
          <w:t>规范性引用文件</w:t>
        </w:r>
        <w:r>
          <w:rPr>
            <w:rFonts w:ascii="Times New Roman" w:eastAsia="Times New Roman"/>
            <w:sz w:val="21"/>
          </w:rPr>
          <w:tab/>
        </w:r>
        <w:r>
          <w:rPr>
            <w:sz w:val="21"/>
          </w:rPr>
          <w:t>1</w:t>
        </w:r>
      </w:hyperlink>
    </w:p>
    <w:p>
      <w:pPr>
        <w:pStyle w:val="ListParagraph"/>
        <w:numPr>
          <w:ilvl w:val="0"/>
          <w:numId w:val="2"/>
        </w:numPr>
        <w:tabs>
          <w:tab w:val="left" w:pos="433"/>
          <w:tab w:val="right" w:leader="dot" w:pos="9460"/>
        </w:tabs>
        <w:spacing w:before="132" w:after="0" w:line="240" w:lineRule="auto"/>
        <w:ind w:left="432" w:right="0" w:hanging="315"/>
        <w:jc w:val="left"/>
        <w:rPr>
          <w:sz w:val="21"/>
        </w:rPr>
      </w:pPr>
      <w:hyperlink w:anchor="_bookmark2" w:history="1">
        <w:r>
          <w:rPr>
            <w:sz w:val="21"/>
          </w:rPr>
          <w:t>术语和定义</w:t>
        </w:r>
        <w:r>
          <w:rPr>
            <w:rFonts w:ascii="Times New Roman" w:eastAsia="Times New Roman"/>
            <w:sz w:val="21"/>
          </w:rPr>
          <w:tab/>
        </w:r>
        <w:r>
          <w:rPr>
            <w:sz w:val="21"/>
          </w:rPr>
          <w:t>1</w:t>
        </w:r>
      </w:hyperlink>
    </w:p>
    <w:p>
      <w:pPr>
        <w:pStyle w:val="ListParagraph"/>
        <w:numPr>
          <w:ilvl w:val="0"/>
          <w:numId w:val="2"/>
        </w:numPr>
        <w:tabs>
          <w:tab w:val="left" w:pos="433"/>
          <w:tab w:val="right" w:leader="dot" w:pos="9460"/>
        </w:tabs>
        <w:spacing w:before="131" w:after="0" w:line="240" w:lineRule="auto"/>
        <w:ind w:left="432" w:right="0" w:hanging="315"/>
        <w:jc w:val="left"/>
        <w:rPr>
          <w:sz w:val="21"/>
        </w:rPr>
      </w:pPr>
      <w:hyperlink w:anchor="_bookmark3" w:history="1">
        <w:r>
          <w:rPr>
            <w:sz w:val="21"/>
          </w:rPr>
          <w:t>一般要求</w:t>
        </w:r>
        <w:r>
          <w:rPr>
            <w:rFonts w:ascii="Times New Roman" w:eastAsia="Times New Roman"/>
            <w:sz w:val="21"/>
          </w:rPr>
          <w:tab/>
        </w:r>
        <w:r>
          <w:rPr>
            <w:sz w:val="21"/>
          </w:rPr>
          <w:t>2</w:t>
        </w:r>
      </w:hyperlink>
    </w:p>
    <w:p>
      <w:pPr>
        <w:pStyle w:val="ListParagraph"/>
        <w:numPr>
          <w:ilvl w:val="0"/>
          <w:numId w:val="2"/>
        </w:numPr>
        <w:tabs>
          <w:tab w:val="left" w:pos="433"/>
          <w:tab w:val="right" w:leader="dot" w:pos="9460"/>
        </w:tabs>
        <w:spacing w:before="130" w:after="0" w:line="240" w:lineRule="auto"/>
        <w:ind w:left="432" w:right="0" w:hanging="315"/>
        <w:jc w:val="left"/>
        <w:rPr>
          <w:sz w:val="21"/>
        </w:rPr>
      </w:pPr>
      <w:hyperlink w:anchor="_bookmark4" w:history="1">
        <w:r>
          <w:rPr>
            <w:sz w:val="21"/>
          </w:rPr>
          <w:t>管理与控制系统</w:t>
        </w:r>
        <w:r>
          <w:rPr>
            <w:rFonts w:ascii="Times New Roman" w:eastAsia="Times New Roman"/>
            <w:sz w:val="21"/>
          </w:rPr>
          <w:tab/>
        </w:r>
        <w:r>
          <w:rPr>
            <w:sz w:val="21"/>
          </w:rPr>
          <w:t>3</w:t>
        </w:r>
      </w:hyperlink>
    </w:p>
    <w:p>
      <w:pPr>
        <w:pStyle w:val="ListParagraph"/>
        <w:numPr>
          <w:ilvl w:val="0"/>
          <w:numId w:val="2"/>
        </w:numPr>
        <w:tabs>
          <w:tab w:val="left" w:pos="433"/>
          <w:tab w:val="right" w:leader="dot" w:pos="9460"/>
        </w:tabs>
        <w:spacing w:before="132" w:after="0" w:line="240" w:lineRule="auto"/>
        <w:ind w:left="432" w:right="0" w:hanging="315"/>
        <w:jc w:val="left"/>
        <w:rPr>
          <w:sz w:val="21"/>
        </w:rPr>
      </w:pPr>
      <w:hyperlink w:anchor="_bookmark5" w:history="1">
        <w:r>
          <w:rPr>
            <w:sz w:val="21"/>
          </w:rPr>
          <w:t>控制操作系统</w:t>
        </w:r>
        <w:r>
          <w:rPr>
            <w:rFonts w:ascii="Times New Roman" w:eastAsia="Times New Roman"/>
            <w:sz w:val="21"/>
          </w:rPr>
          <w:tab/>
        </w:r>
        <w:r>
          <w:rPr>
            <w:sz w:val="21"/>
          </w:rPr>
          <w:t>5</w:t>
        </w:r>
      </w:hyperlink>
    </w:p>
    <w:p>
      <w:pPr>
        <w:pStyle w:val="ListParagraph"/>
        <w:numPr>
          <w:ilvl w:val="0"/>
          <w:numId w:val="2"/>
        </w:numPr>
        <w:tabs>
          <w:tab w:val="left" w:pos="433"/>
          <w:tab w:val="right" w:leader="dot" w:pos="9460"/>
        </w:tabs>
        <w:spacing w:before="131" w:after="0" w:line="240" w:lineRule="auto"/>
        <w:ind w:left="432" w:right="0" w:hanging="315"/>
        <w:jc w:val="left"/>
        <w:rPr>
          <w:sz w:val="21"/>
        </w:rPr>
      </w:pPr>
      <w:hyperlink w:anchor="_bookmark6" w:history="1">
        <w:r>
          <w:rPr>
            <w:sz w:val="21"/>
          </w:rPr>
          <w:t>智能感知系统</w:t>
        </w:r>
        <w:r>
          <w:rPr>
            <w:rFonts w:ascii="Times New Roman" w:eastAsia="Times New Roman"/>
            <w:sz w:val="21"/>
          </w:rPr>
          <w:tab/>
        </w:r>
        <w:r>
          <w:rPr>
            <w:sz w:val="21"/>
          </w:rPr>
          <w:t>9</w:t>
        </w:r>
      </w:hyperlink>
    </w:p>
    <w:p>
      <w:pPr>
        <w:pStyle w:val="ListParagraph"/>
        <w:numPr>
          <w:ilvl w:val="0"/>
          <w:numId w:val="2"/>
        </w:numPr>
        <w:tabs>
          <w:tab w:val="left" w:pos="433"/>
          <w:tab w:val="right" w:leader="dot" w:pos="9462"/>
        </w:tabs>
        <w:spacing w:before="130" w:after="0" w:line="240" w:lineRule="auto"/>
        <w:ind w:left="432" w:right="0" w:hanging="315"/>
        <w:jc w:val="left"/>
        <w:rPr>
          <w:sz w:val="21"/>
        </w:rPr>
      </w:pPr>
      <w:hyperlink w:anchor="_bookmark7" w:history="1">
        <w:r>
          <w:rPr>
            <w:sz w:val="21"/>
          </w:rPr>
          <w:t>安全防护系统</w:t>
        </w:r>
        <w:r>
          <w:rPr>
            <w:rFonts w:ascii="Times New Roman" w:eastAsia="Times New Roman"/>
            <w:sz w:val="21"/>
          </w:rPr>
          <w:tab/>
        </w:r>
        <w:r>
          <w:rPr>
            <w:sz w:val="21"/>
          </w:rPr>
          <w:t>12</w:t>
        </w:r>
      </w:hyperlink>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spacing w:before="10"/>
        <w:rPr>
          <w:sz w:val="17"/>
        </w:rPr>
      </w:pPr>
    </w:p>
    <w:p>
      <w:pPr>
        <w:spacing w:before="0"/>
        <w:ind w:left="0" w:right="539" w:firstLine="0"/>
        <w:jc w:val="right"/>
        <w:rPr>
          <w:sz w:val="18"/>
        </w:rPr>
      </w:pPr>
      <w:r>
        <w:rPr>
          <w:sz w:val="18"/>
        </w:rPr>
        <w:t>I</w:t>
      </w:r>
    </w:p>
    <w:p>
      <w:pPr>
        <w:spacing w:after="0"/>
        <w:jc w:val="right"/>
        <w:rPr>
          <w:sz w:val="18"/>
        </w:rPr>
        <w:sectPr>
          <w:pgSz w:w="11910" w:h="16840"/>
          <w:pgMar w:top="1580" w:right="820" w:bottom="280" w:left="1300" w:header="708" w:footer="708"/>
          <w:pgNumType w:start="2"/>
          <w:cols w:space="708"/>
        </w:sectPr>
      </w:pPr>
    </w:p>
    <w:p>
      <w:pPr>
        <w:pStyle w:val="BodyText"/>
        <w:rPr>
          <w:sz w:val="20"/>
        </w:rPr>
      </w:pPr>
    </w:p>
    <w:p>
      <w:pPr>
        <w:pStyle w:val="BodyText"/>
        <w:spacing w:before="6"/>
      </w:pPr>
    </w:p>
    <w:p>
      <w:pPr>
        <w:pStyle w:val="Heading1"/>
        <w:spacing w:before="55"/>
        <w:ind w:left="1899" w:right="2091"/>
      </w:pPr>
      <w:r>
        <w:t>轨道式集装箱门式起重机自动化技术规范</w:t>
      </w:r>
    </w:p>
    <w:p>
      <w:pPr>
        <w:pStyle w:val="BodyText"/>
        <w:rPr>
          <w:rFonts w:ascii="黑体"/>
          <w:sz w:val="20"/>
        </w:rPr>
      </w:pPr>
    </w:p>
    <w:p>
      <w:pPr>
        <w:pStyle w:val="BodyText"/>
        <w:spacing w:before="11"/>
        <w:rPr>
          <w:rFonts w:ascii="黑体"/>
          <w:sz w:val="28"/>
        </w:rPr>
      </w:pPr>
    </w:p>
    <w:p>
      <w:pPr>
        <w:pStyle w:val="ListParagraph"/>
        <w:numPr>
          <w:ilvl w:val="0"/>
          <w:numId w:val="1"/>
        </w:numPr>
        <w:tabs>
          <w:tab w:val="left" w:pos="433"/>
        </w:tabs>
        <w:spacing w:before="70" w:after="0" w:line="240" w:lineRule="auto"/>
        <w:ind w:left="432" w:right="0" w:hanging="315"/>
        <w:jc w:val="left"/>
        <w:rPr>
          <w:rFonts w:ascii="黑体" w:eastAsia="黑体" w:hint="eastAsia"/>
          <w:sz w:val="21"/>
        </w:rPr>
      </w:pPr>
      <w:bookmarkStart w:id="0" w:name="1　范围"/>
      <w:bookmarkEnd w:id="0"/>
      <w:bookmarkStart w:id="1" w:name="_bookmark0"/>
      <w:bookmarkEnd w:id="1"/>
      <w:r>
        <w:rPr>
          <w:rFonts w:ascii="黑体" w:eastAsia="黑体" w:hint="eastAsia"/>
          <w:sz w:val="21"/>
        </w:rPr>
        <w:t>范围</w:t>
      </w:r>
    </w:p>
    <w:p>
      <w:pPr>
        <w:pStyle w:val="BodyText"/>
        <w:spacing w:before="8"/>
        <w:rPr>
          <w:rFonts w:ascii="黑体"/>
          <w:sz w:val="27"/>
        </w:rPr>
      </w:pPr>
    </w:p>
    <w:p>
      <w:pPr>
        <w:pStyle w:val="BodyText"/>
        <w:spacing w:before="1" w:line="278" w:lineRule="auto"/>
        <w:ind w:left="538" w:right="3787"/>
      </w:pPr>
      <w:r>
        <w:rPr>
          <w:w w:val="95"/>
        </w:rPr>
        <w:t xml:space="preserve">本文件规定了轨道式集装箱门式起重机自动化的技术要求。 </w:t>
      </w:r>
      <w:r>
        <w:t>本文件适用于轨道式集装箱门式起重机自动化的设计。</w:t>
      </w:r>
    </w:p>
    <w:p>
      <w:pPr>
        <w:pStyle w:val="BodyText"/>
        <w:spacing w:before="4"/>
        <w:rPr>
          <w:sz w:val="24"/>
        </w:rPr>
      </w:pPr>
    </w:p>
    <w:p>
      <w:pPr>
        <w:pStyle w:val="ListParagraph"/>
        <w:numPr>
          <w:ilvl w:val="0"/>
          <w:numId w:val="1"/>
        </w:numPr>
        <w:tabs>
          <w:tab w:val="left" w:pos="433"/>
        </w:tabs>
        <w:spacing w:before="0" w:after="0" w:line="240" w:lineRule="auto"/>
        <w:ind w:left="432" w:right="0" w:hanging="315"/>
        <w:jc w:val="left"/>
        <w:rPr>
          <w:rFonts w:ascii="黑体" w:eastAsia="黑体" w:hint="eastAsia"/>
          <w:sz w:val="21"/>
        </w:rPr>
      </w:pPr>
      <w:bookmarkStart w:id="2" w:name="2　规范性引用文件"/>
      <w:bookmarkEnd w:id="2"/>
      <w:bookmarkStart w:id="3" w:name="_bookmark1"/>
      <w:bookmarkEnd w:id="3"/>
      <w:r>
        <w:rPr>
          <w:rFonts w:ascii="黑体" w:eastAsia="黑体" w:hint="eastAsia"/>
          <w:sz w:val="21"/>
        </w:rPr>
        <w:t>规范性引用文件</w:t>
      </w:r>
    </w:p>
    <w:p>
      <w:pPr>
        <w:pStyle w:val="BodyText"/>
        <w:spacing w:before="9"/>
        <w:rPr>
          <w:rFonts w:ascii="黑体"/>
          <w:sz w:val="27"/>
        </w:rPr>
      </w:pPr>
    </w:p>
    <w:p>
      <w:pPr>
        <w:pStyle w:val="BodyText"/>
        <w:spacing w:after="30" w:line="278" w:lineRule="auto"/>
        <w:ind w:left="118" w:right="208" w:firstLine="420"/>
      </w:pPr>
      <w:r>
        <w:rPr>
          <w:spacing w:val="-7"/>
          <w:w w:val="95"/>
        </w:rPr>
        <w:t xml:space="preserve">下列文件中的内容通过文中的规范性引用而构成本文件必不可少的条款。其中，注日期的引用文件，   </w:t>
      </w:r>
      <w:r>
        <w:rPr>
          <w:spacing w:val="-10"/>
        </w:rPr>
        <w:t>仅该日期对应的版本适用于本文件；不注日期的引用文件，其最新版本</w:t>
      </w:r>
      <w:r>
        <w:t>（包括所有的修改单</w:t>
      </w:r>
      <w:r>
        <w:rPr>
          <w:spacing w:val="-25"/>
        </w:rPr>
        <w:t>）</w:t>
      </w:r>
      <w:r>
        <w:t>适用于本文件。</w:t>
      </w:r>
    </w:p>
    <w:tbl>
      <w:tblPr>
        <w:tblStyle w:val="TableNormal0"/>
        <w:tblW w:w="0" w:type="auto"/>
        <w:jc w:val="left"/>
        <w:tblInd w:w="4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3"/>
        <w:gridCol w:w="628"/>
        <w:gridCol w:w="5665"/>
      </w:tblGrid>
      <w:tr>
        <w:tblPrEx>
          <w:tblW w:w="0" w:type="auto"/>
          <w:jc w:val="left"/>
          <w:tblInd w:w="4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60"/>
          <w:jc w:val="left"/>
        </w:trPr>
        <w:tc>
          <w:tcPr>
            <w:tcW w:w="523" w:type="dxa"/>
          </w:tcPr>
          <w:p>
            <w:pPr>
              <w:pStyle w:val="TableParagraph"/>
              <w:spacing w:before="0" w:line="239" w:lineRule="exact"/>
              <w:rPr>
                <w:sz w:val="21"/>
              </w:rPr>
            </w:pPr>
            <w:r>
              <w:rPr>
                <w:sz w:val="21"/>
              </w:rPr>
              <w:t>GB/T</w:t>
            </w:r>
          </w:p>
        </w:tc>
        <w:tc>
          <w:tcPr>
            <w:tcW w:w="628" w:type="dxa"/>
          </w:tcPr>
          <w:p>
            <w:pPr>
              <w:pStyle w:val="TableParagraph"/>
              <w:spacing w:before="0" w:line="239" w:lineRule="exact"/>
              <w:ind w:left="32"/>
              <w:rPr>
                <w:sz w:val="21"/>
              </w:rPr>
            </w:pPr>
            <w:r>
              <w:rPr>
                <w:sz w:val="21"/>
              </w:rPr>
              <w:t>19683</w:t>
            </w:r>
          </w:p>
        </w:tc>
        <w:tc>
          <w:tcPr>
            <w:tcW w:w="5665" w:type="dxa"/>
          </w:tcPr>
          <w:p>
            <w:pPr>
              <w:pStyle w:val="TableParagraph"/>
              <w:spacing w:before="0" w:line="239" w:lineRule="exact"/>
              <w:ind w:left="158" w:right="0"/>
              <w:jc w:val="left"/>
              <w:rPr>
                <w:sz w:val="21"/>
              </w:rPr>
            </w:pPr>
            <w:r>
              <w:rPr>
                <w:sz w:val="21"/>
              </w:rPr>
              <w:t>轨道式集装箱门式起重机</w:t>
            </w:r>
          </w:p>
        </w:tc>
      </w:tr>
      <w:tr>
        <w:tblPrEx>
          <w:tblW w:w="0" w:type="auto"/>
          <w:jc w:val="left"/>
          <w:tblInd w:w="495" w:type="dxa"/>
          <w:tblLayout w:type="fixed"/>
          <w:tblCellMar>
            <w:top w:w="0" w:type="dxa"/>
            <w:left w:w="0" w:type="dxa"/>
            <w:bottom w:w="0" w:type="dxa"/>
            <w:right w:w="0" w:type="dxa"/>
          </w:tblCellMar>
          <w:tblLook w:val="01E0"/>
        </w:tblPrEx>
        <w:trPr>
          <w:trHeight w:val="311"/>
          <w:jc w:val="left"/>
        </w:trPr>
        <w:tc>
          <w:tcPr>
            <w:tcW w:w="523" w:type="dxa"/>
          </w:tcPr>
          <w:p>
            <w:pPr>
              <w:pStyle w:val="TableParagraph"/>
              <w:rPr>
                <w:sz w:val="21"/>
              </w:rPr>
            </w:pPr>
            <w:r>
              <w:rPr>
                <w:sz w:val="21"/>
              </w:rPr>
              <w:t>GB/T</w:t>
            </w:r>
          </w:p>
        </w:tc>
        <w:tc>
          <w:tcPr>
            <w:tcW w:w="628" w:type="dxa"/>
          </w:tcPr>
          <w:p>
            <w:pPr>
              <w:pStyle w:val="TableParagraph"/>
              <w:ind w:left="32"/>
              <w:rPr>
                <w:sz w:val="21"/>
              </w:rPr>
            </w:pPr>
            <w:r>
              <w:rPr>
                <w:sz w:val="21"/>
              </w:rPr>
              <w:t>14406</w:t>
            </w:r>
          </w:p>
        </w:tc>
        <w:tc>
          <w:tcPr>
            <w:tcW w:w="5665" w:type="dxa"/>
          </w:tcPr>
          <w:p>
            <w:pPr>
              <w:pStyle w:val="TableParagraph"/>
              <w:ind w:left="158" w:right="0"/>
              <w:jc w:val="left"/>
              <w:rPr>
                <w:sz w:val="21"/>
              </w:rPr>
            </w:pPr>
            <w:r>
              <w:rPr>
                <w:sz w:val="21"/>
              </w:rPr>
              <w:t>通用门式起重机</w:t>
            </w:r>
          </w:p>
        </w:tc>
      </w:tr>
      <w:tr>
        <w:tblPrEx>
          <w:tblW w:w="0" w:type="auto"/>
          <w:jc w:val="left"/>
          <w:tblInd w:w="495" w:type="dxa"/>
          <w:tblLayout w:type="fixed"/>
          <w:tblCellMar>
            <w:top w:w="0" w:type="dxa"/>
            <w:left w:w="0" w:type="dxa"/>
            <w:bottom w:w="0" w:type="dxa"/>
            <w:right w:w="0" w:type="dxa"/>
          </w:tblCellMar>
          <w:tblLook w:val="01E0"/>
        </w:tblPrEx>
        <w:trPr>
          <w:trHeight w:val="311"/>
          <w:jc w:val="left"/>
        </w:trPr>
        <w:tc>
          <w:tcPr>
            <w:tcW w:w="523" w:type="dxa"/>
          </w:tcPr>
          <w:p>
            <w:pPr>
              <w:pStyle w:val="TableParagraph"/>
              <w:ind w:right="32"/>
              <w:rPr>
                <w:sz w:val="21"/>
              </w:rPr>
            </w:pPr>
            <w:r>
              <w:rPr>
                <w:sz w:val="21"/>
              </w:rPr>
              <w:t>GB/T</w:t>
            </w:r>
          </w:p>
        </w:tc>
        <w:tc>
          <w:tcPr>
            <w:tcW w:w="628" w:type="dxa"/>
          </w:tcPr>
          <w:p>
            <w:pPr>
              <w:pStyle w:val="TableParagraph"/>
              <w:ind w:left="32"/>
              <w:rPr>
                <w:sz w:val="21"/>
              </w:rPr>
            </w:pPr>
            <w:r>
              <w:rPr>
                <w:sz w:val="21"/>
              </w:rPr>
              <w:t>28181</w:t>
            </w:r>
          </w:p>
        </w:tc>
        <w:tc>
          <w:tcPr>
            <w:tcW w:w="5665" w:type="dxa"/>
          </w:tcPr>
          <w:p>
            <w:pPr>
              <w:pStyle w:val="TableParagraph"/>
              <w:ind w:left="158" w:right="0"/>
              <w:jc w:val="left"/>
              <w:rPr>
                <w:sz w:val="21"/>
              </w:rPr>
            </w:pPr>
            <w:r>
              <w:rPr>
                <w:sz w:val="21"/>
              </w:rPr>
              <w:t>公共安全视频监控联网系统信息传输、交换、控制技术要求</w:t>
            </w:r>
          </w:p>
        </w:tc>
      </w:tr>
      <w:tr>
        <w:tblPrEx>
          <w:tblW w:w="0" w:type="auto"/>
          <w:jc w:val="left"/>
          <w:tblInd w:w="495" w:type="dxa"/>
          <w:tblLayout w:type="fixed"/>
          <w:tblCellMar>
            <w:top w:w="0" w:type="dxa"/>
            <w:left w:w="0" w:type="dxa"/>
            <w:bottom w:w="0" w:type="dxa"/>
            <w:right w:w="0" w:type="dxa"/>
          </w:tblCellMar>
          <w:tblLook w:val="01E0"/>
        </w:tblPrEx>
        <w:trPr>
          <w:trHeight w:val="312"/>
          <w:jc w:val="left"/>
        </w:trPr>
        <w:tc>
          <w:tcPr>
            <w:tcW w:w="523" w:type="dxa"/>
          </w:tcPr>
          <w:p>
            <w:pPr>
              <w:pStyle w:val="TableParagraph"/>
              <w:rPr>
                <w:sz w:val="21"/>
              </w:rPr>
            </w:pPr>
            <w:r>
              <w:rPr>
                <w:sz w:val="21"/>
              </w:rPr>
              <w:t>GB/T</w:t>
            </w:r>
          </w:p>
        </w:tc>
        <w:tc>
          <w:tcPr>
            <w:tcW w:w="628" w:type="dxa"/>
          </w:tcPr>
          <w:p>
            <w:pPr>
              <w:pStyle w:val="TableParagraph"/>
              <w:ind w:left="32" w:right="133"/>
              <w:rPr>
                <w:sz w:val="21"/>
              </w:rPr>
            </w:pPr>
            <w:r>
              <w:rPr>
                <w:sz w:val="21"/>
              </w:rPr>
              <w:t>1836</w:t>
            </w:r>
          </w:p>
        </w:tc>
        <w:tc>
          <w:tcPr>
            <w:tcW w:w="5665" w:type="dxa"/>
          </w:tcPr>
          <w:p>
            <w:pPr>
              <w:pStyle w:val="TableParagraph"/>
              <w:ind w:left="53" w:right="0"/>
              <w:jc w:val="left"/>
              <w:rPr>
                <w:sz w:val="21"/>
              </w:rPr>
            </w:pPr>
            <w:r>
              <w:rPr>
                <w:sz w:val="21"/>
              </w:rPr>
              <w:t>集装箱代码、识别和标记</w:t>
            </w:r>
          </w:p>
        </w:tc>
      </w:tr>
      <w:tr>
        <w:tblPrEx>
          <w:tblW w:w="0" w:type="auto"/>
          <w:jc w:val="left"/>
          <w:tblInd w:w="495" w:type="dxa"/>
          <w:tblLayout w:type="fixed"/>
          <w:tblCellMar>
            <w:top w:w="0" w:type="dxa"/>
            <w:left w:w="0" w:type="dxa"/>
            <w:bottom w:w="0" w:type="dxa"/>
            <w:right w:w="0" w:type="dxa"/>
          </w:tblCellMar>
          <w:tblLook w:val="01E0"/>
        </w:tblPrEx>
        <w:trPr>
          <w:trHeight w:val="260"/>
          <w:jc w:val="left"/>
        </w:trPr>
        <w:tc>
          <w:tcPr>
            <w:tcW w:w="523" w:type="dxa"/>
          </w:tcPr>
          <w:p>
            <w:pPr>
              <w:pStyle w:val="TableParagraph"/>
              <w:spacing w:line="219" w:lineRule="exact"/>
              <w:rPr>
                <w:sz w:val="21"/>
              </w:rPr>
            </w:pPr>
            <w:r>
              <w:rPr>
                <w:sz w:val="21"/>
              </w:rPr>
              <w:t>JB/T</w:t>
            </w:r>
          </w:p>
        </w:tc>
        <w:tc>
          <w:tcPr>
            <w:tcW w:w="628" w:type="dxa"/>
          </w:tcPr>
          <w:p>
            <w:pPr>
              <w:pStyle w:val="TableParagraph"/>
              <w:spacing w:line="219" w:lineRule="exact"/>
              <w:ind w:left="32" w:right="133"/>
              <w:rPr>
                <w:sz w:val="21"/>
              </w:rPr>
            </w:pPr>
            <w:r>
              <w:rPr>
                <w:sz w:val="21"/>
              </w:rPr>
              <w:t>8437</w:t>
            </w:r>
          </w:p>
        </w:tc>
        <w:tc>
          <w:tcPr>
            <w:tcW w:w="5665" w:type="dxa"/>
          </w:tcPr>
          <w:p>
            <w:pPr>
              <w:pStyle w:val="TableParagraph"/>
              <w:spacing w:line="219" w:lineRule="exact"/>
              <w:ind w:left="53" w:right="0"/>
              <w:jc w:val="left"/>
              <w:rPr>
                <w:sz w:val="21"/>
              </w:rPr>
            </w:pPr>
            <w:r>
              <w:rPr>
                <w:sz w:val="21"/>
              </w:rPr>
              <w:t>起重机械无线遥控装置</w:t>
            </w:r>
          </w:p>
        </w:tc>
      </w:tr>
    </w:tbl>
    <w:p>
      <w:pPr>
        <w:pStyle w:val="BodyText"/>
        <w:spacing w:before="72"/>
        <w:ind w:left="538"/>
      </w:pPr>
      <w:r>
        <w:t>JT/T 90 港口装卸机械风载荷计算及防风安全要求</w:t>
      </w:r>
    </w:p>
    <w:p>
      <w:pPr>
        <w:pStyle w:val="BodyText"/>
        <w:spacing w:before="9"/>
        <w:rPr>
          <w:sz w:val="27"/>
        </w:rPr>
      </w:pPr>
    </w:p>
    <w:p>
      <w:pPr>
        <w:pStyle w:val="ListParagraph"/>
        <w:numPr>
          <w:ilvl w:val="0"/>
          <w:numId w:val="1"/>
        </w:numPr>
        <w:tabs>
          <w:tab w:val="left" w:pos="433"/>
        </w:tabs>
        <w:spacing w:before="0" w:after="0" w:line="240" w:lineRule="auto"/>
        <w:ind w:left="432" w:right="0" w:hanging="315"/>
        <w:jc w:val="left"/>
        <w:rPr>
          <w:rFonts w:ascii="黑体" w:eastAsia="黑体" w:hint="eastAsia"/>
          <w:sz w:val="21"/>
        </w:rPr>
      </w:pPr>
      <w:bookmarkStart w:id="4" w:name="3　术语和定义"/>
      <w:bookmarkEnd w:id="4"/>
      <w:bookmarkStart w:id="5" w:name="_bookmark2"/>
      <w:bookmarkEnd w:id="5"/>
      <w:r>
        <w:rPr>
          <w:rFonts w:ascii="黑体" w:eastAsia="黑体" w:hint="eastAsia"/>
          <w:sz w:val="21"/>
        </w:rPr>
        <w:t>术语和定义</w:t>
      </w:r>
    </w:p>
    <w:p>
      <w:pPr>
        <w:pStyle w:val="BodyText"/>
        <w:spacing w:before="4"/>
        <w:rPr>
          <w:rFonts w:ascii="黑体"/>
          <w:sz w:val="22"/>
        </w:rPr>
      </w:pPr>
    </w:p>
    <w:p>
      <w:pPr>
        <w:pStyle w:val="BodyText"/>
        <w:spacing w:before="69"/>
        <w:ind w:left="538"/>
      </w:pPr>
      <w:r>
        <w:t>下列术语和定义适用于本文件。</w:t>
      </w:r>
    </w:p>
    <w:p>
      <w:pPr>
        <w:pStyle w:val="BodyText"/>
        <w:spacing w:before="43"/>
        <w:ind w:left="118"/>
        <w:rPr>
          <w:rFonts w:ascii="黑体"/>
        </w:rPr>
      </w:pPr>
      <w:r>
        <w:rPr>
          <w:rFonts w:ascii="黑体"/>
        </w:rPr>
        <w:t>3.1</w:t>
      </w:r>
    </w:p>
    <w:p>
      <w:pPr>
        <w:pStyle w:val="BodyText"/>
        <w:spacing w:before="43"/>
        <w:ind w:left="538"/>
        <w:rPr>
          <w:rFonts w:ascii="黑体" w:eastAsia="黑体" w:hint="eastAsia"/>
        </w:rPr>
      </w:pPr>
      <w:r>
        <w:rPr>
          <w:rFonts w:ascii="黑体" w:eastAsia="黑体" w:hint="eastAsia"/>
        </w:rPr>
        <w:t>轨道式集装箱门式起重机 rail mounted container gantry crane</w:t>
      </w:r>
    </w:p>
    <w:p>
      <w:pPr>
        <w:pStyle w:val="BodyText"/>
        <w:spacing w:before="43"/>
        <w:ind w:left="538"/>
      </w:pPr>
      <w:r>
        <w:t>行走部分采用钢轮支承的集装箱门式起重机。</w:t>
      </w:r>
    </w:p>
    <w:p>
      <w:pPr>
        <w:pStyle w:val="BodyText"/>
        <w:spacing w:before="43"/>
        <w:ind w:left="118"/>
        <w:rPr>
          <w:rFonts w:ascii="黑体"/>
        </w:rPr>
      </w:pPr>
      <w:r>
        <w:rPr>
          <w:rFonts w:ascii="黑体"/>
        </w:rPr>
        <w:t>3.2</w:t>
      </w:r>
    </w:p>
    <w:p>
      <w:pPr>
        <w:pStyle w:val="BodyText"/>
        <w:spacing w:before="43"/>
        <w:ind w:left="538"/>
        <w:rPr>
          <w:rFonts w:ascii="黑体" w:eastAsia="黑体" w:hint="eastAsia"/>
        </w:rPr>
      </w:pPr>
      <w:r>
        <w:rPr>
          <w:rFonts w:ascii="黑体" w:eastAsia="黑体" w:hint="eastAsia"/>
        </w:rPr>
        <w:t>铁路中心站 railway container terminal</w:t>
      </w:r>
    </w:p>
    <w:p>
      <w:pPr>
        <w:pStyle w:val="BodyText"/>
        <w:spacing w:before="43"/>
        <w:ind w:left="538"/>
      </w:pPr>
      <w:r>
        <w:t>承担衔接公路和铁路集装箱运输功能的铁路站点。</w:t>
      </w:r>
    </w:p>
    <w:p>
      <w:pPr>
        <w:pStyle w:val="BodyText"/>
        <w:spacing w:before="43"/>
        <w:ind w:left="118"/>
        <w:rPr>
          <w:rFonts w:ascii="黑体"/>
        </w:rPr>
      </w:pPr>
      <w:r>
        <w:rPr>
          <w:rFonts w:ascii="黑体"/>
        </w:rPr>
        <w:t>3.3</w:t>
      </w:r>
    </w:p>
    <w:p>
      <w:pPr>
        <w:pStyle w:val="BodyText"/>
        <w:spacing w:before="43"/>
        <w:ind w:left="538"/>
        <w:rPr>
          <w:rFonts w:ascii="黑体" w:eastAsia="黑体" w:hint="eastAsia"/>
        </w:rPr>
      </w:pPr>
      <w:r>
        <w:rPr>
          <w:rFonts w:ascii="黑体" w:eastAsia="黑体" w:hint="eastAsia"/>
        </w:rPr>
        <w:t>水平运输设备 horizontal transport equipment</w:t>
      </w:r>
    </w:p>
    <w:p>
      <w:pPr>
        <w:pStyle w:val="BodyText"/>
        <w:spacing w:before="43"/>
        <w:ind w:left="538"/>
      </w:pPr>
      <w:r>
        <w:t>负责集装箱堆场与堆场外部之间进行集装箱运输的工具。</w:t>
      </w:r>
    </w:p>
    <w:p>
      <w:pPr>
        <w:spacing w:before="63"/>
        <w:ind w:left="480" w:right="0" w:firstLine="0"/>
        <w:jc w:val="left"/>
        <w:rPr>
          <w:sz w:val="18"/>
        </w:rPr>
      </w:pPr>
      <w:r>
        <w:rPr>
          <w:rFonts w:ascii="黑体" w:eastAsia="黑体" w:hint="eastAsia"/>
          <w:sz w:val="18"/>
        </w:rPr>
        <w:t>注：</w:t>
      </w:r>
      <w:r>
        <w:rPr>
          <w:sz w:val="18"/>
        </w:rPr>
        <w:t>水平运输设备主要包括自动导引小车（AGV）、跨运车和集卡等。</w:t>
      </w:r>
    </w:p>
    <w:p>
      <w:pPr>
        <w:pStyle w:val="BodyText"/>
        <w:spacing w:before="61"/>
        <w:ind w:left="118"/>
        <w:rPr>
          <w:rFonts w:ascii="黑体"/>
        </w:rPr>
      </w:pPr>
      <w:r>
        <w:rPr>
          <w:rFonts w:ascii="黑体"/>
        </w:rPr>
        <w:t>3.4</w:t>
      </w:r>
    </w:p>
    <w:p>
      <w:pPr>
        <w:pStyle w:val="BodyText"/>
        <w:spacing w:before="43"/>
        <w:ind w:left="538"/>
        <w:rPr>
          <w:rFonts w:ascii="黑体" w:eastAsia="黑体" w:hint="eastAsia"/>
        </w:rPr>
      </w:pPr>
      <w:r>
        <w:rPr>
          <w:rFonts w:ascii="黑体" w:eastAsia="黑体" w:hint="eastAsia"/>
        </w:rPr>
        <w:t>堆 场 yard</w:t>
      </w:r>
    </w:p>
    <w:p>
      <w:pPr>
        <w:pStyle w:val="BodyText"/>
        <w:spacing w:before="43"/>
        <w:ind w:left="538"/>
      </w:pPr>
      <w:r>
        <w:t>集装箱进行装卸、转运、保管和交接的场所。</w:t>
      </w:r>
    </w:p>
    <w:p>
      <w:pPr>
        <w:pStyle w:val="BodyText"/>
        <w:spacing w:before="43"/>
        <w:ind w:left="118"/>
        <w:rPr>
          <w:rFonts w:ascii="黑体"/>
        </w:rPr>
      </w:pPr>
      <w:r>
        <w:rPr>
          <w:rFonts w:ascii="黑体"/>
        </w:rPr>
        <w:t>3.5</w:t>
      </w:r>
    </w:p>
    <w:p>
      <w:pPr>
        <w:pStyle w:val="BodyText"/>
        <w:spacing w:before="43"/>
        <w:ind w:left="538"/>
        <w:rPr>
          <w:rFonts w:ascii="黑体" w:eastAsia="黑体" w:hint="eastAsia"/>
        </w:rPr>
      </w:pPr>
      <w:r>
        <w:rPr>
          <w:rFonts w:ascii="黑体" w:eastAsia="黑体" w:hint="eastAsia"/>
        </w:rPr>
        <w:t>回转机构 slewing mechanism</w:t>
      </w:r>
    </w:p>
    <w:p>
      <w:pPr>
        <w:pStyle w:val="BodyText"/>
        <w:spacing w:before="43"/>
        <w:ind w:left="538"/>
      </w:pPr>
      <w:r>
        <w:t>铁路中心站用轨道式集装箱门式起重机上负责将其吊起的集装箱绕竖直方向轴进行旋转、调节集装</w:t>
      </w:r>
    </w:p>
    <w:p>
      <w:pPr>
        <w:pStyle w:val="BodyText"/>
        <w:spacing w:before="43"/>
        <w:ind w:left="118"/>
      </w:pPr>
      <w:r>
        <w:t>箱箱门的朝向的机构。</w:t>
      </w:r>
    </w:p>
    <w:p>
      <w:pPr>
        <w:pStyle w:val="BodyText"/>
        <w:spacing w:before="43"/>
        <w:ind w:left="118"/>
        <w:rPr>
          <w:rFonts w:ascii="黑体"/>
        </w:rPr>
        <w:sectPr>
          <w:footerReference w:type="default" r:id="rId4"/>
          <w:pgSz w:w="11910" w:h="16840"/>
          <w:pgMar w:top="1580" w:right="820" w:bottom="1340" w:left="1300" w:header="0" w:footer="1141"/>
          <w:pgNumType w:start="1"/>
          <w:cols w:space="708"/>
        </w:sectPr>
      </w:pPr>
      <w:r>
        <w:rPr>
          <w:rFonts w:ascii="黑体"/>
        </w:rPr>
        <w:t>3.6</w:t>
      </w:r>
    </w:p>
    <w:p>
      <w:pPr>
        <w:pStyle w:val="BodyText"/>
        <w:spacing w:before="43"/>
        <w:ind w:left="538"/>
        <w:rPr>
          <w:rFonts w:ascii="黑体" w:eastAsia="黑体" w:hint="eastAsia"/>
        </w:rPr>
      </w:pPr>
      <w:r>
        <w:rPr>
          <w:rFonts w:ascii="黑体" w:eastAsia="黑体" w:hint="eastAsia"/>
        </w:rPr>
        <w:t>铁路中心站管理系统 railway container terminal manager system</w:t>
      </w:r>
    </w:p>
    <w:p>
      <w:pPr>
        <w:spacing w:after="0"/>
        <w:rPr>
          <w:rFonts w:ascii="黑体" w:eastAsia="黑体" w:hint="eastAsia"/>
        </w:rPr>
        <w:sectPr>
          <w:footerReference w:type="default" r:id="rId5"/>
          <w:type w:val="nextPage"/>
          <w:pgSz w:w="11910" w:h="16840"/>
          <w:pgMar w:top="1580" w:right="820" w:bottom="1340" w:left="1300" w:header="0" w:footer="1141"/>
          <w:pgNumType w:start="2"/>
          <w:cols w:space="708"/>
          <w:titlePg w:val="0"/>
        </w:sectPr>
      </w:pPr>
    </w:p>
    <w:p>
      <w:pPr>
        <w:pStyle w:val="BodyText"/>
        <w:spacing w:before="5"/>
        <w:rPr>
          <w:rFonts w:ascii="黑体"/>
          <w:sz w:val="17"/>
        </w:rPr>
      </w:pPr>
    </w:p>
    <w:p>
      <w:pPr>
        <w:pStyle w:val="BodyText"/>
        <w:spacing w:before="70"/>
        <w:ind w:left="538"/>
      </w:pPr>
      <w:r>
        <w:t>对铁路中心站的货物流转、设备调度等方面进行管理的系统。</w:t>
      </w:r>
    </w:p>
    <w:p>
      <w:pPr>
        <w:pStyle w:val="BodyText"/>
        <w:spacing w:before="43"/>
        <w:ind w:left="118"/>
        <w:rPr>
          <w:rFonts w:ascii="黑体"/>
        </w:rPr>
      </w:pPr>
      <w:r>
        <w:rPr>
          <w:rFonts w:ascii="黑体"/>
        </w:rPr>
        <w:t>3.7</w:t>
      </w:r>
    </w:p>
    <w:p>
      <w:pPr>
        <w:pStyle w:val="BodyText"/>
        <w:spacing w:before="43"/>
        <w:ind w:left="538"/>
        <w:rPr>
          <w:rFonts w:ascii="黑体" w:eastAsia="黑体" w:hint="eastAsia"/>
        </w:rPr>
      </w:pPr>
      <w:r>
        <w:rPr>
          <w:rFonts w:ascii="黑体" w:eastAsia="黑体" w:hint="eastAsia"/>
        </w:rPr>
        <w:t>远程操作接口 remote operation interface</w:t>
      </w:r>
    </w:p>
    <w:p>
      <w:pPr>
        <w:pStyle w:val="BodyText"/>
        <w:spacing w:before="43"/>
        <w:ind w:left="538"/>
      </w:pPr>
      <w:r>
        <w:t>可通过网站、软件平台等配合网络对目标进行远程控制的程序接口。</w:t>
      </w:r>
    </w:p>
    <w:p>
      <w:pPr>
        <w:pStyle w:val="BodyText"/>
        <w:spacing w:before="43"/>
        <w:ind w:left="118"/>
        <w:rPr>
          <w:rFonts w:ascii="黑体"/>
        </w:rPr>
      </w:pPr>
      <w:r>
        <w:rPr>
          <w:rFonts w:ascii="黑体"/>
        </w:rPr>
        <w:t>3.8</w:t>
      </w:r>
    </w:p>
    <w:p>
      <w:pPr>
        <w:pStyle w:val="BodyText"/>
        <w:spacing w:before="43"/>
        <w:ind w:left="538"/>
        <w:rPr>
          <w:rFonts w:ascii="黑体" w:eastAsia="黑体" w:hint="eastAsia"/>
        </w:rPr>
      </w:pPr>
      <w:r>
        <w:rPr>
          <w:rFonts w:ascii="黑体" w:eastAsia="黑体" w:hint="eastAsia"/>
        </w:rPr>
        <w:t>远程监控 remote monitoring</w:t>
      </w:r>
    </w:p>
    <w:p>
      <w:pPr>
        <w:pStyle w:val="BodyText"/>
        <w:spacing w:before="43"/>
        <w:ind w:left="538"/>
      </w:pPr>
      <w:r>
        <w:t>通过网络对远程计算机进行操作，并对环境以及计算机系统及网络设备进行监视。</w:t>
      </w:r>
    </w:p>
    <w:p>
      <w:pPr>
        <w:pStyle w:val="BodyText"/>
        <w:spacing w:before="42"/>
        <w:ind w:left="118"/>
        <w:rPr>
          <w:rFonts w:ascii="黑体"/>
        </w:rPr>
      </w:pPr>
      <w:r>
        <w:rPr>
          <w:rFonts w:ascii="黑体"/>
        </w:rPr>
        <w:t>3.9</w:t>
      </w:r>
    </w:p>
    <w:p>
      <w:pPr>
        <w:pStyle w:val="BodyText"/>
        <w:spacing w:before="43"/>
        <w:ind w:left="538"/>
        <w:rPr>
          <w:rFonts w:ascii="黑体" w:eastAsia="黑体" w:hint="eastAsia"/>
        </w:rPr>
      </w:pPr>
      <w:r>
        <w:rPr>
          <w:rFonts w:ascii="黑体" w:eastAsia="黑体" w:hint="eastAsia"/>
        </w:rPr>
        <w:t>中控室 central control room</w:t>
      </w:r>
    </w:p>
    <w:p>
      <w:pPr>
        <w:pStyle w:val="BodyText"/>
        <w:spacing w:before="43"/>
        <w:ind w:left="538"/>
      </w:pPr>
      <w:r>
        <w:t>通过上位机、管理与控制系统，远程管理和控制集装箱堆场多台设备，完成集装箱装卸作业的一个</w:t>
      </w:r>
    </w:p>
    <w:p>
      <w:pPr>
        <w:pStyle w:val="BodyText"/>
        <w:spacing w:before="43"/>
        <w:ind w:left="118"/>
      </w:pPr>
      <w:r>
        <w:t>控制室。</w:t>
      </w:r>
    </w:p>
    <w:p>
      <w:pPr>
        <w:pStyle w:val="BodyText"/>
        <w:spacing w:before="43"/>
        <w:ind w:left="118"/>
        <w:rPr>
          <w:rFonts w:ascii="黑体"/>
        </w:rPr>
      </w:pPr>
      <w:r>
        <w:rPr>
          <w:rFonts w:ascii="黑体"/>
        </w:rPr>
        <w:t>3.10</w:t>
      </w:r>
    </w:p>
    <w:p>
      <w:pPr>
        <w:pStyle w:val="BodyText"/>
        <w:spacing w:before="43"/>
        <w:ind w:left="538"/>
        <w:rPr>
          <w:rFonts w:ascii="黑体" w:eastAsia="黑体" w:hint="eastAsia"/>
        </w:rPr>
      </w:pPr>
      <w:r>
        <w:rPr>
          <w:rFonts w:ascii="黑体" w:eastAsia="黑体" w:hint="eastAsia"/>
        </w:rPr>
        <w:t>车 号 wagon ID</w:t>
      </w:r>
    </w:p>
    <w:p>
      <w:pPr>
        <w:pStyle w:val="BodyText"/>
        <w:spacing w:before="43"/>
        <w:ind w:left="538"/>
      </w:pPr>
      <w:r>
        <w:t>装运货物的水平运输设备的编号。</w:t>
      </w:r>
    </w:p>
    <w:p>
      <w:pPr>
        <w:pStyle w:val="BodyText"/>
        <w:spacing w:before="43"/>
        <w:ind w:left="118"/>
        <w:rPr>
          <w:rFonts w:ascii="黑体"/>
        </w:rPr>
      </w:pPr>
      <w:r>
        <w:rPr>
          <w:rFonts w:ascii="黑体"/>
        </w:rPr>
        <w:t>3.11</w:t>
      </w:r>
    </w:p>
    <w:p>
      <w:pPr>
        <w:pStyle w:val="BodyText"/>
        <w:spacing w:before="43" w:line="278" w:lineRule="auto"/>
        <w:ind w:left="538" w:right="5072"/>
        <w:rPr>
          <w:rFonts w:ascii="黑体" w:eastAsia="黑体" w:hint="eastAsia"/>
        </w:rPr>
      </w:pPr>
      <w:r>
        <w:rPr>
          <w:rFonts w:ascii="黑体" w:eastAsia="黑体" w:hint="eastAsia"/>
        </w:rPr>
        <w:t>自动导引小车 automated guided vehicle AGV</w:t>
      </w:r>
    </w:p>
    <w:p>
      <w:pPr>
        <w:pStyle w:val="BodyText"/>
        <w:spacing w:line="278" w:lineRule="auto"/>
        <w:ind w:left="118" w:right="208" w:firstLine="420"/>
      </w:pPr>
      <w:r>
        <w:rPr>
          <w:spacing w:val="-10"/>
          <w:w w:val="95"/>
        </w:rPr>
        <w:t xml:space="preserve">装备有电磁或光学等自动导引装置，由计算机控制，以轮式移动为特征，自带动力或动力转换装置，   </w:t>
      </w:r>
      <w:r>
        <w:rPr>
          <w:spacing w:val="-10"/>
        </w:rPr>
        <w:t>并且能够沿着规定的导引路径自动行驶的运输工具。</w:t>
      </w:r>
    </w:p>
    <w:p>
      <w:pPr>
        <w:spacing w:before="20"/>
        <w:ind w:left="480" w:right="0" w:firstLine="0"/>
        <w:jc w:val="left"/>
        <w:rPr>
          <w:sz w:val="18"/>
        </w:rPr>
      </w:pPr>
      <w:r>
        <w:rPr>
          <w:rFonts w:ascii="黑体" w:eastAsia="黑体" w:hint="eastAsia"/>
          <w:sz w:val="18"/>
        </w:rPr>
        <w:t>注：</w:t>
      </w:r>
      <w:r>
        <w:rPr>
          <w:sz w:val="18"/>
        </w:rPr>
        <w:t>AGV一般具有安全防护、移栽等多种功能。</w:t>
      </w:r>
    </w:p>
    <w:p>
      <w:pPr>
        <w:pStyle w:val="BodyText"/>
        <w:spacing w:before="61"/>
        <w:ind w:left="118"/>
        <w:rPr>
          <w:rFonts w:ascii="黑体"/>
        </w:rPr>
      </w:pPr>
      <w:r>
        <w:rPr>
          <w:rFonts w:ascii="黑体"/>
        </w:rPr>
        <w:t>3.12</w:t>
      </w:r>
    </w:p>
    <w:p>
      <w:pPr>
        <w:pStyle w:val="BodyText"/>
        <w:spacing w:before="43"/>
        <w:ind w:left="538"/>
        <w:rPr>
          <w:rFonts w:ascii="黑体" w:eastAsia="黑体" w:hint="eastAsia"/>
        </w:rPr>
      </w:pPr>
      <w:r>
        <w:rPr>
          <w:rFonts w:ascii="黑体" w:eastAsia="黑体" w:hint="eastAsia"/>
        </w:rPr>
        <w:t>着 箱 loading</w:t>
      </w:r>
    </w:p>
    <w:p>
      <w:pPr>
        <w:pStyle w:val="BodyText"/>
        <w:spacing w:before="43"/>
        <w:ind w:left="538"/>
      </w:pPr>
      <w:r>
        <w:t>将集装箱搬运至特定位置的过程。</w:t>
      </w:r>
    </w:p>
    <w:p>
      <w:pPr>
        <w:pStyle w:val="BodyText"/>
        <w:spacing w:before="43"/>
        <w:ind w:left="118"/>
        <w:rPr>
          <w:rFonts w:ascii="黑体"/>
        </w:rPr>
      </w:pPr>
      <w:r>
        <w:rPr>
          <w:rFonts w:ascii="黑体"/>
        </w:rPr>
        <w:t>3.13</w:t>
      </w:r>
    </w:p>
    <w:p>
      <w:pPr>
        <w:pStyle w:val="BodyText"/>
        <w:spacing w:before="43"/>
        <w:ind w:left="538"/>
        <w:rPr>
          <w:rFonts w:ascii="黑体" w:eastAsia="黑体" w:hint="eastAsia"/>
        </w:rPr>
      </w:pPr>
      <w:r>
        <w:rPr>
          <w:rFonts w:ascii="黑体" w:eastAsia="黑体" w:hint="eastAsia"/>
        </w:rPr>
        <w:t>零 位 zero position</w:t>
      </w:r>
    </w:p>
    <w:p>
      <w:pPr>
        <w:pStyle w:val="BodyText"/>
        <w:spacing w:before="43"/>
        <w:ind w:left="538"/>
      </w:pPr>
      <w:r>
        <w:t>计算距离的起始位置。</w:t>
      </w:r>
    </w:p>
    <w:p>
      <w:pPr>
        <w:pStyle w:val="BodyText"/>
        <w:spacing w:before="43"/>
        <w:ind w:left="118"/>
        <w:rPr>
          <w:rFonts w:ascii="黑体"/>
        </w:rPr>
      </w:pPr>
      <w:r>
        <w:rPr>
          <w:rFonts w:ascii="黑体"/>
        </w:rPr>
        <w:t>3.14</w:t>
      </w:r>
    </w:p>
    <w:p>
      <w:pPr>
        <w:pStyle w:val="BodyText"/>
        <w:spacing w:before="42"/>
        <w:ind w:left="538"/>
        <w:rPr>
          <w:rFonts w:ascii="黑体" w:eastAsia="黑体" w:hint="eastAsia"/>
        </w:rPr>
      </w:pPr>
      <w:r>
        <w:rPr>
          <w:rFonts w:ascii="黑体" w:eastAsia="黑体" w:hint="eastAsia"/>
        </w:rPr>
        <w:t>标 定 calibration</w:t>
      </w:r>
    </w:p>
    <w:p>
      <w:pPr>
        <w:pStyle w:val="BodyText"/>
        <w:spacing w:before="43"/>
        <w:ind w:left="538"/>
      </w:pPr>
      <w:r>
        <w:t>用标准的计量仪器对所使用的仪器进行校准。</w:t>
      </w:r>
    </w:p>
    <w:p>
      <w:pPr>
        <w:pStyle w:val="BodyText"/>
        <w:spacing w:before="43"/>
        <w:ind w:left="118"/>
        <w:rPr>
          <w:rFonts w:ascii="黑体"/>
        </w:rPr>
      </w:pPr>
      <w:r>
        <w:rPr>
          <w:rFonts w:ascii="黑体"/>
        </w:rPr>
        <w:t>3.15</w:t>
      </w:r>
    </w:p>
    <w:p>
      <w:pPr>
        <w:pStyle w:val="BodyText"/>
        <w:spacing w:before="43"/>
        <w:ind w:left="538"/>
        <w:rPr>
          <w:rFonts w:ascii="黑体" w:eastAsia="黑体" w:hint="eastAsia"/>
        </w:rPr>
      </w:pPr>
      <w:r>
        <w:rPr>
          <w:rFonts w:ascii="黑体" w:eastAsia="黑体" w:hint="eastAsia"/>
          <w:spacing w:val="20"/>
        </w:rPr>
        <w:t xml:space="preserve">集装箱号 </w:t>
      </w:r>
      <w:r>
        <w:rPr>
          <w:rFonts w:ascii="黑体" w:eastAsia="黑体" w:hint="eastAsia"/>
        </w:rPr>
        <w:t>container</w:t>
      </w:r>
      <w:r>
        <w:rPr>
          <w:rFonts w:ascii="黑体" w:eastAsia="黑体" w:hint="eastAsia"/>
          <w:spacing w:val="-1"/>
        </w:rPr>
        <w:t xml:space="preserve"> </w:t>
      </w:r>
      <w:r>
        <w:rPr>
          <w:rFonts w:ascii="黑体" w:eastAsia="黑体" w:hint="eastAsia"/>
        </w:rPr>
        <w:t>ID</w:t>
      </w:r>
    </w:p>
    <w:p>
      <w:pPr>
        <w:pStyle w:val="BodyText"/>
        <w:spacing w:before="43"/>
        <w:ind w:left="538"/>
      </w:pPr>
      <w:r>
        <w:rPr>
          <w:w w:val="95"/>
        </w:rPr>
        <w:t>装运货物的集装箱箱号。</w:t>
      </w:r>
    </w:p>
    <w:p>
      <w:pPr>
        <w:pStyle w:val="BodyText"/>
        <w:spacing w:before="43"/>
        <w:ind w:left="118"/>
        <w:rPr>
          <w:rFonts w:ascii="黑体"/>
        </w:rPr>
      </w:pPr>
      <w:r>
        <w:rPr>
          <w:rFonts w:ascii="黑体"/>
        </w:rPr>
        <w:t>3.16</w:t>
      </w:r>
    </w:p>
    <w:p>
      <w:pPr>
        <w:pStyle w:val="BodyText"/>
        <w:spacing w:before="43"/>
        <w:ind w:left="538"/>
        <w:rPr>
          <w:rFonts w:ascii="黑体" w:eastAsia="黑体" w:hint="eastAsia"/>
        </w:rPr>
      </w:pPr>
      <w:r>
        <w:rPr>
          <w:rFonts w:ascii="黑体" w:eastAsia="黑体" w:hint="eastAsia"/>
        </w:rPr>
        <w:t>防吊起 anti-lifting</w:t>
      </w:r>
    </w:p>
    <w:p>
      <w:pPr>
        <w:pStyle w:val="BodyText"/>
        <w:spacing w:before="43" w:line="278" w:lineRule="auto"/>
        <w:ind w:left="118" w:right="315" w:firstLine="420"/>
      </w:pPr>
      <w:r>
        <w:t>防止在水平运输设备上的集装箱被吊起时，水平运输设备(3.3)连同集装箱一起出现竖直方向上的移动。</w:t>
      </w:r>
    </w:p>
    <w:p>
      <w:pPr>
        <w:pStyle w:val="BodyText"/>
        <w:spacing w:line="269" w:lineRule="exact"/>
        <w:ind w:left="118"/>
        <w:rPr>
          <w:rFonts w:ascii="黑体"/>
        </w:rPr>
      </w:pPr>
      <w:r>
        <w:rPr>
          <w:rFonts w:ascii="黑体"/>
        </w:rPr>
        <w:t>3.17</w:t>
      </w:r>
    </w:p>
    <w:p>
      <w:pPr>
        <w:pStyle w:val="BodyText"/>
        <w:spacing w:before="43"/>
        <w:ind w:left="538"/>
        <w:rPr>
          <w:rFonts w:ascii="黑体" w:eastAsia="黑体" w:hint="eastAsia"/>
        </w:rPr>
      </w:pPr>
      <w:r>
        <w:rPr>
          <w:rFonts w:ascii="黑体" w:eastAsia="黑体" w:hint="eastAsia"/>
        </w:rPr>
        <w:t>防撞检测 collision detection</w:t>
      </w:r>
    </w:p>
    <w:p>
      <w:pPr>
        <w:pStyle w:val="BodyText"/>
        <w:spacing w:before="43"/>
        <w:ind w:left="538"/>
      </w:pPr>
      <w:r>
        <w:t>感知轨道吊可能发生的撞击。</w:t>
      </w:r>
    </w:p>
    <w:p>
      <w:pPr>
        <w:pStyle w:val="BodyText"/>
        <w:spacing w:before="9"/>
        <w:rPr>
          <w:sz w:val="27"/>
        </w:rPr>
      </w:pPr>
    </w:p>
    <w:p>
      <w:pPr>
        <w:pStyle w:val="ListParagraph"/>
        <w:numPr>
          <w:ilvl w:val="0"/>
          <w:numId w:val="1"/>
        </w:numPr>
        <w:tabs>
          <w:tab w:val="left" w:pos="433"/>
        </w:tabs>
        <w:spacing w:before="0" w:after="0" w:line="240" w:lineRule="auto"/>
        <w:ind w:left="432" w:right="0" w:hanging="315"/>
        <w:jc w:val="left"/>
        <w:rPr>
          <w:rFonts w:ascii="黑体" w:eastAsia="黑体" w:hint="eastAsia"/>
          <w:sz w:val="21"/>
        </w:rPr>
      </w:pPr>
      <w:bookmarkStart w:id="6" w:name="4　一般要求"/>
      <w:bookmarkEnd w:id="6"/>
      <w:bookmarkStart w:id="7" w:name="_bookmark3"/>
      <w:bookmarkEnd w:id="7"/>
      <w:r>
        <w:rPr>
          <w:rFonts w:ascii="黑体" w:eastAsia="黑体" w:hint="eastAsia"/>
          <w:sz w:val="21"/>
        </w:rPr>
        <w:t>一般要求</w:t>
      </w:r>
    </w:p>
    <w:p>
      <w:pPr>
        <w:pStyle w:val="BodyText"/>
        <w:spacing w:before="9"/>
        <w:rPr>
          <w:rFonts w:ascii="黑体"/>
          <w:sz w:val="27"/>
        </w:rPr>
      </w:pPr>
    </w:p>
    <w:p>
      <w:pPr>
        <w:pStyle w:val="BodyText"/>
        <w:ind w:left="538"/>
      </w:pPr>
      <w:bookmarkStart w:id="8" w:name="轨道式集装箱门式起重机（以下简称“轨道吊”）的设计应满足GB/T 19683的要"/>
      <w:bookmarkEnd w:id="8"/>
      <w:r>
        <w:t>轨道式集装箱门式起重机（以下简称“轨道吊”）的设计应满足 GB/T 19683 的要求。</w:t>
      </w:r>
    </w:p>
    <w:p>
      <w:pPr>
        <w:spacing w:after="0"/>
        <w:sectPr>
          <w:footerReference w:type="default" r:id="rId6"/>
          <w:pgSz w:w="11910" w:h="16840"/>
          <w:pgMar w:top="1580" w:right="820" w:bottom="1340" w:left="1300" w:header="0" w:footer="1141"/>
          <w:pgNumType w:start="3"/>
          <w:cols w:space="708"/>
        </w:sectPr>
      </w:pPr>
    </w:p>
    <w:p>
      <w:pPr>
        <w:pStyle w:val="BodyText"/>
        <w:spacing w:before="5"/>
        <w:rPr>
          <w:sz w:val="17"/>
        </w:rPr>
      </w:pPr>
    </w:p>
    <w:p>
      <w:pPr>
        <w:pStyle w:val="ListParagraph"/>
        <w:numPr>
          <w:ilvl w:val="0"/>
          <w:numId w:val="1"/>
        </w:numPr>
        <w:tabs>
          <w:tab w:val="left" w:pos="433"/>
        </w:tabs>
        <w:spacing w:before="70" w:after="0" w:line="240" w:lineRule="auto"/>
        <w:ind w:left="432" w:right="0" w:hanging="315"/>
        <w:jc w:val="left"/>
        <w:rPr>
          <w:rFonts w:ascii="黑体" w:eastAsia="黑体" w:hint="eastAsia"/>
          <w:sz w:val="21"/>
        </w:rPr>
      </w:pPr>
      <w:bookmarkStart w:id="9" w:name="5　管理与控制系统"/>
      <w:bookmarkEnd w:id="9"/>
      <w:bookmarkStart w:id="10" w:name="_bookmark4"/>
      <w:bookmarkEnd w:id="10"/>
      <w:r>
        <w:rPr>
          <w:rFonts w:ascii="黑体" w:eastAsia="黑体" w:hint="eastAsia"/>
          <w:sz w:val="21"/>
        </w:rPr>
        <w:t>管理与控制系统</w:t>
      </w:r>
    </w:p>
    <w:p>
      <w:pPr>
        <w:pStyle w:val="BodyText"/>
        <w:spacing w:before="9"/>
        <w:rPr>
          <w:rFonts w:ascii="黑体"/>
          <w:sz w:val="27"/>
        </w:rPr>
      </w:pPr>
    </w:p>
    <w:p>
      <w:pPr>
        <w:pStyle w:val="ListParagraph"/>
        <w:numPr>
          <w:ilvl w:val="1"/>
          <w:numId w:val="1"/>
        </w:numPr>
        <w:tabs>
          <w:tab w:val="left" w:pos="644"/>
        </w:tabs>
        <w:spacing w:before="0" w:after="0" w:line="240" w:lineRule="auto"/>
        <w:ind w:left="644" w:right="0" w:hanging="526"/>
        <w:jc w:val="left"/>
        <w:rPr>
          <w:rFonts w:ascii="黑体" w:eastAsia="黑体" w:hint="eastAsia"/>
          <w:sz w:val="21"/>
        </w:rPr>
      </w:pPr>
      <w:bookmarkStart w:id="11" w:name="5.1　系统构成"/>
      <w:bookmarkEnd w:id="11"/>
      <w:r>
        <w:rPr>
          <w:rFonts w:ascii="黑体" w:eastAsia="黑体" w:hint="eastAsia"/>
          <w:sz w:val="21"/>
        </w:rPr>
        <w:t>系统构成</w:t>
      </w:r>
    </w:p>
    <w:p>
      <w:pPr>
        <w:pStyle w:val="BodyText"/>
        <w:spacing w:before="6"/>
        <w:rPr>
          <w:rFonts w:ascii="黑体"/>
          <w:sz w:val="15"/>
        </w:rPr>
      </w:pPr>
    </w:p>
    <w:p>
      <w:pPr>
        <w:pStyle w:val="BodyText"/>
        <w:spacing w:before="1"/>
        <w:ind w:left="538"/>
      </w:pPr>
      <w:bookmarkStart w:id="12" w:name="管理与控制系统的主要技术内容构成分为两个部分：轨道吊管理系统和轨道吊控制系统，见"/>
      <w:bookmarkEnd w:id="12"/>
      <w:r>
        <w:t>管理与控制系统的主要技术内容构成分为两个部分：轨道吊管理系统和轨道吊控制系统，见图 1。</w:t>
      </w:r>
    </w:p>
    <w:p>
      <w:pPr>
        <w:pStyle w:val="BodyText"/>
        <w:rPr>
          <w:sz w:val="20"/>
        </w:rPr>
      </w:pPr>
    </w:p>
    <w:p>
      <w:pPr>
        <w:pStyle w:val="BodyText"/>
        <w:spacing w:before="8"/>
        <w:rPr>
          <w:sz w:val="10"/>
        </w:rPr>
      </w:pPr>
      <w:r>
        <w:drawing>
          <wp:anchor distT="0" distB="0" distL="0" distR="0" simplePos="0" relativeHeight="251658240" behindDoc="0" locked="0" layoutInCell="1" allowOverlap="1">
            <wp:simplePos x="0" y="0"/>
            <wp:positionH relativeFrom="page">
              <wp:posOffset>900683</wp:posOffset>
            </wp:positionH>
            <wp:positionV relativeFrom="paragraph">
              <wp:posOffset>111759</wp:posOffset>
            </wp:positionV>
            <wp:extent cx="5908040" cy="2649474"/>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7" cstate="print"/>
                    <a:stretch>
                      <a:fillRect/>
                    </a:stretch>
                  </pic:blipFill>
                  <pic:spPr>
                    <a:xfrm>
                      <a:off x="0" y="0"/>
                      <a:ext cx="5908040" cy="2649474"/>
                    </a:xfrm>
                    <a:prstGeom prst="rect">
                      <a:avLst/>
                    </a:prstGeom>
                  </pic:spPr>
                </pic:pic>
              </a:graphicData>
            </a:graphic>
          </wp:anchor>
        </w:drawing>
      </w:r>
    </w:p>
    <w:p>
      <w:pPr>
        <w:pStyle w:val="BodyText"/>
        <w:spacing w:before="9"/>
        <w:rPr>
          <w:sz w:val="13"/>
        </w:rPr>
      </w:pPr>
    </w:p>
    <w:p>
      <w:pPr>
        <w:pStyle w:val="BodyText"/>
        <w:spacing w:before="69"/>
        <w:ind w:left="1895" w:right="2091"/>
        <w:jc w:val="center"/>
      </w:pPr>
      <w:r>
        <w:t>图1 主要技术内容构成图</w:t>
      </w:r>
    </w:p>
    <w:p>
      <w:pPr>
        <w:pStyle w:val="BodyText"/>
        <w:spacing w:before="1"/>
        <w:rPr>
          <w:sz w:val="10"/>
        </w:rPr>
      </w:pPr>
    </w:p>
    <w:p>
      <w:pPr>
        <w:pStyle w:val="ListParagraph"/>
        <w:numPr>
          <w:ilvl w:val="1"/>
          <w:numId w:val="1"/>
        </w:numPr>
        <w:tabs>
          <w:tab w:val="left" w:pos="644"/>
        </w:tabs>
        <w:spacing w:before="70" w:after="0" w:line="240" w:lineRule="auto"/>
        <w:ind w:left="644" w:right="0" w:hanging="526"/>
        <w:jc w:val="left"/>
        <w:rPr>
          <w:rFonts w:ascii="黑体" w:eastAsia="黑体" w:hint="eastAsia"/>
          <w:sz w:val="21"/>
        </w:rPr>
      </w:pPr>
      <w:bookmarkStart w:id="13" w:name="5.2　轨道吊管理系统"/>
      <w:bookmarkEnd w:id="13"/>
      <w:r>
        <w:rPr>
          <w:rFonts w:ascii="黑体" w:eastAsia="黑体" w:hint="eastAsia"/>
          <w:sz w:val="21"/>
        </w:rPr>
        <w:t>轨道吊管理系统</w:t>
      </w:r>
    </w:p>
    <w:p>
      <w:pPr>
        <w:pStyle w:val="BodyText"/>
        <w:spacing w:before="7"/>
        <w:rPr>
          <w:rFonts w:ascii="黑体"/>
          <w:sz w:val="15"/>
        </w:rPr>
      </w:pPr>
    </w:p>
    <w:p>
      <w:pPr>
        <w:pStyle w:val="ListParagraph"/>
        <w:numPr>
          <w:ilvl w:val="2"/>
          <w:numId w:val="1"/>
        </w:numPr>
        <w:tabs>
          <w:tab w:val="left" w:pos="853"/>
        </w:tabs>
        <w:spacing w:before="0" w:after="0" w:line="240" w:lineRule="auto"/>
        <w:ind w:left="852" w:right="0" w:hanging="735"/>
        <w:jc w:val="left"/>
        <w:rPr>
          <w:sz w:val="21"/>
        </w:rPr>
      </w:pPr>
      <w:bookmarkStart w:id="14" w:name="5.2.1　轨道吊管理系统可分为两个作业场景部分：港口装卸和铁路中心站装卸。"/>
      <w:bookmarkEnd w:id="14"/>
      <w:r>
        <w:rPr>
          <w:sz w:val="21"/>
        </w:rPr>
        <w:t>轨道吊管理系统可分为两个作业场景部分：港口装卸和铁路中心站装卸。</w:t>
      </w:r>
    </w:p>
    <w:p>
      <w:pPr>
        <w:pStyle w:val="BodyText"/>
        <w:spacing w:before="6"/>
        <w:rPr>
          <w:sz w:val="15"/>
        </w:rPr>
      </w:pPr>
    </w:p>
    <w:p>
      <w:pPr>
        <w:pStyle w:val="ListParagraph"/>
        <w:numPr>
          <w:ilvl w:val="2"/>
          <w:numId w:val="1"/>
        </w:numPr>
        <w:tabs>
          <w:tab w:val="left" w:pos="853"/>
        </w:tabs>
        <w:spacing w:before="1" w:after="0" w:line="278" w:lineRule="auto"/>
        <w:ind w:left="118" w:right="312" w:firstLine="0"/>
        <w:jc w:val="left"/>
        <w:rPr>
          <w:sz w:val="21"/>
        </w:rPr>
      </w:pPr>
      <w:bookmarkStart w:id="15" w:name="5.2.2　轨道吊管理系统应与码头管理系统（港口码头堆场场景）或铁路中心站管理系"/>
      <w:bookmarkEnd w:id="15"/>
      <w:r>
        <w:rPr>
          <w:sz w:val="21"/>
        </w:rPr>
        <w:t>轨道吊管理系统应与码头管理系统</w:t>
      </w:r>
      <w:r>
        <w:rPr>
          <w:sz w:val="21"/>
        </w:rPr>
        <w:t>（港口码头堆场场景）或铁路中心站管理系统（铁路中心站堆场场景）进行信息交换。</w:t>
      </w:r>
    </w:p>
    <w:p>
      <w:pPr>
        <w:pStyle w:val="ListParagraph"/>
        <w:numPr>
          <w:ilvl w:val="2"/>
          <w:numId w:val="1"/>
        </w:numPr>
        <w:tabs>
          <w:tab w:val="left" w:pos="853"/>
        </w:tabs>
        <w:spacing w:before="155" w:after="0" w:line="278" w:lineRule="auto"/>
        <w:ind w:left="118" w:right="208" w:firstLine="0"/>
        <w:jc w:val="left"/>
        <w:rPr>
          <w:sz w:val="21"/>
        </w:rPr>
      </w:pPr>
      <w:bookmarkStart w:id="16" w:name="5.2.3　轨道吊管理系统应接收并分析来自码头管理系统的理货信息和集装箱堆放情况"/>
      <w:bookmarkEnd w:id="16"/>
      <w:r>
        <w:rPr>
          <w:sz w:val="21"/>
        </w:rPr>
        <w:t>轨道吊管理系统应接收并分析来自码头管理系统的理货信息和集装箱堆放情况等数据，结合等</w:t>
      </w:r>
      <w:r>
        <w:rPr>
          <w:spacing w:val="-9"/>
          <w:w w:val="95"/>
          <w:sz w:val="21"/>
        </w:rPr>
        <w:t>待装卸货的水平运输设备的等待及分布情况，由此自行决策，决定港口码头堆场集装箱装卸的任务序列。</w:t>
      </w:r>
    </w:p>
    <w:p>
      <w:pPr>
        <w:pStyle w:val="ListParagraph"/>
        <w:numPr>
          <w:ilvl w:val="2"/>
          <w:numId w:val="1"/>
        </w:numPr>
        <w:tabs>
          <w:tab w:val="left" w:pos="853"/>
        </w:tabs>
        <w:spacing w:before="156" w:after="0" w:line="278" w:lineRule="auto"/>
        <w:ind w:left="118" w:right="312" w:firstLine="0"/>
        <w:jc w:val="both"/>
        <w:rPr>
          <w:sz w:val="21"/>
        </w:rPr>
      </w:pPr>
      <w:bookmarkStart w:id="17" w:name="5.2.4　轨道吊管理系统应接收并分析来自铁路中心站管理系统的列车装卸计划、列车"/>
      <w:bookmarkEnd w:id="17"/>
      <w:r>
        <w:rPr>
          <w:sz w:val="21"/>
        </w:rPr>
        <w:t>轨道吊管理系统应接收并分析来自铁路中心站管理系统的列车装卸计划、列车运行图、集装箱</w:t>
      </w:r>
      <w:r>
        <w:rPr>
          <w:spacing w:val="-10"/>
          <w:w w:val="95"/>
          <w:sz w:val="21"/>
        </w:rPr>
        <w:t xml:space="preserve">堆放情况、货票、运单等信息，结合等待装卸货的水平运输设备的分布情况，自行决定铁路中心站堆场   </w:t>
      </w:r>
      <w:r>
        <w:rPr>
          <w:spacing w:val="-10"/>
          <w:sz w:val="21"/>
        </w:rPr>
        <w:t>集装箱装卸的任务序列。</w:t>
      </w:r>
    </w:p>
    <w:p>
      <w:pPr>
        <w:pStyle w:val="ListParagraph"/>
        <w:numPr>
          <w:ilvl w:val="2"/>
          <w:numId w:val="1"/>
        </w:numPr>
        <w:tabs>
          <w:tab w:val="left" w:pos="853"/>
        </w:tabs>
        <w:spacing w:before="156" w:after="0" w:line="278" w:lineRule="auto"/>
        <w:ind w:left="118" w:right="312" w:firstLine="0"/>
        <w:jc w:val="both"/>
        <w:rPr>
          <w:sz w:val="21"/>
        </w:rPr>
      </w:pPr>
      <w:bookmarkStart w:id="18" w:name="5.2.5　在进行集装箱任务序列决策时，轨道吊管理系统需随时对影响决策的因素进行"/>
      <w:bookmarkEnd w:id="18"/>
      <w:r>
        <w:rPr>
          <w:sz w:val="21"/>
        </w:rPr>
        <w:t>在进行集装箱任务序列决策时，轨道吊管理系统需随时对影响决策的因素进行更新</w:t>
      </w:r>
      <w:r>
        <w:rPr>
          <w:sz w:val="21"/>
        </w:rPr>
        <w:t>（如来自码</w:t>
      </w:r>
      <w:r>
        <w:rPr>
          <w:spacing w:val="-5"/>
          <w:w w:val="95"/>
          <w:sz w:val="21"/>
        </w:rPr>
        <w:t>头、铁路中心站管理系统的综合信息</w:t>
      </w:r>
      <w:r>
        <w:rPr>
          <w:spacing w:val="-24"/>
          <w:w w:val="95"/>
          <w:sz w:val="21"/>
        </w:rPr>
        <w:t>）</w:t>
      </w:r>
      <w:r>
        <w:rPr>
          <w:spacing w:val="-7"/>
          <w:w w:val="95"/>
          <w:sz w:val="21"/>
        </w:rPr>
        <w:t xml:space="preserve">，以确保在信息变化时，决策系统不会使用已过时的信息来进行   </w:t>
      </w:r>
      <w:r>
        <w:rPr>
          <w:spacing w:val="-7"/>
          <w:sz w:val="21"/>
        </w:rPr>
        <w:t>任务决策。</w:t>
      </w:r>
    </w:p>
    <w:p>
      <w:pPr>
        <w:pStyle w:val="ListParagraph"/>
        <w:numPr>
          <w:ilvl w:val="2"/>
          <w:numId w:val="1"/>
        </w:numPr>
        <w:tabs>
          <w:tab w:val="left" w:pos="853"/>
        </w:tabs>
        <w:spacing w:before="156" w:after="0" w:line="278" w:lineRule="auto"/>
        <w:ind w:left="118" w:right="312" w:firstLine="0"/>
        <w:jc w:val="both"/>
        <w:rPr>
          <w:sz w:val="21"/>
        </w:rPr>
      </w:pPr>
      <w:bookmarkStart w:id="19" w:name="5.2.6　在堆场集装箱装卸导致其数量、位置发生变化后，轨道吊管理系统应能及时通"/>
      <w:bookmarkEnd w:id="19"/>
      <w:r>
        <w:rPr>
          <w:sz w:val="21"/>
        </w:rPr>
        <w:t>在堆场集装箱装卸导致其数量、位置发生变化后，轨道吊管理系统应能及时通知码头、铁路中</w:t>
      </w:r>
      <w:r>
        <w:rPr>
          <w:sz w:val="21"/>
        </w:rPr>
        <w:t>心站管理系统进行数据的更新。</w:t>
      </w:r>
    </w:p>
    <w:p>
      <w:pPr>
        <w:pStyle w:val="ListParagraph"/>
        <w:numPr>
          <w:ilvl w:val="2"/>
          <w:numId w:val="1"/>
        </w:numPr>
        <w:tabs>
          <w:tab w:val="left" w:pos="853"/>
        </w:tabs>
        <w:spacing w:before="155" w:after="0" w:line="278" w:lineRule="auto"/>
        <w:ind w:left="118" w:right="312" w:firstLine="0"/>
        <w:jc w:val="both"/>
        <w:rPr>
          <w:sz w:val="21"/>
        </w:rPr>
      </w:pPr>
      <w:bookmarkStart w:id="20" w:name="5.2.7　轨道吊管理系统应负责管理整个堆场所有轨道吊，把码头管理系统（港口码头"/>
      <w:bookmarkEnd w:id="20"/>
      <w:r>
        <w:rPr>
          <w:sz w:val="21"/>
        </w:rPr>
        <w:t>轨道吊管理系统应负责管理整个堆场所有轨道吊，把码头管理系统</w:t>
      </w:r>
      <w:r>
        <w:rPr>
          <w:sz w:val="21"/>
        </w:rPr>
        <w:t>（港口码头堆场部分）、铁</w:t>
      </w:r>
      <w:r>
        <w:rPr>
          <w:spacing w:val="-6"/>
          <w:w w:val="95"/>
          <w:sz w:val="21"/>
        </w:rPr>
        <w:t>路中心站管理系统</w:t>
      </w:r>
      <w:r>
        <w:rPr>
          <w:w w:val="95"/>
          <w:sz w:val="21"/>
        </w:rPr>
        <w:t>（铁路中心站堆场部分</w:t>
      </w:r>
      <w:r>
        <w:rPr>
          <w:spacing w:val="-49"/>
          <w:w w:val="95"/>
          <w:sz w:val="21"/>
        </w:rPr>
        <w:t>）</w:t>
      </w:r>
      <w:r>
        <w:rPr>
          <w:w w:val="95"/>
          <w:sz w:val="21"/>
        </w:rPr>
        <w:t xml:space="preserve">的相关任务经处理后解析为各轨道吊的轨道吊控制系统可识   </w:t>
      </w:r>
      <w:r>
        <w:rPr>
          <w:spacing w:val="-9"/>
          <w:w w:val="95"/>
          <w:sz w:val="21"/>
        </w:rPr>
        <w:t xml:space="preserve">别的指令。这些指令用于指挥单台轨道吊进行各类集装箱的吊装操作，使同一个堆场内的多台轨道吊能   </w:t>
      </w:r>
      <w:r>
        <w:rPr>
          <w:spacing w:val="-9"/>
          <w:sz w:val="21"/>
        </w:rPr>
        <w:t>够协同作业。</w:t>
      </w:r>
    </w:p>
    <w:p>
      <w:pPr>
        <w:spacing w:after="0" w:line="278" w:lineRule="auto"/>
        <w:jc w:val="both"/>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https://d.book118.com/147121036134006034</w:t>
        </w:r>
      </w:hyperlink>
    </w:p>
    <w:p>
      <w:pPr>
        <w:spacing w:after="0" w:line="278" w:lineRule="auto"/>
        <w:jc w:val="both"/>
        <w:rPr>
          <w:sz w:val="21"/>
        </w:rPr>
      </w:pPr>
    </w:p>
    <w:sectPr>
      <w:footerReference w:type="default" r:id="rId9"/>
      <w:pgSz w:w="11910" w:h="16840"/>
      <w:pgMar w:top="1580" w:right="820" w:bottom="1340" w:left="1300" w:header="0" w:footer="1141"/>
      <w:pgNumType w:start="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5.1pt;height:11pt;margin-top:773.83pt;margin-left:515.28pt;mso-position-horizontal-relative:page;mso-position-vertical-relative:page;position:absolute;z-index:-25165824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5.1pt;height:11pt;margin-top:773.83pt;margin-left:515.28pt;mso-position-horizontal-relative:page;mso-position-vertical-relative:page;position:absolute;z-index:-25165721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5.1pt;height:11pt;margin-top:773.83pt;margin-left:515.28pt;mso-position-horizontal-relative:page;mso-position-vertical-relative:page;position:absolute;z-index:-25165619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5.1pt;height:11pt;margin-top:773.83pt;margin-left:515.28pt;mso-position-horizontal-relative:page;mso-position-vertical-relative:page;position:absolute;z-index:-25165516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E83A0"/>
    <w:multiLevelType w:val="hybridMultilevel"/>
    <w:tmpl w:val="00000000"/>
    <w:lvl w:ilvl="0">
      <w:start w:val="1"/>
      <w:numFmt w:val="decimal"/>
      <w:lvlText w:val="%1"/>
      <w:lvlJc w:val="left"/>
      <w:pPr>
        <w:ind w:left="432" w:hanging="315"/>
        <w:jc w:val="left"/>
      </w:pPr>
      <w:rPr>
        <w:rFonts w:ascii="黑体" w:eastAsia="黑体" w:hAnsi="黑体" w:cs="黑体" w:hint="default"/>
        <w:w w:val="99"/>
        <w:sz w:val="21"/>
        <w:szCs w:val="21"/>
        <w:lang w:val="en-US" w:eastAsia="en-US" w:bidi="ar-SA"/>
      </w:rPr>
    </w:lvl>
    <w:lvl w:ilvl="1">
      <w:start w:val="1"/>
      <w:numFmt w:val="decimal"/>
      <w:lvlText w:val="%1.%2"/>
      <w:lvlJc w:val="left"/>
      <w:pPr>
        <w:ind w:left="644" w:hanging="526"/>
        <w:jc w:val="left"/>
      </w:pPr>
      <w:rPr>
        <w:rFonts w:ascii="黑体" w:eastAsia="黑体" w:hAnsi="黑体" w:cs="黑体" w:hint="default"/>
        <w:spacing w:val="0"/>
        <w:w w:val="99"/>
        <w:sz w:val="21"/>
        <w:szCs w:val="21"/>
        <w:lang w:val="en-US" w:eastAsia="en-US" w:bidi="ar-SA"/>
      </w:rPr>
    </w:lvl>
    <w:lvl w:ilvl="2">
      <w:start w:val="1"/>
      <w:numFmt w:val="decimal"/>
      <w:lvlText w:val="%1.%2.%3"/>
      <w:lvlJc w:val="left"/>
      <w:pPr>
        <w:ind w:left="852" w:hanging="735"/>
        <w:jc w:val="left"/>
      </w:pPr>
      <w:rPr>
        <w:rFonts w:ascii="黑体" w:eastAsia="黑体" w:hAnsi="黑体" w:cs="黑体" w:hint="default"/>
        <w:spacing w:val="-2"/>
        <w:w w:val="99"/>
        <w:sz w:val="21"/>
        <w:szCs w:val="21"/>
        <w:lang w:val="en-US" w:eastAsia="en-US" w:bidi="ar-SA"/>
      </w:rPr>
    </w:lvl>
    <w:lvl w:ilvl="3">
      <w:start w:val="1"/>
      <w:numFmt w:val="lowerLetter"/>
      <w:lvlText w:val="%4）"/>
      <w:lvlJc w:val="left"/>
      <w:pPr>
        <w:ind w:left="854" w:hanging="316"/>
        <w:jc w:val="left"/>
      </w:pPr>
      <w:rPr>
        <w:rFonts w:ascii="宋体" w:eastAsia="宋体" w:hAnsi="宋体" w:cs="宋体" w:hint="default"/>
        <w:spacing w:val="-1"/>
        <w:w w:val="99"/>
        <w:sz w:val="19"/>
        <w:szCs w:val="19"/>
        <w:lang w:val="en-US" w:eastAsia="en-US" w:bidi="ar-SA"/>
      </w:rPr>
    </w:lvl>
    <w:lvl w:ilvl="4">
      <w:start w:val="0"/>
      <w:numFmt w:val="bullet"/>
      <w:lvlText w:val="•"/>
      <w:lvlJc w:val="left"/>
      <w:pPr>
        <w:ind w:left="2135" w:hanging="316"/>
      </w:pPr>
      <w:rPr>
        <w:rFonts w:hint="default"/>
        <w:lang w:val="en-US" w:eastAsia="en-US" w:bidi="ar-SA"/>
      </w:rPr>
    </w:lvl>
    <w:lvl w:ilvl="5">
      <w:start w:val="0"/>
      <w:numFmt w:val="bullet"/>
      <w:lvlText w:val="•"/>
      <w:lvlJc w:val="left"/>
      <w:pPr>
        <w:ind w:left="3410" w:hanging="316"/>
      </w:pPr>
      <w:rPr>
        <w:rFonts w:hint="default"/>
        <w:lang w:val="en-US" w:eastAsia="en-US" w:bidi="ar-SA"/>
      </w:rPr>
    </w:lvl>
    <w:lvl w:ilvl="6">
      <w:start w:val="0"/>
      <w:numFmt w:val="bullet"/>
      <w:lvlText w:val="•"/>
      <w:lvlJc w:val="left"/>
      <w:pPr>
        <w:ind w:left="4685" w:hanging="316"/>
      </w:pPr>
      <w:rPr>
        <w:rFonts w:hint="default"/>
        <w:lang w:val="en-US" w:eastAsia="en-US" w:bidi="ar-SA"/>
      </w:rPr>
    </w:lvl>
    <w:lvl w:ilvl="7">
      <w:start w:val="0"/>
      <w:numFmt w:val="bullet"/>
      <w:lvlText w:val="•"/>
      <w:lvlJc w:val="left"/>
      <w:pPr>
        <w:ind w:left="5960" w:hanging="316"/>
      </w:pPr>
      <w:rPr>
        <w:rFonts w:hint="default"/>
        <w:lang w:val="en-US" w:eastAsia="en-US" w:bidi="ar-SA"/>
      </w:rPr>
    </w:lvl>
    <w:lvl w:ilvl="8">
      <w:start w:val="0"/>
      <w:numFmt w:val="bullet"/>
      <w:lvlText w:val="•"/>
      <w:lvlJc w:val="left"/>
      <w:pPr>
        <w:ind w:left="7235" w:hanging="316"/>
      </w:pPr>
      <w:rPr>
        <w:rFonts w:hint="default"/>
        <w:lang w:val="en-US" w:eastAsia="en-US" w:bidi="ar-SA"/>
      </w:rPr>
    </w:lvl>
  </w:abstractNum>
  <w:abstractNum w:abstractNumId="1">
    <w:nsid w:val="75949EF4"/>
    <w:multiLevelType w:val="hybridMultilevel"/>
    <w:tmpl w:val="00000000"/>
    <w:lvl w:ilvl="0">
      <w:start w:val="1"/>
      <w:numFmt w:val="decimal"/>
      <w:lvlText w:val="%1"/>
      <w:lvlJc w:val="left"/>
      <w:pPr>
        <w:ind w:left="432" w:hanging="315"/>
        <w:jc w:val="left"/>
      </w:pPr>
      <w:rPr>
        <w:rFonts w:ascii="宋体" w:eastAsia="宋体" w:hAnsi="宋体" w:cs="宋体" w:hint="default"/>
        <w:w w:val="99"/>
        <w:sz w:val="21"/>
        <w:szCs w:val="21"/>
        <w:lang w:val="en-US" w:eastAsia="en-US" w:bidi="ar-SA"/>
      </w:rPr>
    </w:lvl>
    <w:lvl w:ilvl="1">
      <w:start w:val="0"/>
      <w:numFmt w:val="bullet"/>
      <w:lvlText w:val="•"/>
      <w:lvlJc w:val="left"/>
      <w:pPr>
        <w:ind w:left="1374" w:hanging="315"/>
      </w:pPr>
      <w:rPr>
        <w:rFonts w:hint="default"/>
        <w:lang w:val="en-US" w:eastAsia="en-US" w:bidi="ar-SA"/>
      </w:rPr>
    </w:lvl>
    <w:lvl w:ilvl="2">
      <w:start w:val="0"/>
      <w:numFmt w:val="bullet"/>
      <w:lvlText w:val="•"/>
      <w:lvlJc w:val="left"/>
      <w:pPr>
        <w:ind w:left="2309" w:hanging="315"/>
      </w:pPr>
      <w:rPr>
        <w:rFonts w:hint="default"/>
        <w:lang w:val="en-US" w:eastAsia="en-US" w:bidi="ar-SA"/>
      </w:rPr>
    </w:lvl>
    <w:lvl w:ilvl="3">
      <w:start w:val="0"/>
      <w:numFmt w:val="bullet"/>
      <w:lvlText w:val="•"/>
      <w:lvlJc w:val="left"/>
      <w:pPr>
        <w:ind w:left="3243" w:hanging="315"/>
      </w:pPr>
      <w:rPr>
        <w:rFonts w:hint="default"/>
        <w:lang w:val="en-US" w:eastAsia="en-US" w:bidi="ar-SA"/>
      </w:rPr>
    </w:lvl>
    <w:lvl w:ilvl="4">
      <w:start w:val="0"/>
      <w:numFmt w:val="bullet"/>
      <w:lvlText w:val="•"/>
      <w:lvlJc w:val="left"/>
      <w:pPr>
        <w:ind w:left="4178" w:hanging="315"/>
      </w:pPr>
      <w:rPr>
        <w:rFonts w:hint="default"/>
        <w:lang w:val="en-US" w:eastAsia="en-US" w:bidi="ar-SA"/>
      </w:rPr>
    </w:lvl>
    <w:lvl w:ilvl="5">
      <w:start w:val="0"/>
      <w:numFmt w:val="bullet"/>
      <w:lvlText w:val="•"/>
      <w:lvlJc w:val="left"/>
      <w:pPr>
        <w:ind w:left="5113" w:hanging="315"/>
      </w:pPr>
      <w:rPr>
        <w:rFonts w:hint="default"/>
        <w:lang w:val="en-US" w:eastAsia="en-US" w:bidi="ar-SA"/>
      </w:rPr>
    </w:lvl>
    <w:lvl w:ilvl="6">
      <w:start w:val="0"/>
      <w:numFmt w:val="bullet"/>
      <w:lvlText w:val="•"/>
      <w:lvlJc w:val="left"/>
      <w:pPr>
        <w:ind w:left="6047" w:hanging="315"/>
      </w:pPr>
      <w:rPr>
        <w:rFonts w:hint="default"/>
        <w:lang w:val="en-US" w:eastAsia="en-US" w:bidi="ar-SA"/>
      </w:rPr>
    </w:lvl>
    <w:lvl w:ilvl="7">
      <w:start w:val="0"/>
      <w:numFmt w:val="bullet"/>
      <w:lvlText w:val="•"/>
      <w:lvlJc w:val="left"/>
      <w:pPr>
        <w:ind w:left="6982" w:hanging="315"/>
      </w:pPr>
      <w:rPr>
        <w:rFonts w:hint="default"/>
        <w:lang w:val="en-US" w:eastAsia="en-US" w:bidi="ar-SA"/>
      </w:rPr>
    </w:lvl>
    <w:lvl w:ilvl="8">
      <w:start w:val="0"/>
      <w:numFmt w:val="bullet"/>
      <w:lvlText w:val="•"/>
      <w:lvlJc w:val="left"/>
      <w:pPr>
        <w:ind w:left="7916" w:hanging="315"/>
      </w:pPr>
      <w:rPr>
        <w:rFonts w:hint="default"/>
        <w:lang w:val="en-US" w:eastAsia="en-US" w:bidi="ar-S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en-US" w:bidi="ar-SA"/>
    </w:rPr>
  </w:style>
  <w:style w:type="paragraph" w:styleId="Heading1">
    <w:name w:val="heading 1"/>
    <w:basedOn w:val="Normal"/>
    <w:uiPriority w:val="1"/>
    <w:qFormat/>
    <w:pPr>
      <w:spacing w:before="54"/>
      <w:ind w:right="194"/>
      <w:jc w:val="center"/>
      <w:outlineLvl w:val="0"/>
    </w:pPr>
    <w:rPr>
      <w:rFonts w:ascii="黑体" w:eastAsia="黑体" w:hAnsi="黑体" w:cs="黑体"/>
      <w:sz w:val="32"/>
      <w:szCs w:val="32"/>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en-US" w:bidi="ar-SA"/>
    </w:rPr>
  </w:style>
  <w:style w:type="paragraph" w:styleId="Title">
    <w:name w:val="Title"/>
    <w:basedOn w:val="Normal"/>
    <w:uiPriority w:val="1"/>
    <w:qFormat/>
    <w:pPr>
      <w:spacing w:before="28"/>
      <w:ind w:left="255"/>
    </w:pPr>
    <w:rPr>
      <w:rFonts w:ascii="黑体" w:eastAsia="黑体" w:hAnsi="黑体" w:cs="黑体"/>
      <w:sz w:val="52"/>
      <w:szCs w:val="52"/>
      <w:lang w:val="en-US" w:eastAsia="en-US" w:bidi="ar-SA"/>
    </w:rPr>
  </w:style>
  <w:style w:type="paragraph" w:styleId="ListParagraph">
    <w:name w:val="List Paragraph"/>
    <w:basedOn w:val="Normal"/>
    <w:uiPriority w:val="1"/>
    <w:qFormat/>
    <w:pPr>
      <w:spacing w:before="156"/>
      <w:ind w:left="118"/>
    </w:pPr>
    <w:rPr>
      <w:rFonts w:ascii="宋体" w:eastAsia="宋体" w:hAnsi="宋体" w:cs="宋体"/>
      <w:lang w:val="en-US" w:eastAsia="en-US" w:bidi="ar-SA"/>
    </w:rPr>
  </w:style>
  <w:style w:type="paragraph" w:customStyle="1" w:styleId="TableParagraph">
    <w:name w:val="Table Paragraph"/>
    <w:basedOn w:val="Normal"/>
    <w:uiPriority w:val="1"/>
    <w:qFormat/>
    <w:pPr>
      <w:spacing w:before="21"/>
      <w:ind w:left="30" w:right="31"/>
      <w:jc w:val="center"/>
    </w:pPr>
    <w:rPr>
      <w:rFonts w:ascii="宋体" w:eastAsia="宋体" w:hAnsi="宋体" w:cs="宋体"/>
      <w:lang w:val="en-US" w:eastAsia="en-US"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image" Target="media/image1.jpeg" /><Relationship Id="rId8" Type="http://schemas.openxmlformats.org/officeDocument/2006/relationships/hyperlink" Target="https://d.book118.com/147121036134006034" TargetMode="Externa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行业标准</dc:title>
  <dc:creator>张金侠</dc:creator>
  <cp:revision>0</cp:revision>
  <dcterms:created xsi:type="dcterms:W3CDTF">2024-01-27T05:01:34Z</dcterms:created>
  <dcterms:modified xsi:type="dcterms:W3CDTF">2024-01-27T05:01:34Z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2024-01-27T00:00:00Z</vt:filetime>
  </property>
  <property fmtid="{D5CDD505-2E9C-101B-9397-08002B2CF9AE}" pid="3" name="Creator">
    <vt:lpwstr>WPS 文字</vt:lpwstr>
  </property>
  <property fmtid="{D5CDD505-2E9C-101B-9397-08002B2CF9AE}" pid="4" name="LastSaved">
    <vt:filetime>2024-01-27T00:00:00Z</vt:filetime>
  </property>
</Properties>
</file>