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2015-2023年江西财经职业学院高职单招（数学／语文／英语）历年参考题库带答案解析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下列句中“之”作“到”讲的是（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A.所操之术多异故也。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B.夫子欲之。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C.大军不知广所之。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D.今我睹子之难穷也。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孟子在本文中用“五十步笑百步”讽刺（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A.胆小的逃兵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B.自己慢却要嘲笑别人的人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C.不行仁政的梁惠王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D.不行仁政的邻国国君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下列曲词中，概括《天净沙·秋思》全篇主题思想的是（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A.枯藤老树昏鸦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B.小桥流水人家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C.古道西风瘦马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D.断肠人在天涯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“日薄西山，气息奄奄”出自（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《马伶传》本文在记叙马伶与李伶第二次较量时所用的方法是（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A.顺叙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B.倒叙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C.插叙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D.分叙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《种树郭橐驼传》的创作意图主要是（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B.揭露统治者的政令扰民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D.借“养树”之道，喻“养民”之道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屈原根据战国时期楚地祭祀乐歌加工而成的组诗是（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B.《楚辞》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北宋中叶的文坛领袖是（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D.梅尧臣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《关山月》一诗的作者是（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老舍的长篇小说代表作有（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A.《鼓书艺人》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下列作品出自我国最早的诗歌总集的是（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D.《短歌行》（其一）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《麦琪的礼物》运用的结构方法是（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A.一虚一实，双线并行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B.采用两条平行的情节线索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C.四条情节线交叉叙述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D.追溯法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《论学问》一文指出治学的目的是（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A.能权衡轻重，审察事理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B.娱乐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D.装饰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D.《荀子》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https://d.book118.com/147135130035006045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47135130035006045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