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6" w:lineRule="auto"/>
        <w:rPr>
          <w:rFonts w:ascii="Arial"/>
          <w:sz w:val="21"/>
        </w:rPr>
      </w:pPr>
      <w:r>
        <w:pict>
          <v:rect id="_x0000_s1025" style="width:134.85pt;height:1.45pt;margin-top:227.06pt;margin-left:49.56pt;mso-position-horizontal-relative:page;mso-position-vertical-relative:page;position:absolute;z-index:251667456" o:allowincell="f" filled="t" fillcolor="#336" stroked="f"/>
        </w:pict>
      </w:r>
      <w:r>
        <w:pict>
          <v:rect id="_x0000_s1026" style="width:133.25pt;height:0.5pt;margin-top:457.63pt;margin-left:49.56pt;mso-position-horizontal-relative:page;mso-position-vertical-relative:page;position:absolute;z-index:251670528" o:allowincell="f" filled="t" fillcolor="#336" stroked="f"/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629412</wp:posOffset>
            </wp:positionH>
            <wp:positionV relativeFrom="page">
              <wp:posOffset>4267708</wp:posOffset>
            </wp:positionV>
            <wp:extent cx="1712086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208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60.15pt;height:50.35pt;margin-top:69.05pt;margin-left:49.21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628" w:lineRule="exact"/>
                    <w:ind w:left="99"/>
                    <w:rPr>
                      <w:sz w:val="18"/>
                      <w:szCs w:val="18"/>
                    </w:rPr>
                  </w:pPr>
                  <w:r>
                    <w:rPr>
                      <w:position w:val="35"/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证券研究报告</w:t>
                  </w:r>
                </w:p>
                <w:p>
                  <w:pPr>
                    <w:pStyle w:val="BodyText"/>
                    <w:spacing w:before="1" w:line="222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社服行业</w:t>
                  </w:r>
                </w:p>
              </w:txbxContent>
            </v:textbox>
          </v:shape>
        </w:pict>
      </w:r>
      <w:r>
        <w:pict>
          <v:shape id="_x0000_s1028" type="#_x0000_t202" style="width:357.15pt;height:79.3pt;margin-top:152.28pt;margin-left:198.73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36" w:lineRule="auto"/>
                    <w:ind w:left="46" w:right="95" w:firstLine="22"/>
                    <w:outlineLvl w:val="0"/>
                    <w:rPr>
                      <w:sz w:val="30"/>
                      <w:szCs w:val="30"/>
                    </w:rPr>
                  </w:pPr>
                  <w:r>
                    <w:rPr>
                      <w:spacing w:val="4"/>
                      <w:sz w:val="30"/>
                      <w:szCs w:val="30"/>
                      <w14:textOutline w14:w="561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古茗：</w:t>
                  </w:r>
                  <w:r>
                    <w:rPr>
                      <w:spacing w:val="71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4"/>
                      <w:sz w:val="30"/>
                      <w:szCs w:val="30"/>
                      <w14:textOutline w14:w="561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重视产品研发，</w:t>
                  </w:r>
                  <w:r>
                    <w:rPr>
                      <w:spacing w:val="-83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4"/>
                      <w:sz w:val="30"/>
                      <w:szCs w:val="30"/>
                      <w14:textOutline w14:w="561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门店快速增长，中端现制茶</w:t>
                  </w:r>
                  <w:r>
                    <w:rPr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11"/>
                      <w:sz w:val="30"/>
                      <w:szCs w:val="30"/>
                      <w14:textOutline w14:w="5617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饮赛道市场份额领先</w:t>
                  </w:r>
                </w:p>
                <w:p>
                  <w:pPr>
                    <w:pStyle w:val="BodyText"/>
                    <w:spacing w:before="28" w:line="222" w:lineRule="auto"/>
                    <w:ind w:right="20"/>
                    <w:jc w:val="right"/>
                    <w:rPr>
                      <w:sz w:val="25"/>
                      <w:szCs w:val="25"/>
                    </w:rPr>
                  </w:pPr>
                  <w:r>
                    <w:rPr>
                      <w:spacing w:val="10"/>
                      <w:sz w:val="25"/>
                      <w:szCs w:val="25"/>
                      <w14:textOutline w14:w="4702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现制茶饮公司系列报告（二）</w:t>
                  </w:r>
                </w:p>
                <w:p>
                  <w:pPr>
                    <w:pStyle w:val="BodyText"/>
                    <w:tabs>
                      <w:tab w:val="left" w:pos="5225"/>
                    </w:tabs>
                    <w:spacing w:before="145" w:line="217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CE1300"/>
                      <w:sz w:val="24"/>
                      <w:szCs w:val="24"/>
                      <w:u w:val="single" w:color="333366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5"/>
                      <w:sz w:val="24"/>
                      <w:szCs w:val="24"/>
                      <w:u w:val="single" w:color="333366"/>
                    </w:rPr>
                    <w:t xml:space="preserve">2024 </w:t>
                  </w:r>
                  <w:r>
                    <w:rPr>
                      <w:color w:val="CE1300"/>
                      <w:spacing w:val="-5"/>
                      <w:sz w:val="24"/>
                      <w:szCs w:val="24"/>
                      <w:u w:val="single" w:color="333366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color w:val="CE1300"/>
                      <w:spacing w:val="-40"/>
                      <w:sz w:val="24"/>
                      <w:szCs w:val="24"/>
                      <w:u w:val="single" w:color="33336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5"/>
                      <w:sz w:val="24"/>
                      <w:szCs w:val="24"/>
                      <w:u w:val="single" w:color="333366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23"/>
                      <w:sz w:val="24"/>
                      <w:szCs w:val="24"/>
                      <w:u w:val="single" w:color="333366"/>
                    </w:rPr>
                    <w:t xml:space="preserve"> </w:t>
                  </w:r>
                  <w:r>
                    <w:rPr>
                      <w:color w:val="CE1300"/>
                      <w:spacing w:val="-5"/>
                      <w:sz w:val="24"/>
                      <w:szCs w:val="24"/>
                      <w:u w:val="single" w:color="333366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color w:val="CE1300"/>
                      <w:spacing w:val="-42"/>
                      <w:sz w:val="24"/>
                      <w:szCs w:val="24"/>
                      <w:u w:val="single" w:color="33336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5"/>
                      <w:sz w:val="24"/>
                      <w:szCs w:val="24"/>
                      <w:u w:val="single" w:color="333366"/>
                    </w:rPr>
                    <w:t xml:space="preserve">15  </w:t>
                  </w:r>
                  <w:r>
                    <w:rPr>
                      <w:color w:val="CE1300"/>
                      <w:spacing w:val="-5"/>
                      <w:sz w:val="24"/>
                      <w:szCs w:val="24"/>
                      <w:u w:val="single" w:color="333366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29" type="#_x0000_t202" style="width:43.5pt;height:18.4pt;margin-top:184.36pt;margin-left:93.6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6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spacing w:val="-3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无评级</w:t>
                  </w:r>
                </w:p>
              </w:txbxContent>
            </v:textbox>
          </v:shape>
        </w:pict>
      </w:r>
      <w:r>
        <w:pict>
          <v:shape id="_x0000_s1030" type="#_x0000_t202" style="width:44.25pt;height:14.5pt;margin-top:241.5pt;margin-left:199.4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color w:val="CE1300"/>
                      <w:spacing w:val="1"/>
                      <w:sz w:val="21"/>
                      <w:szCs w:val="21"/>
                      <w14:textOutline w14:w="3831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投资要点</w:t>
                  </w:r>
                </w:p>
              </w:txbxContent>
            </v:textbox>
          </v:shape>
        </w:pict>
      </w:r>
      <w:r>
        <w:pict>
          <v:shape id="_x0000_s1031" type="#_x0000_t202" style="width:42.7pt;height:843.95pt;margin-top:-1pt;margin-left:-1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798" w:type="dxa"/>
                    <w:tblInd w:w="27" w:type="dxa"/>
                    <w:tblBorders>
                      <w:top w:val="single" w:sz="6" w:space="0" w:color="020181"/>
                      <w:left w:val="single" w:sz="6" w:space="0" w:color="020181"/>
                      <w:bottom w:val="single" w:sz="6" w:space="0" w:color="020181"/>
                      <w:right w:val="single" w:sz="6" w:space="0" w:color="020181"/>
                      <w:insideH w:val="single" w:sz="6" w:space="0" w:color="020181"/>
                      <w:insideV w:val="single" w:sz="6" w:space="0" w:color="020181"/>
                    </w:tblBorders>
                    <w:tblLayout w:type="fixed"/>
                  </w:tblPr>
                  <w:tblGrid>
                    <w:gridCol w:w="798"/>
                  </w:tblGrid>
                  <w:tr>
                    <w:tblPrEx>
                      <w:tblW w:w="798" w:type="dxa"/>
                      <w:tblInd w:w="27" w:type="dxa"/>
                      <w:tblBorders>
                        <w:top w:val="single" w:sz="6" w:space="0" w:color="020181"/>
                        <w:left w:val="single" w:sz="6" w:space="0" w:color="020181"/>
                        <w:bottom w:val="single" w:sz="6" w:space="0" w:color="020181"/>
                        <w:right w:val="single" w:sz="6" w:space="0" w:color="020181"/>
                        <w:insideH w:val="single" w:sz="6" w:space="0" w:color="020181"/>
                        <w:insideV w:val="single" w:sz="6" w:space="0" w:color="020181"/>
                      </w:tblBorders>
                      <w:tblLayout w:type="fixed"/>
                    </w:tblPrEx>
                    <w:trPr>
                      <w:trHeight w:val="1976"/>
                    </w:trPr>
                    <w:tc>
                      <w:tcPr>
                        <w:tcW w:w="798" w:type="dxa"/>
                        <w:tcBorders>
                          <w:top w:val="single" w:sz="2" w:space="0" w:color="9DA3D3"/>
                          <w:left w:val="single" w:sz="4" w:space="0" w:color="9DA3D3"/>
                          <w:bottom w:val="single" w:sz="6" w:space="0" w:color="9DA3D3"/>
                          <w:right w:val="single" w:sz="6" w:space="0" w:color="9DA3D3"/>
                        </w:tcBorders>
                        <w:shd w:val="clear" w:color="auto" w:fill="9DA3D3"/>
                        <w:textDirection w:val="tbRlV"/>
                        <w:vAlign w:val="top"/>
                      </w:tcPr>
                      <w:p>
                        <w:pPr>
                          <w:spacing w:before="162" w:line="212" w:lineRule="auto"/>
                          <w:ind w:left="322"/>
                          <w:rPr>
                            <w:rFonts w:ascii="KaiTi" w:eastAsia="KaiTi" w:hAnsi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62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海外研究</w:t>
                        </w:r>
                      </w:p>
                    </w:tc>
                  </w:tr>
                  <w:tr>
                    <w:tblPrEx>
                      <w:tblW w:w="798" w:type="dxa"/>
                      <w:tblInd w:w="27" w:type="dxa"/>
                      <w:tblLayout w:type="fixed"/>
                    </w:tblPrEx>
                    <w:trPr>
                      <w:trHeight w:val="5294"/>
                    </w:trPr>
                    <w:tc>
                      <w:tcPr>
                        <w:tcW w:w="798" w:type="dxa"/>
                        <w:tcBorders>
                          <w:left w:val="single" w:sz="4" w:space="0" w:color="020181"/>
                        </w:tcBorders>
                        <w:shd w:val="clear" w:color="auto" w:fill="020181"/>
                        <w:textDirection w:val="tbRlV"/>
                        <w:vAlign w:val="top"/>
                      </w:tcPr>
                      <w:p>
                        <w:pPr>
                          <w:spacing w:before="162" w:line="210" w:lineRule="auto"/>
                          <w:ind w:left="1586"/>
                          <w:rPr>
                            <w:rFonts w:ascii="KaiTi" w:eastAsia="KaiTi" w:hAnsi="KaiTi" w:cs="KaiT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行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37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业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点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55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评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58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报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59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FFFFFF"/>
                            <w:spacing w:val="-11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告</w:t>
                        </w:r>
                      </w:p>
                    </w:tc>
                  </w:tr>
                  <w:tr>
                    <w:tblPrEx>
                      <w:tblW w:w="798" w:type="dxa"/>
                      <w:tblInd w:w="27" w:type="dxa"/>
                      <w:tblLayout w:type="fixed"/>
                    </w:tblPrEx>
                    <w:trPr>
                      <w:trHeight w:val="9533"/>
                    </w:trPr>
                    <w:tc>
                      <w:tcPr>
                        <w:tcW w:w="798" w:type="dxa"/>
                        <w:tcBorders>
                          <w:top w:val="single" w:sz="6" w:space="0" w:color="D8D5EB"/>
                          <w:left w:val="single" w:sz="6" w:space="0" w:color="D8D5EB"/>
                          <w:bottom w:val="nil"/>
                          <w:right w:val="single" w:sz="6" w:space="0" w:color="D8D5EB"/>
                        </w:tcBorders>
                        <w:shd w:val="clear" w:color="auto" w:fill="E1E0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44.2pt;height:14.7pt;margin-top:316.86pt;margin-left:53.88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3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color w:val="CE1300"/>
                      <w:sz w:val="21"/>
                      <w:szCs w:val="21"/>
                      <w14:textOutline w14:w="3831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相关报告</w:t>
                  </w:r>
                </w:p>
              </w:txbxContent>
            </v:textbox>
          </v:shape>
        </w:pict>
      </w:r>
      <w:r>
        <w:pict>
          <v:shape id="_x0000_s1033" type="#_x0000_t202" style="width:137.05pt;height:81.45pt;margin-top:348.8pt;margin-left:48.56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31" w:lineRule="auto"/>
                    <w:ind w:left="20" w:right="20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《现制茶饮公司系列报告（一）蜜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雪冰城：市占率第一的平价赛道茶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饮品牌》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20240108</w:t>
                  </w:r>
                </w:p>
                <w:p>
                  <w:pPr>
                    <w:pStyle w:val="BodyText"/>
                    <w:spacing w:before="264" w:line="230" w:lineRule="auto"/>
                    <w:ind w:left="22" w:right="20" w:hanging="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《海外社服</w:t>
                  </w:r>
                  <w:r>
                    <w:rPr>
                      <w:spacing w:val="-2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 xml:space="preserve">2024 </w:t>
                  </w:r>
                  <w:r>
                    <w:rPr>
                      <w:spacing w:val="-6"/>
                      <w:sz w:val="18"/>
                      <w:szCs w:val="18"/>
                    </w:rPr>
                    <w:t>年度策略报告：结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构性分化下，看好细分领域龙头》</w:t>
                  </w:r>
                  <w:r>
                    <w:rPr>
                      <w:spacing w:val="1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20231211</w:t>
                  </w:r>
                </w:p>
              </w:txbxContent>
            </v:textbox>
          </v:shape>
        </w:pict>
      </w:r>
      <w:r>
        <w:pict>
          <v:shape id="_x0000_s1034" type="#_x0000_t202" style="width:91.75pt;height:88.85pt;margin-top:460.66pt;margin-left:54.16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ind w:left="27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海外社服研究</w:t>
                  </w:r>
                </w:p>
                <w:p>
                  <w:pPr>
                    <w:pStyle w:val="BodyText"/>
                    <w:spacing w:before="92" w:line="305" w:lineRule="exact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11"/>
                      <w:position w:val="9"/>
                      <w:sz w:val="18"/>
                      <w:szCs w:val="18"/>
                    </w:rPr>
                    <w:t>分析师：</w:t>
                  </w:r>
                </w:p>
                <w:p>
                  <w:pPr>
                    <w:pStyle w:val="BodyText"/>
                    <w:spacing w:line="222" w:lineRule="auto"/>
                    <w:ind w:left="27"/>
                    <w:rPr>
                      <w:sz w:val="18"/>
                      <w:szCs w:val="18"/>
                    </w:rPr>
                  </w:pPr>
                  <w:r>
                    <w:rPr>
                      <w:spacing w:val="-4"/>
                      <w:sz w:val="18"/>
                      <w:szCs w:val="18"/>
                    </w:rPr>
                    <w:t>宋健</w:t>
                  </w:r>
                </w:p>
                <w:p>
                  <w:pPr>
                    <w:pStyle w:val="BodyText"/>
                    <w:spacing w:before="117" w:line="265" w:lineRule="auto"/>
                    <w:ind w:left="24" w:right="126" w:hanging="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songjian@xyzq.com.cn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SFC</w:t>
                  </w:r>
                  <w:r>
                    <w:rPr>
                      <w:spacing w:val="-1"/>
                      <w:sz w:val="18"/>
                      <w:szCs w:val="18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BMV912</w:t>
                  </w:r>
                </w:p>
                <w:p>
                  <w:pPr>
                    <w:pStyle w:val="BodyText"/>
                    <w:spacing w:before="126" w:line="183" w:lineRule="auto"/>
                    <w:ind w:left="2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SAC</w:t>
                  </w:r>
                  <w:r>
                    <w:rPr>
                      <w:spacing w:val="-1"/>
                      <w:sz w:val="18"/>
                      <w:szCs w:val="18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S0190518010002</w:t>
                  </w:r>
                </w:p>
              </w:txbxContent>
            </v:textbox>
          </v:shape>
        </w:pict>
      </w:r>
      <w:r>
        <w:pict>
          <v:shape id="_x0000_s1035" type="#_x0000_t202" style="width:124.1pt;height:91.25pt;margin-top:565.18pt;margin-left:53.89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严宁馨</w:t>
                  </w:r>
                </w:p>
                <w:p>
                  <w:pPr>
                    <w:spacing w:before="113" w:line="301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1"/>
                      <w:sz w:val="18"/>
                      <w:szCs w:val="18"/>
                    </w:rPr>
                    <w:t>yanningxin@xyzq.com.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1"/>
                      <w:sz w:val="18"/>
                      <w:szCs w:val="18"/>
                    </w:rPr>
                    <w:t>cn</w:t>
                  </w:r>
                </w:p>
                <w:p>
                  <w:pPr>
                    <w:pStyle w:val="BodyText"/>
                    <w:spacing w:line="183" w:lineRule="auto"/>
                    <w:ind w:left="3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SAC</w:t>
                  </w:r>
                  <w:r>
                    <w:rPr>
                      <w:spacing w:val="-1"/>
                      <w:sz w:val="18"/>
                      <w:szCs w:val="18"/>
                    </w:rPr>
                    <w:t>：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S0190521010001</w:t>
                  </w:r>
                </w:p>
                <w:p>
                  <w:pPr>
                    <w:pStyle w:val="BodyText"/>
                    <w:spacing w:before="58" w:line="236" w:lineRule="auto"/>
                    <w:ind w:left="22" w:right="20" w:hanging="1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pacing w:val="-6"/>
                      <w:sz w:val="18"/>
                      <w:szCs w:val="18"/>
                    </w:rPr>
                    <w:t>请注意：严宁馨并非香港证券及</w:t>
                  </w:r>
                  <w:r>
                    <w:rPr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7"/>
                      <w:sz w:val="18"/>
                      <w:szCs w:val="18"/>
                    </w:rPr>
                    <w:t>期货事务监察委员会的注册持</w:t>
                  </w:r>
                  <w:r>
                    <w:rPr>
                      <w:spacing w:val="7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6"/>
                      <w:sz w:val="18"/>
                      <w:szCs w:val="18"/>
                    </w:rPr>
                    <w:t>牌人，不可在香港从事受监管的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活动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629412</wp:posOffset>
            </wp:positionH>
            <wp:positionV relativeFrom="page">
              <wp:posOffset>1530350</wp:posOffset>
            </wp:positionV>
            <wp:extent cx="1705991" cy="1828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5991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581" w:lineRule="exact"/>
        <w:ind w:firstLine="8452"/>
      </w:pPr>
      <w:r>
        <w:rPr>
          <w:position w:val="-11"/>
        </w:rPr>
        <w:drawing>
          <wp:inline distT="0" distB="0" distL="0" distR="0">
            <wp:extent cx="1496555" cy="36910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6555" cy="3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7" w:line="29" w:lineRule="exact"/>
        <w:ind w:firstLine="4008"/>
      </w:pPr>
      <w:r>
        <w:pict>
          <v:shape id="_x0000_i1036" style="width:353.25pt;height:1.45pt;mso-position-horizontal-relative:char;mso-position-vertical-relative:line" coordorigin="0,0" coordsize="7065,29" path="m,28l7064,28l7064,l,l,28xe" filled="t" fillcolor="#336" stroked="f">
            <w10:wrap type="none"/>
          </v:shape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62" w:line="247" w:lineRule="auto"/>
        <w:ind w:left="4262" w:right="58" w:hanging="405"/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  </w:t>
      </w: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公司概况：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2010 </w:t>
      </w:r>
      <w:r>
        <w:rPr>
          <w:spacing w:val="2"/>
        </w:rPr>
        <w:t>年，</w:t>
      </w:r>
      <w:r>
        <w:rPr>
          <w:spacing w:val="-16"/>
        </w:rPr>
        <w:t xml:space="preserve"> </w:t>
      </w:r>
      <w:r>
        <w:rPr>
          <w:spacing w:val="2"/>
        </w:rPr>
        <w:t>古茗的创始人王云安先</w:t>
      </w:r>
      <w:r>
        <w:rPr>
          <w:spacing w:val="1"/>
        </w:rPr>
        <w:t>生在浙江开办首家门店，</w:t>
      </w:r>
      <w:r>
        <w:rPr>
          <w:spacing w:val="-17"/>
        </w:rPr>
        <w:t xml:space="preserve"> </w:t>
      </w:r>
      <w:r>
        <w:rPr>
          <w:spacing w:val="1"/>
        </w:rPr>
        <w:t>主要定位</w:t>
      </w:r>
      <w:r>
        <w:t xml:space="preserve"> </w:t>
      </w:r>
      <w:r>
        <w:rPr>
          <w:spacing w:val="5"/>
        </w:rPr>
        <w:t>大众现制茶饮赛道，</w:t>
      </w:r>
      <w:r>
        <w:rPr>
          <w:spacing w:val="92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10-20  </w:t>
      </w:r>
      <w:r>
        <w:rPr>
          <w:spacing w:val="5"/>
        </w:rPr>
        <w:t>元中端价格带。此后公司逐步将门店开拓至其他省</w:t>
      </w:r>
      <w:r>
        <w:t xml:space="preserve"> </w:t>
      </w:r>
      <w:r>
        <w:rPr>
          <w:spacing w:val="7"/>
        </w:rPr>
        <w:t>份，福建、江西、广东、湖北、江苏、湖南、安徽等地相继达到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500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7"/>
        </w:rPr>
        <w:t>家规模。</w:t>
      </w:r>
      <w:r>
        <w:t xml:space="preserve"> </w:t>
      </w:r>
      <w:r>
        <w:t>截至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2023 </w:t>
      </w:r>
      <w:r>
        <w:t>年，</w:t>
      </w:r>
      <w:r>
        <w:rPr>
          <w:spacing w:val="-48"/>
        </w:rPr>
        <w:t xml:space="preserve"> </w:t>
      </w:r>
      <w:r>
        <w:t>公司的总门店数量达到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9000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t>家，</w:t>
      </w:r>
      <w:r>
        <w:rPr>
          <w:spacing w:val="-52"/>
        </w:rPr>
        <w:t xml:space="preserve"> </w:t>
      </w:r>
      <w:r>
        <w:t>全年销售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12 </w:t>
      </w:r>
      <w:r>
        <w:t>亿杯，</w:t>
      </w:r>
      <w:r>
        <w:rPr>
          <w:spacing w:val="-18"/>
        </w:rPr>
        <w:t xml:space="preserve"> </w:t>
      </w:r>
      <w:r>
        <w:t>在中端现制</w:t>
      </w:r>
      <w:r>
        <w:t xml:space="preserve"> </w:t>
      </w:r>
      <w:r>
        <w:rPr>
          <w:spacing w:val="8"/>
        </w:rPr>
        <w:t>茶饮市场中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</w:rPr>
        <w:t>GMV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8"/>
        </w:rPr>
        <w:t>市占率第一。</w:t>
      </w:r>
    </w:p>
    <w:p>
      <w:pPr>
        <w:pStyle w:val="BodyText"/>
        <w:spacing w:before="24" w:line="249" w:lineRule="auto"/>
        <w:ind w:left="4264" w:right="60" w:hanging="407"/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现制茶饮市场中，</w:t>
      </w:r>
      <w:r>
        <w:rPr>
          <w:spacing w:val="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中价茶饮饮品市场规模增长最快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spacing w:val="3"/>
        </w:rPr>
        <w:t xml:space="preserve">2023 </w:t>
      </w:r>
      <w:r>
        <w:rPr>
          <w:spacing w:val="3"/>
        </w:rPr>
        <w:t>年，</w:t>
      </w:r>
      <w:r>
        <w:rPr>
          <w:spacing w:val="-32"/>
        </w:rPr>
        <w:t xml:space="preserve"> </w:t>
      </w:r>
      <w:r>
        <w:rPr>
          <w:spacing w:val="3"/>
        </w:rPr>
        <w:t>预计现制茶饮市</w:t>
      </w:r>
      <w:r>
        <w:t xml:space="preserve"> </w:t>
      </w:r>
      <w:r>
        <w:rPr>
          <w:spacing w:val="2"/>
        </w:rPr>
        <w:t>场的规模达到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2588 </w:t>
      </w:r>
      <w:r>
        <w:rPr>
          <w:spacing w:val="2"/>
        </w:rPr>
        <w:t>亿元人民币，</w:t>
      </w:r>
      <w:r>
        <w:rPr>
          <w:spacing w:val="2"/>
        </w:rPr>
        <w:t xml:space="preserve"> </w:t>
      </w:r>
      <w:r>
        <w:rPr>
          <w:spacing w:val="2"/>
        </w:rPr>
        <w:t>预计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2022-2028 </w:t>
      </w:r>
      <w:r>
        <w:rPr>
          <w:spacing w:val="2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2"/>
        </w:rPr>
        <w:t>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18.3%</w:t>
      </w:r>
      <w:r>
        <w:rPr>
          <w:spacing w:val="2"/>
        </w:rPr>
        <w:t>。其中中价</w:t>
      </w:r>
      <w:r>
        <w:t xml:space="preserve"> </w:t>
      </w:r>
      <w:r>
        <w:rPr>
          <w:spacing w:val="5"/>
        </w:rPr>
        <w:t>现制茶饮的规模占比较高，</w:t>
      </w:r>
      <w:r>
        <w:rPr>
          <w:spacing w:val="-43"/>
        </w:rPr>
        <w:t xml:space="preserve"> </w:t>
      </w:r>
      <w:r>
        <w:rPr>
          <w:spacing w:val="5"/>
        </w:rPr>
        <w:t>增速最快，预计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2023 </w:t>
      </w:r>
      <w:r>
        <w:rPr>
          <w:spacing w:val="5"/>
        </w:rPr>
        <w:t>年中价现制茶饮市场规模达到</w:t>
      </w:r>
      <w: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1093 </w:t>
      </w:r>
      <w:r>
        <w:rPr>
          <w:spacing w:val="4"/>
        </w:rPr>
        <w:t>亿元，</w:t>
      </w:r>
      <w:r>
        <w:rPr>
          <w:spacing w:val="-29"/>
        </w:rPr>
        <w:t xml:space="preserve"> </w:t>
      </w:r>
      <w:r>
        <w:rPr>
          <w:spacing w:val="4"/>
        </w:rPr>
        <w:t>预计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2022-2027 </w:t>
      </w:r>
      <w:r>
        <w:rPr>
          <w:spacing w:val="3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3"/>
        </w:rPr>
        <w:t>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23.1%</w:t>
      </w:r>
      <w:r>
        <w:rPr>
          <w:spacing w:val="3"/>
        </w:rPr>
        <w:t>。</w:t>
      </w:r>
      <w:r>
        <w:rPr>
          <w:rFonts w:ascii="Times New Roman" w:eastAsia="Times New Roman" w:hAnsi="Times New Roman" w:cs="Times New Roman"/>
          <w:spacing w:val="3"/>
        </w:rPr>
        <w:t xml:space="preserve">2022 </w:t>
      </w:r>
      <w:r>
        <w:rPr>
          <w:spacing w:val="3"/>
        </w:rPr>
        <w:t>年中价茶饮市场在整个现</w:t>
      </w:r>
      <w:r>
        <w:t xml:space="preserve"> </w:t>
      </w:r>
      <w:r>
        <w:rPr>
          <w:spacing w:val="7"/>
        </w:rPr>
        <w:t>制茶饮市场中占比为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20.5%</w:t>
      </w:r>
      <w:r>
        <w:rPr>
          <w:spacing w:val="7"/>
        </w:rPr>
        <w:t>，预计到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2027 </w:t>
      </w:r>
      <w:r>
        <w:rPr>
          <w:spacing w:val="7"/>
        </w:rPr>
        <w:t>年将提升至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23.7%</w:t>
      </w:r>
      <w:r>
        <w:rPr>
          <w:spacing w:val="7"/>
        </w:rPr>
        <w:t>。在中价现制茶饮</w:t>
      </w:r>
      <w:r>
        <w:t xml:space="preserve"> </w:t>
      </w:r>
      <w:r>
        <w:rPr>
          <w:spacing w:val="5"/>
        </w:rPr>
        <w:t>市场中，低线城市渗透率增长，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2022 </w:t>
      </w:r>
      <w:r>
        <w:rPr>
          <w:spacing w:val="5"/>
        </w:rPr>
        <w:t>年二线及以下的市场份额为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60.1%</w:t>
      </w:r>
      <w:r>
        <w:rPr>
          <w:spacing w:val="5"/>
        </w:rPr>
        <w:t>，预计</w:t>
      </w:r>
      <w:r>
        <w:t xml:space="preserve"> </w:t>
      </w:r>
      <w:r>
        <w:rPr>
          <w:spacing w:val="4"/>
        </w:rPr>
        <w:t>到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2027 </w:t>
      </w:r>
      <w:r>
        <w:rPr>
          <w:spacing w:val="4"/>
        </w:rPr>
        <w:t>年为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65.4%</w:t>
      </w:r>
      <w:r>
        <w:rPr>
          <w:spacing w:val="4"/>
        </w:rPr>
        <w:t>。</w:t>
      </w:r>
    </w:p>
    <w:p>
      <w:pPr>
        <w:pStyle w:val="BodyText"/>
        <w:spacing w:before="24" w:line="246" w:lineRule="auto"/>
        <w:ind w:left="4262" w:right="1" w:hanging="405"/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4"/>
        </w:rPr>
        <w:t xml:space="preserve">  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中价现制茶饮赛道中，公司市场份额第一：</w:t>
      </w:r>
      <w:r>
        <w:rPr>
          <w:spacing w:val="9"/>
        </w:rPr>
        <w:t>从中价现制茶饮市场的份额划分来</w:t>
      </w:r>
      <w:r>
        <w:t xml:space="preserve"> </w:t>
      </w:r>
      <w:r>
        <w:rPr>
          <w:spacing w:val="-1"/>
        </w:rPr>
        <w:t>看，</w:t>
      </w:r>
      <w:r>
        <w:rPr>
          <w:spacing w:val="-21"/>
        </w:rPr>
        <w:t xml:space="preserve"> </w:t>
      </w:r>
      <w:r>
        <w:rPr>
          <w:spacing w:val="-1"/>
        </w:rPr>
        <w:t>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GMV</w:t>
      </w:r>
      <w:r>
        <w:rPr>
          <w:rFonts w:ascii="Times New Roman" w:eastAsia="Times New Roman" w:hAnsi="Times New Roman" w:cs="Times New Roman"/>
          <w:spacing w:val="38"/>
          <w:w w:val="102"/>
        </w:rPr>
        <w:t xml:space="preserve"> </w:t>
      </w:r>
      <w:r>
        <w:rPr>
          <w:spacing w:val="-1"/>
        </w:rPr>
        <w:t>口径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TOP3 </w:t>
      </w:r>
      <w:r>
        <w:rPr>
          <w:spacing w:val="-1"/>
        </w:rPr>
        <w:t>是古茗、茶百道和沪上阿姨，</w:t>
      </w:r>
      <w:r>
        <w:rPr>
          <w:spacing w:val="-20"/>
        </w:rPr>
        <w:t xml:space="preserve"> </w:t>
      </w:r>
      <w:r>
        <w:rPr>
          <w:spacing w:val="-1"/>
        </w:rPr>
        <w:t>分别占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16%</w:t>
      </w:r>
      <w:r>
        <w:rPr>
          <w:spacing w:val="-1"/>
        </w:rPr>
        <w:t>、</w:t>
      </w:r>
      <w:r>
        <w:rPr>
          <w:rFonts w:ascii="Times New Roman" w:eastAsia="Times New Roman" w:hAnsi="Times New Roman" w:cs="Times New Roman"/>
          <w:spacing w:val="-1"/>
        </w:rPr>
        <w:t>15%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1"/>
        </w:rPr>
        <w:t>、</w:t>
      </w:r>
      <w:r>
        <w:rPr>
          <w:rFonts w:ascii="Times New Roman" w:eastAsia="Times New Roman" w:hAnsi="Times New Roman" w:cs="Times New Roman"/>
          <w:spacing w:val="-1"/>
        </w:rPr>
        <w:t>8%</w:t>
      </w:r>
      <w:r>
        <w:rPr>
          <w:spacing w:val="-1"/>
        </w:rPr>
        <w:t>。</w:t>
      </w:r>
      <w:r>
        <w:t xml:space="preserve"> </w:t>
      </w:r>
      <w:r>
        <w:rPr>
          <w:spacing w:val="8"/>
        </w:rPr>
        <w:t>从门店数量来看，茶饮市场头部品牌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TOP</w:t>
      </w:r>
      <w:r>
        <w:rPr>
          <w:rFonts w:ascii="Times New Roman" w:eastAsia="Times New Roman" w:hAnsi="Times New Roman" w:cs="Times New Roman"/>
          <w:spacing w:val="8"/>
        </w:rPr>
        <w:t>3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8"/>
        </w:rPr>
        <w:t>分别是蜜雪冰城、古茗、茶百道，</w:t>
      </w:r>
      <w:r>
        <w:t xml:space="preserve">  </w:t>
      </w:r>
      <w:r>
        <w:rPr>
          <w:spacing w:val="9"/>
        </w:rPr>
        <w:t>中价现制茶饮市场中，古茗排名第一。从各主要品牌的城市分布结构来看，古</w:t>
      </w:r>
      <w:r>
        <w:rPr>
          <w:spacing w:val="9"/>
        </w:rPr>
        <w:t xml:space="preserve"> </w:t>
      </w:r>
      <w:r>
        <w:t>茗在二线及以下城市的渗透率较高，</w:t>
      </w:r>
      <w:r>
        <w:rPr>
          <w:spacing w:val="91"/>
        </w:rPr>
        <w:t xml:space="preserve"> </w:t>
      </w:r>
      <w:r>
        <w:t>占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78.</w:t>
      </w:r>
      <w:r>
        <w:rPr>
          <w:rFonts w:ascii="Times New Roman" w:eastAsia="Times New Roman" w:hAnsi="Times New Roman" w:cs="Times New Roman"/>
          <w:spacing w:val="-1"/>
        </w:rPr>
        <w:t>6%</w:t>
      </w:r>
      <w:r>
        <w:rPr>
          <w:spacing w:val="-1"/>
        </w:rPr>
        <w:t>。</w:t>
      </w:r>
    </w:p>
    <w:p>
      <w:pPr>
        <w:pStyle w:val="BodyText"/>
        <w:spacing w:before="25" w:line="250" w:lineRule="auto"/>
        <w:ind w:left="4261" w:hanging="404"/>
        <w:sectPr>
          <w:pgSz w:w="11907" w:h="16839"/>
          <w:pgMar w:top="0" w:right="778" w:bottom="0" w:left="0" w:header="0" w:footer="0" w:gutter="0"/>
          <w:cols w:space="708"/>
        </w:sectPr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重视产品研发；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门店高速增长</w:t>
      </w:r>
      <w:r>
        <w:rPr>
          <w:spacing w:val="-2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29"/>
        </w:rPr>
        <w:t>（</w:t>
      </w:r>
      <w:r>
        <w:rPr>
          <w:rFonts w:ascii="Times New Roman" w:eastAsia="Times New Roman" w:hAnsi="Times New Roman" w:cs="Times New Roman"/>
          <w:spacing w:val="7"/>
        </w:rPr>
        <w:t>1</w:t>
      </w:r>
      <w:r>
        <w:rPr>
          <w:spacing w:val="7"/>
        </w:rPr>
        <w:t>）门店数量增长和单店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</w:rPr>
        <w:t>GMV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增长双向带动</w:t>
      </w:r>
      <w:r>
        <w:t xml:space="preserve"> </w:t>
      </w:r>
      <w:r>
        <w:rPr>
          <w:spacing w:val="3"/>
        </w:rPr>
        <w:t>总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GMV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3"/>
        </w:rPr>
        <w:t>增长。</w:t>
      </w:r>
      <w:r>
        <w:rPr>
          <w:rFonts w:ascii="Times New Roman" w:eastAsia="Times New Roman" w:hAnsi="Times New Roman" w:cs="Times New Roman"/>
          <w:spacing w:val="3"/>
        </w:rPr>
        <w:t>2023</w:t>
      </w:r>
      <w:r>
        <w:rPr>
          <w:rFonts w:ascii="Times New Roman" w:eastAsia="Times New Roman" w:hAnsi="Times New Roman" w:cs="Times New Roman"/>
          <w:spacing w:val="37"/>
        </w:rPr>
        <w:t xml:space="preserve"> </w:t>
      </w:r>
      <w:r>
        <w:rPr>
          <w:spacing w:val="3"/>
        </w:rPr>
        <w:t>年公司实现总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</w:rPr>
        <w:t>GMV</w:t>
      </w:r>
      <w:r>
        <w:rPr>
          <w:rFonts w:ascii="Times New Roman" w:eastAsia="Times New Roman" w:hAnsi="Times New Roman" w:cs="Times New Roman"/>
          <w:spacing w:val="3"/>
        </w:rPr>
        <w:t>192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3"/>
        </w:rPr>
        <w:t>亿元，</w:t>
      </w:r>
      <w:r>
        <w:rPr>
          <w:spacing w:val="40"/>
        </w:rPr>
        <w:t xml:space="preserve"> </w:t>
      </w:r>
      <w:r>
        <w:rPr>
          <w:spacing w:val="3"/>
        </w:rPr>
        <w:t>同比增长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37.1%</w:t>
      </w:r>
      <w:r>
        <w:rPr>
          <w:spacing w:val="3"/>
        </w:rPr>
        <w:t>；</w:t>
      </w:r>
      <w:r>
        <w:rPr>
          <w:spacing w:val="2"/>
        </w:rPr>
        <w:t>单店年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>GMV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1"/>
        </w:rPr>
        <w:t>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250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-1"/>
        </w:rPr>
        <w:t>万元（披露值</w:t>
      </w:r>
      <w:r>
        <w:rPr>
          <w:spacing w:val="-32"/>
        </w:rPr>
        <w:t>），</w:t>
      </w:r>
      <w:r>
        <w:rPr>
          <w:spacing w:val="-6"/>
        </w:rPr>
        <w:t xml:space="preserve"> </w:t>
      </w:r>
      <w:r>
        <w:rPr>
          <w:spacing w:val="-1"/>
        </w:rPr>
        <w:t>同比增长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8.7%</w:t>
      </w:r>
      <w:r>
        <w:rPr>
          <w:spacing w:val="-1"/>
        </w:rPr>
        <w:t>。（</w:t>
      </w:r>
      <w:r>
        <w:rPr>
          <w:rFonts w:ascii="Times New Roman" w:eastAsia="Times New Roman" w:hAnsi="Times New Roman" w:cs="Times New Roman"/>
          <w:spacing w:val="-1"/>
        </w:rPr>
        <w:t>2</w:t>
      </w:r>
      <w:r>
        <w:rPr>
          <w:spacing w:val="-1"/>
        </w:rPr>
        <w:t>）从销量来看，</w:t>
      </w:r>
      <w:r>
        <w:rPr>
          <w:spacing w:val="28"/>
        </w:rPr>
        <w:t xml:space="preserve"> </w:t>
      </w:r>
      <w:r>
        <w:rPr>
          <w:spacing w:val="-1"/>
        </w:rPr>
        <w:t>公司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2023 </w:t>
      </w:r>
      <w:r>
        <w:rPr>
          <w:spacing w:val="-1"/>
        </w:rPr>
        <w:t>年</w:t>
      </w:r>
      <w:r>
        <w:t xml:space="preserve"> </w:t>
      </w:r>
      <w:r>
        <w:rPr>
          <w:spacing w:val="5"/>
        </w:rPr>
        <w:t>的总杯销量为</w:t>
      </w:r>
      <w:r>
        <w:rPr>
          <w:spacing w:val="-1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12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</w:t>
      </w:r>
      <w:r>
        <w:rPr>
          <w:spacing w:val="5"/>
        </w:rPr>
        <w:t>亿杯，同比增长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41%</w:t>
      </w:r>
      <w:r>
        <w:rPr>
          <w:spacing w:val="5"/>
        </w:rPr>
        <w:t>；计算平均单店年杯销量为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13.3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5"/>
        </w:rPr>
        <w:t>万杯，</w:t>
      </w:r>
      <w:r>
        <w:t xml:space="preserve">  </w:t>
      </w:r>
      <w:r>
        <w:rPr>
          <w:spacing w:val="7"/>
        </w:rPr>
        <w:t>同比增长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4.6%</w:t>
      </w:r>
      <w:r>
        <w:rPr>
          <w:spacing w:val="7"/>
        </w:rPr>
        <w:t>；计算平均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ASP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7"/>
        </w:rPr>
        <w:t>为</w:t>
      </w:r>
      <w:r>
        <w:rPr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16</w:t>
      </w:r>
      <w:r>
        <w:rPr>
          <w:rFonts w:ascii="Times New Roman" w:eastAsia="Times New Roman" w:hAnsi="Times New Roman" w:cs="Times New Roman"/>
          <w:spacing w:val="33"/>
          <w:w w:val="101"/>
        </w:rPr>
        <w:t xml:space="preserve"> </w:t>
      </w:r>
      <w:r>
        <w:rPr>
          <w:spacing w:val="7"/>
        </w:rPr>
        <w:t>元。（</w:t>
      </w:r>
      <w:r>
        <w:rPr>
          <w:rFonts w:ascii="Times New Roman" w:eastAsia="Times New Roman" w:hAnsi="Times New Roman" w:cs="Times New Roman"/>
          <w:spacing w:val="7"/>
        </w:rPr>
        <w:t>3</w:t>
      </w:r>
      <w:r>
        <w:rPr>
          <w:spacing w:val="7"/>
        </w:rPr>
        <w:t>）截至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2023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7"/>
        </w:rPr>
        <w:t>年的总门店</w:t>
      </w:r>
      <w:r>
        <w:rPr>
          <w:spacing w:val="6"/>
        </w:rPr>
        <w:t>数达到</w:t>
      </w:r>
      <w:r>
        <w:t xml:space="preserve"> </w:t>
      </w:r>
      <w:r>
        <w:rPr>
          <w:rFonts w:ascii="Times New Roman" w:eastAsia="Times New Roman" w:hAnsi="Times New Roman" w:cs="Times New Roman"/>
          <w:spacing w:val="3"/>
        </w:rPr>
        <w:t>9000</w:t>
      </w:r>
      <w:r>
        <w:rPr>
          <w:rFonts w:ascii="Times New Roman" w:eastAsia="Times New Roman" w:hAnsi="Times New Roman" w:cs="Times New Roman"/>
          <w:spacing w:val="42"/>
        </w:rPr>
        <w:t xml:space="preserve"> </w:t>
      </w:r>
      <w:r>
        <w:rPr>
          <w:spacing w:val="3"/>
        </w:rPr>
        <w:t>家，</w:t>
      </w:r>
      <w:r>
        <w:rPr>
          <w:spacing w:val="3"/>
        </w:rPr>
        <w:t xml:space="preserve"> </w:t>
      </w:r>
      <w:r>
        <w:rPr>
          <w:spacing w:val="3"/>
        </w:rPr>
        <w:t>同比增长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34.9%</w:t>
      </w:r>
      <w:r>
        <w:rPr>
          <w:spacing w:val="3"/>
        </w:rPr>
        <w:t>，其中浙江、福建江西、其他五个达到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500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3"/>
        </w:rPr>
        <w:t>家规模的</w:t>
      </w:r>
      <w:r>
        <w:rPr>
          <w:spacing w:val="3"/>
        </w:rPr>
        <w:t xml:space="preserve"> </w:t>
      </w:r>
      <w:r>
        <w:rPr>
          <w:spacing w:val="6"/>
        </w:rPr>
        <w:t>省份门店占到八成，门店数量分别为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2054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1914</w:t>
      </w:r>
      <w:r>
        <w:rPr>
          <w:spacing w:val="6"/>
        </w:rPr>
        <w:t>、</w:t>
      </w:r>
      <w:r>
        <w:rPr>
          <w:rFonts w:ascii="Times New Roman" w:eastAsia="Times New Roman" w:hAnsi="Times New Roman" w:cs="Times New Roman"/>
          <w:spacing w:val="6"/>
        </w:rPr>
        <w:t>3317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6"/>
        </w:rPr>
        <w:t>家，同比增长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10.0%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6"/>
        </w:rPr>
        <w:t>、</w:t>
      </w:r>
      <w:r>
        <w:t xml:space="preserve"> </w:t>
      </w:r>
      <w:r>
        <w:rPr>
          <w:rFonts w:ascii="Times New Roman" w:eastAsia="Times New Roman" w:hAnsi="Times New Roman" w:cs="Times New Roman"/>
        </w:rPr>
        <w:t>16.6%</w:t>
      </w:r>
      <w:r>
        <w:rPr>
          <w:rFonts w:ascii="Times New Roman" w:eastAsia="Times New Roman" w:hAnsi="Times New Roman" w:cs="Times New Roman"/>
          <w:spacing w:val="-21"/>
        </w:rPr>
        <w:t xml:space="preserve"> </w:t>
      </w:r>
      <w:r>
        <w:t>、</w:t>
      </w:r>
      <w:r>
        <w:rPr>
          <w:rFonts w:ascii="Times New Roman" w:eastAsia="Times New Roman" w:hAnsi="Times New Roman" w:cs="Times New Roman"/>
        </w:rPr>
        <w:t>41.2%</w:t>
      </w:r>
      <w:r>
        <w:t>。（</w:t>
      </w:r>
      <w:r>
        <w:rPr>
          <w:rFonts w:ascii="Times New Roman" w:eastAsia="Times New Roman" w:hAnsi="Times New Roman" w:cs="Times New Roman"/>
        </w:rPr>
        <w:t>4</w:t>
      </w:r>
      <w:r>
        <w:t>）同店收入增长方面，</w:t>
      </w:r>
      <w:r>
        <w:t xml:space="preserve"> </w:t>
      </w:r>
      <w:r>
        <w:t>近三年均保持正增，</w:t>
      </w:r>
      <w:r>
        <w:rPr>
          <w:spacing w:val="56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2023  </w:t>
      </w:r>
      <w:r>
        <w:t>年整体、</w:t>
      </w:r>
      <w:r>
        <w:t xml:space="preserve">  </w:t>
      </w:r>
      <w:r>
        <w:rPr>
          <w:spacing w:val="3"/>
        </w:rPr>
        <w:t>浙江、福建江西、其他五个达到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500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3"/>
        </w:rPr>
        <w:t>家规模的</w:t>
      </w:r>
      <w:r>
        <w:rPr>
          <w:spacing w:val="2"/>
        </w:rPr>
        <w:t>省份同店收入分别同比增长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9.4%</w:t>
      </w:r>
      <w:r>
        <w:rPr>
          <w:spacing w:val="2"/>
        </w:rPr>
        <w:t>、</w:t>
      </w:r>
      <w:r>
        <w:t xml:space="preserve"> </w:t>
      </w:r>
      <w:r>
        <w:rPr>
          <w:rFonts w:ascii="Times New Roman" w:eastAsia="Times New Roman" w:hAnsi="Times New Roman" w:cs="Times New Roman"/>
          <w:spacing w:val="4"/>
        </w:rPr>
        <w:t>5.1%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  <w:spacing w:val="4"/>
        </w:rPr>
        <w:t>12.0%</w:t>
      </w:r>
      <w:r>
        <w:rPr>
          <w:spacing w:val="4"/>
        </w:rPr>
        <w:t>、</w:t>
      </w:r>
      <w:r>
        <w:rPr>
          <w:rFonts w:ascii="Times New Roman" w:eastAsia="Times New Roman" w:hAnsi="Times New Roman" w:cs="Times New Roman"/>
          <w:spacing w:val="4"/>
        </w:rPr>
        <w:t>11.6%</w:t>
      </w:r>
      <w:r>
        <w:rPr>
          <w:spacing w:val="4"/>
        </w:rPr>
        <w:t>。（</w:t>
      </w:r>
      <w:r>
        <w:rPr>
          <w:rFonts w:ascii="Times New Roman" w:eastAsia="Times New Roman" w:hAnsi="Times New Roman" w:cs="Times New Roman"/>
          <w:spacing w:val="4"/>
        </w:rPr>
        <w:t>5</w:t>
      </w:r>
      <w:r>
        <w:rPr>
          <w:spacing w:val="4"/>
        </w:rPr>
        <w:t>）公司积极研发新产品，</w:t>
      </w:r>
      <w:r>
        <w:rPr>
          <w:spacing w:val="4"/>
        </w:rPr>
        <w:t xml:space="preserve"> </w:t>
      </w:r>
      <w:r>
        <w:rPr>
          <w:spacing w:val="4"/>
        </w:rPr>
        <w:t>以保持产品组合的</w:t>
      </w:r>
      <w:r>
        <w:rPr>
          <w:spacing w:val="3"/>
        </w:rPr>
        <w:t>丰富性。</w:t>
      </w:r>
      <w: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2023 </w:t>
      </w:r>
      <w:r>
        <w:rPr>
          <w:spacing w:val="1"/>
        </w:rPr>
        <w:t>年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1-9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1"/>
        </w:rPr>
        <w:t>月，</w:t>
      </w:r>
      <w:r>
        <w:rPr>
          <w:spacing w:val="-41"/>
        </w:rPr>
        <w:t xml:space="preserve"> </w:t>
      </w:r>
      <w:r>
        <w:rPr>
          <w:spacing w:val="1"/>
        </w:rPr>
        <w:t>期间上新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SKU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频次超过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100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1"/>
        </w:rPr>
        <w:t>次；</w:t>
      </w:r>
      <w:r>
        <w:rPr>
          <w:spacing w:val="-37"/>
        </w:rPr>
        <w:t xml:space="preserve"> </w:t>
      </w:r>
      <w:r>
        <w:rPr>
          <w:spacing w:val="1"/>
        </w:rPr>
        <w:t>截至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2023Q3 </w:t>
      </w:r>
      <w:r>
        <w:rPr>
          <w:spacing w:val="1"/>
        </w:rPr>
        <w:t>公司共有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111 </w:t>
      </w:r>
      <w:r>
        <w:t>名</w:t>
      </w:r>
      <w:r>
        <w:t xml:space="preserve"> </w:t>
      </w:r>
      <w:r>
        <w:rPr>
          <w:spacing w:val="6"/>
        </w:rPr>
        <w:t>研发人员，</w:t>
      </w:r>
      <w:r>
        <w:rPr>
          <w:rFonts w:ascii="Times New Roman" w:eastAsia="Times New Roman" w:hAnsi="Times New Roman" w:cs="Times New Roman"/>
          <w:spacing w:val="6"/>
        </w:rPr>
        <w:t xml:space="preserve">2023 </w:t>
      </w:r>
      <w:r>
        <w:rPr>
          <w:spacing w:val="6"/>
        </w:rPr>
        <w:t>年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1-9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6"/>
        </w:rPr>
        <w:t>月研发费用率为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2.3</w:t>
      </w:r>
      <w:r>
        <w:rPr>
          <w:rFonts w:ascii="Times New Roman" w:eastAsia="Times New Roman" w:hAnsi="Times New Roman" w:cs="Times New Roman"/>
          <w:spacing w:val="5"/>
        </w:rPr>
        <w:t>%</w:t>
      </w:r>
      <w:r>
        <w:rPr>
          <w:spacing w:val="5"/>
        </w:rPr>
        <w:t>，高于行业其他公司。</w:t>
      </w:r>
    </w:p>
    <w:p>
      <w:pPr>
        <w:pStyle w:val="BodyText"/>
        <w:spacing w:before="33" w:line="243" w:lineRule="auto"/>
        <w:ind w:left="4265" w:right="54" w:hanging="408"/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</w:rPr>
        <w:t xml:space="preserve">  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回本处于较快水平：</w:t>
      </w:r>
      <w:r>
        <w:rPr>
          <w:spacing w:val="5"/>
        </w:rPr>
        <w:t>我们测算了古茗的单店模型，</w:t>
      </w:r>
      <w:r>
        <w:rPr>
          <w:spacing w:val="5"/>
        </w:rPr>
        <w:t xml:space="preserve"> </w:t>
      </w:r>
      <w:r>
        <w:rPr>
          <w:spacing w:val="5"/>
        </w:rPr>
        <w:t>整体单店收入按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200-2</w:t>
      </w:r>
      <w:r>
        <w:rPr>
          <w:rFonts w:ascii="Times New Roman" w:eastAsia="Times New Roman" w:hAnsi="Times New Roman" w:cs="Times New Roman"/>
          <w:spacing w:val="4"/>
        </w:rPr>
        <w:t xml:space="preserve">50  </w:t>
      </w:r>
      <w:r>
        <w:rPr>
          <w:spacing w:val="4"/>
        </w:rPr>
        <w:t>万</w:t>
      </w:r>
      <w:r>
        <w:t xml:space="preserve"> </w:t>
      </w:r>
      <w:r>
        <w:rPr>
          <w:spacing w:val="2"/>
        </w:rPr>
        <w:t>元计算，</w:t>
      </w:r>
      <w:r>
        <w:rPr>
          <w:spacing w:val="67"/>
          <w:w w:val="101"/>
        </w:rPr>
        <w:t xml:space="preserve"> </w:t>
      </w:r>
      <w:r>
        <w:rPr>
          <w:spacing w:val="2"/>
        </w:rPr>
        <w:t>四线及以下城市店收亦可达到平均水平的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9 </w:t>
      </w:r>
      <w:r>
        <w:rPr>
          <w:spacing w:val="2"/>
        </w:rPr>
        <w:t>成，按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20%</w:t>
      </w:r>
      <w:r>
        <w:rPr>
          <w:rFonts w:ascii="Times New Roman" w:eastAsia="Times New Roman" w:hAnsi="Times New Roman" w:cs="Times New Roman"/>
        </w:rPr>
        <w:t>OPM</w:t>
      </w:r>
      <w:r>
        <w:rPr>
          <w:spacing w:val="2"/>
        </w:rPr>
        <w:t>，预计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1-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1.5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-1"/>
        </w:rPr>
        <w:t>年回本。</w:t>
      </w:r>
    </w:p>
    <w:p>
      <w:pPr>
        <w:pStyle w:val="BodyText"/>
        <w:spacing w:before="25" w:line="231" w:lineRule="auto"/>
        <w:ind w:left="4264" w:right="52" w:hanging="406"/>
        <w:rPr>
          <w:sz w:val="21"/>
          <w:szCs w:val="21"/>
        </w:rPr>
      </w:pPr>
      <w:r>
        <w:rPr>
          <w:position w:val="1"/>
        </w:rPr>
        <w:drawing>
          <wp:inline distT="0" distB="0" distL="0" distR="0">
            <wp:extent cx="77650" cy="7885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7"/>
        </w:rPr>
        <w:t xml:space="preserve">  </w:t>
      </w:r>
      <w:r>
        <w:rPr>
          <w:spacing w:val="-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估值：</w:t>
      </w:r>
      <w:r>
        <w:rPr>
          <w:spacing w:val="22"/>
        </w:rPr>
        <w:t xml:space="preserve"> </w:t>
      </w:r>
      <w:r>
        <w:rPr>
          <w:spacing w:val="-7"/>
          <w:sz w:val="21"/>
          <w:szCs w:val="21"/>
        </w:rPr>
        <w:t>按照截至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2024</w:t>
      </w:r>
      <w:r>
        <w:rPr>
          <w:rFonts w:ascii="Times New Roman" w:eastAsia="Times New Roman" w:hAnsi="Times New Roman" w:cs="Times New Roman"/>
          <w:spacing w:val="45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年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1  </w:t>
      </w:r>
      <w:r>
        <w:rPr>
          <w:spacing w:val="-7"/>
          <w:sz w:val="21"/>
          <w:szCs w:val="21"/>
        </w:rPr>
        <w:t>月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12   </w:t>
      </w:r>
      <w:r>
        <w:rPr>
          <w:spacing w:val="-7"/>
          <w:sz w:val="21"/>
          <w:szCs w:val="21"/>
        </w:rPr>
        <w:t>日收盘价来看，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10  </w:t>
      </w:r>
      <w:r>
        <w:rPr>
          <w:spacing w:val="-8"/>
          <w:sz w:val="21"/>
          <w:szCs w:val="21"/>
        </w:rPr>
        <w:t>个已上市样本公司的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2023/2024 </w:t>
      </w:r>
      <w:r>
        <w:rPr>
          <w:spacing w:val="-2"/>
          <w:sz w:val="21"/>
          <w:szCs w:val="21"/>
        </w:rPr>
        <w:t>年平均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PE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为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19/12 </w:t>
      </w:r>
      <w:r>
        <w:rPr>
          <w:spacing w:val="-2"/>
          <w:sz w:val="21"/>
          <w:szCs w:val="21"/>
        </w:rPr>
        <w:t>倍。按照公司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2023 </w:t>
      </w:r>
      <w:r>
        <w:rPr>
          <w:spacing w:val="-2"/>
          <w:sz w:val="21"/>
          <w:szCs w:val="21"/>
        </w:rPr>
        <w:t>年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月净利润预期全年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情况来看，</w:t>
      </w:r>
      <w:r>
        <w:rPr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100-500 </w:t>
      </w:r>
      <w:r>
        <w:rPr>
          <w:spacing w:val="-8"/>
          <w:sz w:val="21"/>
          <w:szCs w:val="21"/>
        </w:rPr>
        <w:t>亿估值下，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PE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为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8-37 </w:t>
      </w:r>
      <w:r>
        <w:rPr>
          <w:spacing w:val="-9"/>
          <w:sz w:val="21"/>
          <w:szCs w:val="21"/>
        </w:rPr>
        <w:t>倍。</w:t>
      </w:r>
    </w:p>
    <w:p>
      <w:pPr>
        <w:pStyle w:val="BodyText"/>
        <w:spacing w:before="31" w:line="239" w:lineRule="auto"/>
        <w:ind w:left="4268" w:right="62" w:hanging="411"/>
      </w:pPr>
      <w:r>
        <w:rPr>
          <w:position w:val="1"/>
        </w:rPr>
        <w:drawing>
          <wp:inline distT="0" distB="0" distL="0" distR="0">
            <wp:extent cx="73238" cy="7437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238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66"/>
        </w:rPr>
        <w:t xml:space="preserve"> </w:t>
      </w:r>
      <w:r>
        <w:rPr>
          <w:spacing w:val="5"/>
        </w:rPr>
        <w:t>扩张进展不及预期、加盟模式持续性风险、供应链中断风险、食品</w:t>
      </w:r>
      <w:r>
        <w:t xml:space="preserve"> </w:t>
      </w:r>
      <w:r>
        <w:rPr>
          <w:spacing w:val="9"/>
        </w:rPr>
        <w:t>安全问题、行业竞争加剧等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" w:line="29" w:lineRule="exact"/>
        <w:ind w:firstLine="854"/>
      </w:pPr>
      <w:r>
        <w:pict>
          <v:shape id="_x0000_i1037" style="width:508.1pt;height:1.45pt;mso-position-horizontal-relative:char;mso-position-vertical-relative:line" coordorigin="0,0" coordsize="10162,29" path="m,28l10161,28l10161,l,l,28xe" filled="t" fillcolor="#336" stroked="f">
            <w10:wrap type="none"/>
          </v:shape>
        </w:pict>
      </w:r>
    </w:p>
    <w:p>
      <w:pPr>
        <w:spacing w:before="46" w:line="220" w:lineRule="auto"/>
        <w:ind w:left="4223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333366"/>
          <w:sz w:val="18"/>
          <w:szCs w:val="18"/>
          <w14:textOutline w14:w="3265">
            <w14:solidFill>
              <w14:srgbClr w14:val="333366"/>
            </w14:solidFill>
            <w14:prstDash w14:val="solid"/>
            <w14:miter w14:lim="10"/>
          </w14:textOutline>
        </w:rPr>
        <w:t>请务必阅读正文之后的信息披露和重要声明</w:t>
      </w:r>
    </w:p>
    <w:p>
      <w:pPr>
        <w:spacing w:line="220" w:lineRule="auto"/>
        <w:rPr>
          <w:rFonts w:ascii="SimSun" w:eastAsia="SimSun" w:hAnsi="SimSun" w:cs="SimSun"/>
          <w:sz w:val="18"/>
          <w:szCs w:val="18"/>
        </w:rPr>
        <w:sectPr>
          <w:type w:val="nextPage"/>
          <w:pgSz w:w="11907" w:h="16839"/>
          <w:pgMar w:top="0" w:right="778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29" w:line="223" w:lineRule="auto"/>
        <w:ind w:left="2550"/>
        <w:rPr>
          <w:sz w:val="21"/>
          <w:szCs w:val="21"/>
        </w:rPr>
      </w:pPr>
      <w:r>
        <w:pict>
          <v:rect id="_x0000_s1038" style="width:246.7pt;height:0.5pt;margin-top:460.03pt;margin-left:48.24pt;mso-position-horizontal-relative:page;mso-position-vertical-relative:page;position:absolute;z-index:251676672" o:allowincell="f" filled="t" fillcolor="black" stroked="f"/>
        </w:pict>
      </w:r>
      <w:r>
        <w:pict>
          <v:rect id="_x0000_s1039" style="width:246.7pt;height:0.5pt;margin-top:607.42pt;margin-left:48.24pt;mso-position-horizontal-relative:page;mso-position-vertical-relative:page;position:absolute;z-index:251675648" o:allowincell="f" filled="t" fillcolor="black" stroked="f"/>
        </w:pict>
      </w:r>
      <w:r>
        <w:pict>
          <v:rect id="_x0000_s1040" style="width:246.7pt;height:0.5pt;margin-top:460.03pt;margin-left:309.07pt;mso-position-horizontal-relative:page;mso-position-vertical-relative:page;position:absolute;z-index:251673600" o:allowincell="f" filled="t" fillcolor="black" stroked="f"/>
        </w:pict>
      </w:r>
      <w:r>
        <w:pict>
          <v:rect id="_x0000_s1041" style="width:246.7pt;height:0.5pt;margin-top:607.42pt;margin-left:309.07pt;mso-position-horizontal-relative:page;mso-position-vertical-relative:page;position:absolute;z-index:251674624" o:allowincell="f" filled="t" fillcolor="black" stroked="f"/>
        </w:pict>
      </w:r>
      <w:r>
        <w:pict>
          <v:rect id="_x0000_s1042" style="width:388.95pt;height:0.5pt;margin-top:242.18pt;margin-left:174.38pt;mso-position-horizontal-relative:page;mso-position-vertical-relative:page;position:absolute;z-index:251672576" o:allowincell="f" filled="t" fillcolor="black" stroked="f"/>
        </w:pict>
      </w:r>
      <w:r>
        <w:pict>
          <v:rect id="_x0000_s1043" style="width:388.95pt;height:0.5pt;margin-top:340.85pt;margin-left:174.38pt;mso-position-horizontal-relative:page;mso-position-vertical-relative:page;position:absolute;z-index:251671552" o:allowincell="f" filled="t" fillcolor="black" stroked="f"/>
        </w:pict>
      </w:r>
      <w:r>
        <w:rPr>
          <w:color w:val="CE1300"/>
          <w:sz w:val="21"/>
          <w:szCs w:val="21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报告正文</w:t>
      </w:r>
    </w:p>
    <w:p>
      <w:pPr>
        <w:pStyle w:val="BodyText"/>
        <w:spacing w:before="143" w:line="218" w:lineRule="auto"/>
        <w:ind w:left="2566"/>
        <w:rPr>
          <w:sz w:val="21"/>
          <w:szCs w:val="21"/>
        </w:rPr>
      </w:pPr>
      <w:r>
        <w:rPr>
          <w:position w:val="1"/>
          <w:sz w:val="21"/>
          <w:szCs w:val="21"/>
        </w:rPr>
        <w:drawing>
          <wp:inline distT="0" distB="0" distL="0" distR="0">
            <wp:extent cx="77650" cy="7885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650" cy="7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4"/>
          <w:sz w:val="21"/>
          <w:szCs w:val="21"/>
        </w:rPr>
        <w:t xml:space="preserve">  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公司背景情况</w:t>
      </w:r>
    </w:p>
    <w:p>
      <w:pPr>
        <w:pStyle w:val="BodyText"/>
        <w:spacing w:before="211" w:line="283" w:lineRule="auto"/>
        <w:ind w:left="2557" w:right="418" w:hanging="4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2010 </w:t>
      </w:r>
      <w:r>
        <w:rPr>
          <w:spacing w:val="-6"/>
          <w:sz w:val="21"/>
          <w:szCs w:val="21"/>
        </w:rPr>
        <w:t>年，</w:t>
      </w:r>
      <w:r>
        <w:rPr>
          <w:spacing w:val="-20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古茗的创始人王云安先生在浙江开办首家门店，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主要定位大众现制茶饮</w:t>
      </w:r>
      <w:r>
        <w:rPr>
          <w:spacing w:val="-6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赛道，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10-20 </w:t>
      </w:r>
      <w:r>
        <w:rPr>
          <w:spacing w:val="-5"/>
          <w:sz w:val="21"/>
          <w:szCs w:val="21"/>
        </w:rPr>
        <w:t>元中端价格带。此后</w:t>
      </w:r>
      <w:r>
        <w:rPr>
          <w:spacing w:val="-6"/>
          <w:sz w:val="21"/>
          <w:szCs w:val="21"/>
        </w:rPr>
        <w:t>公司逐步将门店开拓至其他省份，</w:t>
      </w:r>
      <w:r>
        <w:rPr>
          <w:spacing w:val="-2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福建、江西、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广东、湖北、江苏、湖南、安徽等地相继达到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500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家规模。截至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2023 </w:t>
      </w:r>
      <w:r>
        <w:rPr>
          <w:spacing w:val="-6"/>
          <w:sz w:val="21"/>
          <w:szCs w:val="21"/>
        </w:rPr>
        <w:t>年，</w:t>
      </w:r>
      <w:r>
        <w:rPr>
          <w:spacing w:val="-4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公司的</w:t>
      </w:r>
      <w:r>
        <w:rPr>
          <w:spacing w:val="-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总门店数量达到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9000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家，</w:t>
      </w:r>
      <w:r>
        <w:rPr>
          <w:spacing w:val="-37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全年销售</w:t>
      </w:r>
      <w:r>
        <w:rPr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12 </w:t>
      </w:r>
      <w:r>
        <w:rPr>
          <w:spacing w:val="-4"/>
          <w:sz w:val="21"/>
          <w:szCs w:val="21"/>
        </w:rPr>
        <w:t>亿杯，在中端现制茶饮市</w:t>
      </w:r>
      <w:r>
        <w:rPr>
          <w:spacing w:val="-5"/>
          <w:sz w:val="21"/>
          <w:szCs w:val="21"/>
        </w:rPr>
        <w:t>场中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GMV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市占</w:t>
      </w:r>
      <w:r>
        <w:rPr>
          <w:spacing w:val="-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率第一。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68" w:line="217" w:lineRule="auto"/>
        <w:ind w:left="2771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3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、公司的发展历程</w:t>
      </w:r>
    </w:p>
    <w:p>
      <w:pPr>
        <w:spacing w:line="367" w:lineRule="auto"/>
        <w:rPr>
          <w:rFonts w:ascii="Arial"/>
          <w:sz w:val="21"/>
        </w:rPr>
      </w:pPr>
    </w:p>
    <w:p>
      <w:pPr>
        <w:spacing w:line="1552" w:lineRule="exact"/>
        <w:ind w:firstLine="2740"/>
      </w:pPr>
      <w:r>
        <w:rPr>
          <w:position w:val="-31"/>
        </w:rPr>
        <w:drawing>
          <wp:inline distT="0" distB="0" distL="0" distR="0">
            <wp:extent cx="4746081" cy="98562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46081" cy="985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59" w:line="212" w:lineRule="auto"/>
        <w:ind w:left="2757"/>
        <w:rPr>
          <w:sz w:val="18"/>
          <w:szCs w:val="18"/>
        </w:rPr>
      </w:pPr>
      <w:r>
        <w:rPr>
          <w:spacing w:val="-1"/>
          <w:sz w:val="18"/>
          <w:szCs w:val="18"/>
        </w:rPr>
        <w:t>资料来源：公司公告，兴业证券经济与金融研究院整理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68" w:line="273" w:lineRule="auto"/>
        <w:ind w:left="2555" w:right="485" w:hanging="6"/>
        <w:jc w:val="both"/>
        <w:rPr>
          <w:sz w:val="21"/>
          <w:szCs w:val="21"/>
        </w:rPr>
      </w:pPr>
      <w:r>
        <w:rPr>
          <w:spacing w:val="-4"/>
          <w:sz w:val="21"/>
          <w:szCs w:val="21"/>
        </w:rPr>
        <w:t>公司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2023  </w:t>
      </w:r>
      <w:r>
        <w:rPr>
          <w:spacing w:val="-4"/>
          <w:sz w:val="21"/>
          <w:szCs w:val="21"/>
        </w:rPr>
        <w:t>年高速开店，</w:t>
      </w:r>
      <w:r>
        <w:rPr>
          <w:spacing w:val="-4"/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目前的</w:t>
      </w:r>
      <w:r>
        <w:rPr>
          <w:spacing w:val="-5"/>
          <w:sz w:val="21"/>
          <w:szCs w:val="21"/>
        </w:rPr>
        <w:t>开店分布来看，浙江及周边区域门店分布更为密</w:t>
      </w:r>
      <w:r>
        <w:rPr>
          <w:sz w:val="21"/>
          <w:szCs w:val="21"/>
        </w:rPr>
        <w:t xml:space="preserve"> </w:t>
      </w:r>
      <w:r>
        <w:rPr>
          <w:spacing w:val="-13"/>
          <w:sz w:val="21"/>
          <w:szCs w:val="21"/>
        </w:rPr>
        <w:t>集，</w:t>
      </w:r>
      <w:r>
        <w:rPr>
          <w:spacing w:val="-42"/>
          <w:sz w:val="21"/>
          <w:szCs w:val="21"/>
        </w:rPr>
        <w:t xml:space="preserve"> </w:t>
      </w:r>
      <w:r>
        <w:rPr>
          <w:spacing w:val="-13"/>
          <w:sz w:val="21"/>
          <w:szCs w:val="21"/>
        </w:rPr>
        <w:t>从近一年的开店情况来看，</w:t>
      </w:r>
      <w:r>
        <w:rPr>
          <w:spacing w:val="-13"/>
          <w:sz w:val="21"/>
          <w:szCs w:val="21"/>
        </w:rPr>
        <w:t xml:space="preserve"> </w:t>
      </w:r>
      <w:r>
        <w:rPr>
          <w:spacing w:val="-13"/>
          <w:sz w:val="21"/>
          <w:szCs w:val="21"/>
        </w:rPr>
        <w:t>开店较多的是山东（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289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spacing w:val="-13"/>
          <w:sz w:val="21"/>
          <w:szCs w:val="21"/>
        </w:rPr>
        <w:t>家）、广东（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>262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spacing w:val="-14"/>
          <w:sz w:val="21"/>
          <w:szCs w:val="21"/>
        </w:rPr>
        <w:t>家）、安</w:t>
      </w:r>
      <w:r>
        <w:rPr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徽（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>234</w:t>
      </w:r>
      <w:r>
        <w:rPr>
          <w:rFonts w:ascii="Times New Roman" w:eastAsia="Times New Roman" w:hAnsi="Times New Roman" w:cs="Times New Roman"/>
          <w:spacing w:val="42"/>
          <w:w w:val="101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家）、江苏（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>221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家）、浙江（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>160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家）。</w:t>
      </w:r>
    </w:p>
    <w:p>
      <w:pPr>
        <w:spacing w:before="47"/>
      </w:pPr>
    </w:p>
    <w:p>
      <w:pPr>
        <w:sectPr>
          <w:headerReference w:type="default" r:id="rId12"/>
          <w:footerReference w:type="default" r:id="rId13"/>
          <w:pgSz w:w="11907" w:h="16839"/>
          <w:pgMar w:top="1586" w:right="640" w:bottom="1480" w:left="854" w:header="853" w:footer="990" w:gutter="0"/>
          <w:pgNumType w:start="3"/>
          <w:cols w:num="1" w:space="708" w:equalWidth="0">
            <w:col w:w="10412" w:space="0"/>
          </w:cols>
        </w:sectPr>
      </w:pPr>
    </w:p>
    <w:p>
      <w:pPr>
        <w:pStyle w:val="BodyText"/>
        <w:spacing w:before="42" w:line="219" w:lineRule="auto"/>
        <w:ind w:left="248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4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2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、公司的城市布局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" w:line="2720" w:lineRule="exact"/>
        <w:ind w:firstLine="880"/>
      </w:pPr>
      <w:r>
        <w:rPr>
          <w:position w:val="-54"/>
        </w:rPr>
        <w:drawing>
          <wp:inline distT="0" distB="0" distL="0" distR="0">
            <wp:extent cx="2146045" cy="1727199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46045" cy="172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7" w:line="185" w:lineRule="auto"/>
        <w:ind w:left="234"/>
        <w:rPr>
          <w:sz w:val="18"/>
          <w:szCs w:val="18"/>
        </w:rPr>
      </w:pPr>
      <w:r>
        <w:rPr>
          <w:spacing w:val="-7"/>
          <w:sz w:val="18"/>
          <w:szCs w:val="18"/>
        </w:rPr>
        <w:t>资料来源：</w:t>
      </w:r>
      <w:r>
        <w:rPr>
          <w:spacing w:val="53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窄门餐眼，兴业证券经济与金融研究院整理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20" w:lineRule="auto"/>
        <w:ind w:left="137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spacing w:val="-4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3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、公司的各区域运营门店情况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" w:line="2748" w:lineRule="exact"/>
        <w:ind w:firstLine="116"/>
      </w:pPr>
      <w:r>
        <w:rPr>
          <w:position w:val="-54"/>
        </w:rPr>
        <w:drawing>
          <wp:inline distT="0" distB="0" distL="0" distR="0">
            <wp:extent cx="2980689" cy="174497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0689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8" w:line="185" w:lineRule="auto"/>
        <w:ind w:left="124"/>
        <w:rPr>
          <w:sz w:val="18"/>
          <w:szCs w:val="18"/>
        </w:rPr>
      </w:pPr>
      <w:r>
        <w:rPr>
          <w:spacing w:val="-7"/>
          <w:sz w:val="18"/>
          <w:szCs w:val="18"/>
        </w:rPr>
        <w:t>资料来源：</w:t>
      </w:r>
      <w:r>
        <w:rPr>
          <w:spacing w:val="52"/>
          <w:w w:val="101"/>
          <w:sz w:val="18"/>
          <w:szCs w:val="18"/>
        </w:rPr>
        <w:t xml:space="preserve"> </w:t>
      </w:r>
      <w:r>
        <w:rPr>
          <w:spacing w:val="-7"/>
          <w:sz w:val="18"/>
          <w:szCs w:val="18"/>
        </w:rPr>
        <w:t>窄门餐眼，兴业证券经济与金融研究院整理</w:t>
      </w:r>
    </w:p>
    <w:p>
      <w:pPr>
        <w:spacing w:line="185" w:lineRule="auto"/>
        <w:rPr>
          <w:sz w:val="18"/>
          <w:szCs w:val="18"/>
        </w:rPr>
        <w:sectPr>
          <w:headerReference w:type="default" r:id="rId16"/>
          <w:footerReference w:type="default" r:id="rId17"/>
          <w:type w:val="continuous"/>
          <w:pgSz w:w="11907" w:h="16839"/>
          <w:pgMar w:top="1586" w:right="640" w:bottom="1480" w:left="854" w:header="853" w:footer="990" w:gutter="0"/>
          <w:pgNumType w:start="4"/>
          <w:cols w:num="2" w:space="708" w:equalWidth="0">
            <w:col w:w="5228" w:space="100"/>
            <w:col w:w="5085" w:space="0"/>
          </w:cols>
        </w:sectPr>
      </w:pPr>
    </w:p>
    <w:p>
      <w:pPr>
        <w:spacing w:line="287" w:lineRule="auto"/>
        <w:rPr>
          <w:rFonts w:ascii="Arial"/>
          <w:sz w:val="21"/>
        </w:rPr>
        <w:sectPr>
          <w:headerReference w:type="default" r:id="rId18"/>
          <w:footerReference w:type="default" r:id="rId19"/>
          <w:type w:val="continuous"/>
          <w:pgSz w:w="11907" w:h="16839"/>
          <w:pgMar w:top="1586" w:right="640" w:bottom="1480" w:left="854" w:header="853" w:footer="990" w:gutter="0"/>
          <w:pgNumType w:start="5"/>
          <w:cols w:num="1" w:space="708" w:equalWidth="0">
            <w:col w:w="10412" w:space="0"/>
          </w:cols>
        </w:sectPr>
      </w:pPr>
    </w:p>
    <w:p>
      <w:pPr>
        <w:pStyle w:val="BodyText"/>
        <w:spacing w:before="69" w:line="283" w:lineRule="auto"/>
        <w:ind w:left="2549" w:right="487" w:firstLine="15"/>
        <w:jc w:val="both"/>
        <w:rPr>
          <w:sz w:val="21"/>
          <w:szCs w:val="21"/>
        </w:rPr>
      </w:pPr>
      <w:r>
        <w:rPr>
          <w:spacing w:val="-2"/>
          <w:sz w:val="21"/>
          <w:szCs w:val="21"/>
        </w:rPr>
        <w:t>收入快速增长，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2023 </w:t>
      </w:r>
      <w:r>
        <w:rPr>
          <w:spacing w:val="-2"/>
          <w:sz w:val="21"/>
          <w:szCs w:val="21"/>
        </w:rPr>
        <w:t>年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月收入为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55.7 </w:t>
      </w:r>
      <w:r>
        <w:rPr>
          <w:spacing w:val="-2"/>
          <w:sz w:val="21"/>
          <w:szCs w:val="21"/>
        </w:rPr>
        <w:t>亿元，同比增长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33.9%</w:t>
      </w:r>
      <w:r>
        <w:rPr>
          <w:spacing w:val="-2"/>
          <w:sz w:val="21"/>
          <w:szCs w:val="21"/>
        </w:rPr>
        <w:t>。公司的收</w:t>
      </w:r>
      <w:r>
        <w:rPr>
          <w:spacing w:val="-3"/>
          <w:sz w:val="21"/>
          <w:szCs w:val="21"/>
        </w:rPr>
        <w:t>入主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要来自（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spacing w:val="-6"/>
          <w:sz w:val="21"/>
          <w:szCs w:val="21"/>
        </w:rPr>
        <w:t>）销售原材料及相关商品的收入，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2023 </w:t>
      </w:r>
      <w:r>
        <w:rPr>
          <w:spacing w:val="-6"/>
          <w:sz w:val="21"/>
          <w:szCs w:val="21"/>
        </w:rPr>
        <w:t>年</w:t>
      </w:r>
      <w:r>
        <w:rPr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月占比为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75.0%</w:t>
      </w:r>
      <w:r>
        <w:rPr>
          <w:spacing w:val="-6"/>
          <w:sz w:val="21"/>
          <w:szCs w:val="21"/>
        </w:rPr>
        <w:t>。（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</w:t>
      </w:r>
      <w:r>
        <w:rPr>
          <w:spacing w:val="-6"/>
          <w:sz w:val="21"/>
          <w:szCs w:val="21"/>
        </w:rPr>
        <w:t>）销</w:t>
      </w:r>
      <w:r>
        <w:rPr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售设施设备的收入，</w:t>
      </w:r>
      <w:r>
        <w:rPr>
          <w:spacing w:val="-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2023 </w:t>
      </w:r>
      <w:r>
        <w:rPr>
          <w:spacing w:val="-9"/>
          <w:sz w:val="21"/>
          <w:szCs w:val="21"/>
        </w:rPr>
        <w:t>年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月占比为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5.4%</w:t>
      </w:r>
      <w:r>
        <w:rPr>
          <w:spacing w:val="-9"/>
          <w:sz w:val="21"/>
          <w:szCs w:val="21"/>
        </w:rPr>
        <w:t>。（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3</w:t>
      </w:r>
      <w:r>
        <w:rPr>
          <w:spacing w:val="-9"/>
          <w:sz w:val="21"/>
          <w:szCs w:val="21"/>
        </w:rPr>
        <w:t>）初始加盟费，</w:t>
      </w:r>
      <w:r>
        <w:rPr>
          <w:spacing w:val="-24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即固定的运营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支持、营销支持等前期费用，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2023 </w:t>
      </w:r>
      <w:r>
        <w:rPr>
          <w:spacing w:val="-7"/>
          <w:sz w:val="21"/>
          <w:szCs w:val="21"/>
        </w:rPr>
        <w:t>年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月占比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1.5%</w:t>
      </w:r>
      <w:r>
        <w:rPr>
          <w:spacing w:val="-7"/>
          <w:sz w:val="21"/>
          <w:szCs w:val="21"/>
        </w:rPr>
        <w:t>。（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4</w:t>
      </w:r>
      <w:r>
        <w:rPr>
          <w:spacing w:val="-7"/>
          <w:sz w:val="21"/>
          <w:szCs w:val="21"/>
        </w:rPr>
        <w:t>）加</w:t>
      </w:r>
      <w:r>
        <w:rPr>
          <w:spacing w:val="-8"/>
          <w:sz w:val="21"/>
          <w:szCs w:val="21"/>
        </w:rPr>
        <w:t>盟期内持续支持服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务费，</w:t>
      </w:r>
      <w:r>
        <w:rPr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2023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年</w:t>
      </w:r>
      <w:r>
        <w:rPr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1-9  </w:t>
      </w:r>
      <w:r>
        <w:rPr>
          <w:spacing w:val="-8"/>
          <w:sz w:val="21"/>
          <w:szCs w:val="21"/>
        </w:rPr>
        <w:t>月占比</w:t>
      </w:r>
      <w:r>
        <w:rPr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16.7%</w:t>
      </w:r>
      <w:r>
        <w:rPr>
          <w:spacing w:val="-8"/>
          <w:sz w:val="21"/>
          <w:szCs w:val="21"/>
        </w:rPr>
        <w:t>。（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</w:t>
      </w:r>
      <w:r>
        <w:rPr>
          <w:spacing w:val="-8"/>
          <w:sz w:val="21"/>
          <w:szCs w:val="21"/>
        </w:rPr>
        <w:t>）培训及其他服务费，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2023  </w:t>
      </w:r>
      <w:r>
        <w:rPr>
          <w:spacing w:val="-8"/>
          <w:sz w:val="21"/>
          <w:szCs w:val="21"/>
        </w:rPr>
        <w:t>年</w:t>
      </w:r>
      <w:r>
        <w:rPr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spacing w:val="-8"/>
          <w:sz w:val="21"/>
          <w:szCs w:val="21"/>
        </w:rPr>
        <w:t>月</w:t>
      </w:r>
      <w:r>
        <w:rPr>
          <w:spacing w:val="-9"/>
          <w:sz w:val="21"/>
          <w:szCs w:val="21"/>
        </w:rPr>
        <w:t>占比</w:t>
      </w:r>
      <w:r>
        <w:rPr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1.3%</w:t>
      </w:r>
      <w:r>
        <w:rPr>
          <w:spacing w:val="-5"/>
          <w:sz w:val="21"/>
          <w:szCs w:val="21"/>
        </w:rPr>
        <w:t>。（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6</w:t>
      </w:r>
      <w:r>
        <w:rPr>
          <w:spacing w:val="-5"/>
          <w:sz w:val="21"/>
          <w:szCs w:val="21"/>
        </w:rPr>
        <w:t>）截至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2023Q3 </w:t>
      </w:r>
      <w:r>
        <w:rPr>
          <w:spacing w:val="-5"/>
          <w:sz w:val="21"/>
          <w:szCs w:val="21"/>
        </w:rPr>
        <w:t>公司共</w:t>
      </w:r>
      <w:r>
        <w:rPr>
          <w:spacing w:val="-6"/>
          <w:sz w:val="21"/>
          <w:szCs w:val="21"/>
        </w:rPr>
        <w:t>有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家直营门店，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直营门店销售收入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2023 </w:t>
      </w:r>
      <w:r>
        <w:rPr>
          <w:spacing w:val="-6"/>
          <w:sz w:val="21"/>
          <w:szCs w:val="21"/>
        </w:rPr>
        <w:t>年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1-9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月占比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0.2%</w:t>
      </w:r>
      <w:r>
        <w:rPr>
          <w:spacing w:val="-1"/>
          <w:sz w:val="21"/>
          <w:szCs w:val="21"/>
        </w:rPr>
        <w:t>。</w:t>
      </w:r>
    </w:p>
    <w:p>
      <w:pPr>
        <w:spacing w:line="283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https://d.book118.com/147165064020006034</w:t>
        </w:r>
      </w:hyperlink>
    </w:p>
    <w:p>
      <w:pPr>
        <w:spacing w:line="283" w:lineRule="auto"/>
        <w:rPr>
          <w:sz w:val="21"/>
          <w:szCs w:val="21"/>
        </w:rPr>
      </w:pPr>
    </w:p>
    <w:sectPr>
      <w:headerReference w:type="default" r:id="rId21"/>
      <w:footerReference w:type="default" r:id="rId22"/>
      <w:type w:val="nextPage"/>
      <w:pgSz w:w="11907" w:h="16839"/>
      <w:pgMar w:top="1586" w:right="640" w:bottom="1480" w:left="854" w:header="853" w:footer="990" w:gutter="0"/>
      <w:pgNumType w:start="6"/>
      <w:cols w:num="1" w:space="708" w:equalWidth="0">
        <w:col w:w="10412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6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1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49" style="width:508.1pt;height:0.75pt;margin-top:78.62pt;margin-left:42.72pt;mso-position-horizontal-relative:page;mso-position-vertical-relative:page;position:absolute;z-index:25165926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5448134</wp:posOffset>
          </wp:positionH>
          <wp:positionV relativeFrom="page">
            <wp:posOffset>541927</wp:posOffset>
          </wp:positionV>
          <wp:extent cx="1501470" cy="357338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1470" cy="3573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6" w:lineRule="auto"/>
      <w:ind w:left="68"/>
      <w:rPr>
        <w:sz w:val="21"/>
        <w:szCs w:val="21"/>
      </w:rPr>
    </w:pPr>
    <w:r>
      <w:rPr>
        <w:color w:val="333366"/>
        <w:spacing w:val="-1"/>
        <w:sz w:val="21"/>
        <w:szCs w:val="21"/>
        <w14:textOutline w14:w="3831">
          <w14:solidFill>
            <w14:srgbClr w14:val="333366"/>
          </w14:solidFill>
          <w14:prstDash w14:val="solid"/>
          <w14:miter w14:lim="10"/>
        </w14:textOutline>
      </w:rPr>
      <w:t>海外行业点评报告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1" style="width:508.1pt;height:0.75pt;margin-top:78.62pt;margin-left:42.72pt;mso-position-horizontal-relative:page;mso-position-vertical-relative:page;position:absolute;z-index:25166131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5448134</wp:posOffset>
          </wp:positionH>
          <wp:positionV relativeFrom="page">
            <wp:posOffset>541927</wp:posOffset>
          </wp:positionV>
          <wp:extent cx="1501470" cy="357338"/>
          <wp:effectExtent l="0" t="0" r="0" b="0"/>
          <wp:wrapNone/>
          <wp:docPr id="163058396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058396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1470" cy="3573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6" w:lineRule="auto"/>
      <w:ind w:left="68"/>
      <w:rPr>
        <w:sz w:val="21"/>
        <w:szCs w:val="21"/>
      </w:rPr>
    </w:pPr>
    <w:r>
      <w:rPr>
        <w:color w:val="333366"/>
        <w:spacing w:val="-1"/>
        <w:sz w:val="21"/>
        <w:szCs w:val="21"/>
        <w14:textOutline w14:w="3831">
          <w14:solidFill>
            <w14:srgbClr w14:val="333366"/>
          </w14:solidFill>
          <w14:prstDash w14:val="solid"/>
          <w14:miter w14:lim="10"/>
        </w14:textOutline>
      </w:rPr>
      <w:t>海外行业点评报告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3" style="width:508.1pt;height:0.75pt;margin-top:78.62pt;margin-left:42.72pt;mso-position-horizontal-relative:page;mso-position-vertical-relative:page;position:absolute;z-index:25166336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5448134</wp:posOffset>
          </wp:positionH>
          <wp:positionV relativeFrom="page">
            <wp:posOffset>541927</wp:posOffset>
          </wp:positionV>
          <wp:extent cx="1501470" cy="357338"/>
          <wp:effectExtent l="0" t="0" r="0" b="0"/>
          <wp:wrapNone/>
          <wp:docPr id="1296675171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675171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1470" cy="3573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6" w:lineRule="auto"/>
      <w:ind w:left="68"/>
      <w:rPr>
        <w:sz w:val="21"/>
        <w:szCs w:val="21"/>
      </w:rPr>
    </w:pPr>
    <w:r>
      <w:rPr>
        <w:color w:val="333366"/>
        <w:spacing w:val="-1"/>
        <w:sz w:val="21"/>
        <w:szCs w:val="21"/>
        <w14:textOutline w14:w="3831">
          <w14:solidFill>
            <w14:srgbClr w14:val="333366"/>
          </w14:solidFill>
          <w14:prstDash w14:val="solid"/>
          <w14:miter w14:lim="10"/>
        </w14:textOutline>
      </w:rPr>
      <w:t>海外行业点评报告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44" w:lineRule="auto"/>
      <w:rPr>
        <w:rFonts w:ascii="Arial"/>
        <w:sz w:val="21"/>
      </w:rPr>
    </w:pPr>
    <w:r>
      <w:pict>
        <v:shape id="_x0000_s2055" style="width:508.1pt;height:0.75pt;margin-top:78.62pt;margin-left:42.72pt;mso-position-horizontal-relative:page;mso-position-vertical-relative:page;position:absolute;z-index:25166540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5448134</wp:posOffset>
          </wp:positionH>
          <wp:positionV relativeFrom="page">
            <wp:posOffset>541927</wp:posOffset>
          </wp:positionV>
          <wp:extent cx="1501470" cy="357338"/>
          <wp:effectExtent l="0" t="0" r="0" b="0"/>
          <wp:wrapNone/>
          <wp:docPr id="2114810969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810969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1470" cy="3573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6" w:lineRule="auto"/>
      <w:ind w:left="68"/>
      <w:rPr>
        <w:sz w:val="21"/>
        <w:szCs w:val="21"/>
      </w:rPr>
    </w:pPr>
    <w:r>
      <w:rPr>
        <w:color w:val="333366"/>
        <w:spacing w:val="-1"/>
        <w:sz w:val="21"/>
        <w:szCs w:val="21"/>
        <w14:textOutline w14:w="3831">
          <w14:solidFill>
            <w14:srgbClr w14:val="333366"/>
          </w14:solidFill>
          <w14:prstDash w14:val="solid"/>
          <w14:miter w14:lim="10"/>
        </w14:textOutline>
      </w:rPr>
      <w:t>海外行业点评报告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10.jpeg" /><Relationship Id="rId15" Type="http://schemas.openxmlformats.org/officeDocument/2006/relationships/image" Target="media/image11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47165064020006034" TargetMode="External" /><Relationship Id="rId21" Type="http://schemas.openxmlformats.org/officeDocument/2006/relationships/header" Target="header4.xml" /><Relationship Id="rId22" Type="http://schemas.openxmlformats.org/officeDocument/2006/relationships/footer" Target="footer4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兴业证券-社服行业现制茶饮公司系列报告(二)，古茗：重视产品研发，门店快速增长，中端现制茶饮赛道市场份额领先-240115.pdf</dc:title>
  <cp:revision>0</cp:revision>
  <dcterms:created xsi:type="dcterms:W3CDTF">2024-01-25T09:20:24Z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2024-01-25T09:28:33Z</vt:filetime>
  </property>
  <property fmtid="{D5CDD505-2E9C-101B-9397-08002B2CF9AE}" pid="3" name="CRO">
    <vt:lpwstr>wqlLaW5nc29mdCBQREYgdG8gV1BTIDkw</vt:lpwstr>
  </property>
</Properties>
</file>