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2024年Α-萘黄酮行业分析报告及未来五到十年行业发展趋势报告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376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行业政策环境</w:t>
        </w:r>
        <w:r>
          <w:tab/>
        </w:r>
        <w:r>
          <w:fldChar w:fldCharType="begin"/>
        </w:r>
        <w:r>
          <w:instrText xml:space="preserve"> PAGEREF _Toc24376 \h </w:instrText>
        </w:r>
        <w:r>
          <w:fldChar w:fldCharType="separate"/>
        </w:r>
        <w:r>
          <w:t>5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30465" w:history="1">
        <w:r>
          <w:rPr>
            <w:rFonts w:eastAsia="微软雅黑" w:hint="eastAsia"/>
            <w:snapToGrid/>
            <w:lang w:val="en-US" w:eastAsia="en-US"/>
          </w:rPr>
          <w:t>(一)、政策持续利好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行业发展</w:t>
        </w:r>
        <w:r>
          <w:tab/>
        </w:r>
        <w:r>
          <w:fldChar w:fldCharType="begin"/>
        </w:r>
        <w:r>
          <w:instrText xml:space="preserve"> PAGEREF _Toc30465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799" w:history="1">
        <w:r>
          <w:rPr>
            <w:rFonts w:eastAsia="微软雅黑" w:hint="eastAsia"/>
            <w:snapToGrid/>
            <w:lang w:val="en-US" w:eastAsia="zh-CN"/>
          </w:rPr>
          <w:t>(二)、行业政策体系日趋完善</w:t>
        </w:r>
        <w:r>
          <w:tab/>
        </w:r>
        <w:r>
          <w:fldChar w:fldCharType="begin"/>
        </w:r>
        <w:r>
          <w:instrText xml:space="preserve"> PAGEREF _Toc13799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914" w:history="1">
        <w:r>
          <w:rPr>
            <w:rFonts w:eastAsia="微软雅黑" w:hint="eastAsia"/>
            <w:snapToGrid/>
            <w:lang w:val="en-US" w:eastAsia="zh-CN"/>
          </w:rPr>
          <w:t>(三)、一级市场火热,国内专利不断攀升</w:t>
        </w:r>
        <w:r>
          <w:tab/>
        </w:r>
        <w:r>
          <w:fldChar w:fldCharType="begin"/>
        </w:r>
        <w:r>
          <w:instrText xml:space="preserve"> PAGEREF _Toc26914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35" w:history="1">
        <w:r>
          <w:rPr>
            <w:rFonts w:eastAsia="微软雅黑" w:hint="eastAsia"/>
            <w:snapToGrid/>
            <w:lang w:val="en-US" w:eastAsia="zh-CN"/>
          </w:rPr>
          <w:t>(四)、宏观环境下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行业定位</w:t>
        </w:r>
        <w:r>
          <w:tab/>
        </w:r>
        <w:r>
          <w:fldChar w:fldCharType="begin"/>
        </w:r>
        <w:r>
          <w:instrText xml:space="preserve"> PAGEREF _Toc14235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239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行业绩显著</w:t>
        </w:r>
        <w:r>
          <w:tab/>
        </w:r>
        <w:r>
          <w:fldChar w:fldCharType="begin"/>
        </w:r>
        <w:r>
          <w:instrText xml:space="preserve"> PAGEREF _Toc11239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061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行业(2024-2029)发展趋势预测</w:t>
        </w:r>
        <w:r>
          <w:tab/>
        </w:r>
        <w:r>
          <w:fldChar w:fldCharType="begin"/>
        </w:r>
        <w:r>
          <w:instrText xml:space="preserve"> PAGEREF _Toc10061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1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行业当下面临的机会和挑战</w:t>
        </w:r>
        <w:r>
          <w:tab/>
        </w:r>
        <w:r>
          <w:fldChar w:fldCharType="begin"/>
        </w:r>
        <w:r>
          <w:instrText xml:space="preserve"> PAGEREF _Toc1516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9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行业经营理念快速转变的意义</w:t>
        </w:r>
        <w:r>
          <w:tab/>
        </w:r>
        <w:r>
          <w:fldChar w:fldCharType="begin"/>
        </w:r>
        <w:r>
          <w:instrText xml:space="preserve"> PAGEREF _Toc10894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791" w:history="1">
        <w:r>
          <w:rPr>
            <w:rFonts w:eastAsia="微软雅黑" w:hint="eastAsia"/>
            <w:snapToGrid/>
            <w:lang w:val="en-US" w:eastAsia="zh-CN"/>
          </w:rPr>
          <w:t>(三)、整合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行业的技术服务</w:t>
        </w:r>
        <w:r>
          <w:tab/>
        </w:r>
        <w:r>
          <w:fldChar w:fldCharType="begin"/>
        </w:r>
        <w:r>
          <w:instrText xml:space="preserve"> PAGEREF _Toc8791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599" w:history="1">
        <w:r>
          <w:rPr>
            <w:rFonts w:eastAsia="微软雅黑" w:hint="eastAsia"/>
            <w:snapToGrid/>
            <w:lang w:val="en-US" w:eastAsia="zh-CN"/>
          </w:rPr>
          <w:t>(四)、迅速转变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行业企业的增长动力</w:t>
        </w:r>
        <w:r>
          <w:tab/>
        </w:r>
        <w:r>
          <w:fldChar w:fldCharType="begin"/>
        </w:r>
        <w:r>
          <w:instrText xml:space="preserve"> PAGEREF _Toc21599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205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_Toc21205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6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_Toc14261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09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_Toc20091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283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_Toc18283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493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_Toc15493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929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_Toc13929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692" w:history="1">
        <w:r>
          <w:rPr>
            <w:rFonts w:eastAsia="微软雅黑" w:hint="eastAsia"/>
            <w:snapToGrid/>
            <w:lang w:val="en-US" w:eastAsia="en-US"/>
          </w:rPr>
          <w:t>四、2024-2029年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_Toc4692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154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_Toc25154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45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_Toc17945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50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_Toc25506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26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_Toc9226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548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_Toc31548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920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_Toc16920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18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_Toc1818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0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_Toc11904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325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_Toc19325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057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_Toc6057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1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_Toc29615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2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_Toc24620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727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_Toc4727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27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_Toc26627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7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_Toc26377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59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_Toc23590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478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_Toc4784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276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_Toc10276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98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_Toc3198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766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_Toc16766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397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_Toc19397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10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_Toc710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03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_Toc10034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571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_Toc15571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52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_Toc5552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75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_Toc5775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15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_Toc10115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61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_Toc22561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26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_Toc326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736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_Toc25736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196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_Toc12196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963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_Toc31963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707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_Toc8707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20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_Toc720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335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_Toc19335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610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_Toc23610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82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_Toc9482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514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_Toc26514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577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_Toc24577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56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_Toc12756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888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_Toc22888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28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_Toc24628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417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_Toc5417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32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</w:instrText>
        </w:r>
        <w:r>
          <w:instrText xml:space="preserve">Toc5232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481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_Toc3481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7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_Toc2257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385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_Toc16385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713" w:history="1">
        <w:r>
          <w:rPr>
            <w:rFonts w:eastAsia="微软雅黑" w:hint="eastAsia"/>
            <w:snapToGrid/>
            <w:lang w:val="en-US" w:eastAsia="en-US"/>
          </w:rPr>
          <w:t>十一、“疫情”对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_Toc18713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189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_Toc26189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06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_Toc22506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28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Α-萘黄酮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_Toc3928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569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Α-萘黄酮</w:t>
        </w:r>
        <w:r>
          <w:rPr>
            <w:rFonts w:eastAsia="微软雅黑" w:hint="eastAsia"/>
            <w:snapToGrid/>
            <w:lang w:val="en-US" w:eastAsia="en-US"/>
          </w:rPr>
          <w:t>行业多元化趋势</w:t>
        </w:r>
        <w:r>
          <w:tab/>
        </w:r>
        <w:r>
          <w:fldChar w:fldCharType="begin"/>
        </w:r>
        <w:r>
          <w:instrText xml:space="preserve"> PAGEREF _Toc19569 \h </w:instrText>
        </w:r>
        <w:r>
          <w:fldChar w:fldCharType="separate"/>
        </w:r>
        <w:r>
          <w:t>35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https://d.book118.com/148017072064006023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14801707206400602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