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7" w:line="222" w:lineRule="auto"/>
        <w:ind w:left="44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一、典型案例—江苏省智慧城市细分市场规模测算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78" w:line="359" w:lineRule="auto"/>
        <w:ind w:left="37" w:firstLine="47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2"/>
        </w:rPr>
        <w:t>2020</w:t>
      </w:r>
      <w:r>
        <w:rPr>
          <w:rFonts w:ascii="Times New Roman" w:eastAsia="Times New Roman" w:hAnsi="Times New Roman" w:cs="Times New Roman"/>
          <w:spacing w:val="64"/>
        </w:rPr>
        <w:t xml:space="preserve"> </w:t>
      </w:r>
      <w:r>
        <w:rPr>
          <w:spacing w:val="-2"/>
        </w:rPr>
        <w:t xml:space="preserve">年至 </w:t>
      </w:r>
      <w:r>
        <w:rPr>
          <w:rFonts w:ascii="Times New Roman" w:eastAsia="Times New Roman" w:hAnsi="Times New Roman" w:cs="Times New Roman"/>
          <w:spacing w:val="-2"/>
        </w:rPr>
        <w:t>2022</w:t>
      </w:r>
      <w:r>
        <w:rPr>
          <w:rFonts w:ascii="Times New Roman" w:eastAsia="Times New Roman" w:hAnsi="Times New Roman" w:cs="Times New Roman"/>
          <w:spacing w:val="51"/>
        </w:rPr>
        <w:t xml:space="preserve"> </w:t>
      </w:r>
      <w:r>
        <w:rPr>
          <w:spacing w:val="-2"/>
        </w:rPr>
        <w:t xml:space="preserve">年，江苏省智慧政务市场规模分别为 </w:t>
      </w:r>
      <w:r>
        <w:rPr>
          <w:rFonts w:ascii="Times New Roman" w:eastAsia="Times New Roman" w:hAnsi="Times New Roman" w:cs="Times New Roman"/>
          <w:spacing w:val="-2"/>
        </w:rPr>
        <w:t>497.49</w:t>
      </w:r>
      <w:r>
        <w:rPr>
          <w:rFonts w:ascii="Times New Roman" w:eastAsia="Times New Roman" w:hAnsi="Times New Roman" w:cs="Times New Roman"/>
          <w:spacing w:val="51"/>
        </w:rPr>
        <w:t xml:space="preserve"> </w:t>
      </w:r>
      <w:r>
        <w:rPr>
          <w:spacing w:val="-2"/>
        </w:rPr>
        <w:t>亿元、</w:t>
      </w:r>
      <w:r>
        <w:rPr>
          <w:rFonts w:ascii="Times New Roman" w:eastAsia="Times New Roman" w:hAnsi="Times New Roman" w:cs="Times New Roman"/>
          <w:spacing w:val="-2"/>
        </w:rPr>
        <w:t>555.08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-1"/>
        </w:rPr>
        <w:t>亿元、</w:t>
      </w:r>
      <w:r>
        <w:rPr>
          <w:rFonts w:ascii="Times New Roman" w:eastAsia="Times New Roman" w:hAnsi="Times New Roman" w:cs="Times New Roman"/>
          <w:spacing w:val="-1"/>
        </w:rPr>
        <w:t>605.54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1"/>
        </w:rPr>
        <w:t>亿元，并预计于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2025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1"/>
        </w:rPr>
        <w:t>年增长至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7</w:t>
      </w:r>
      <w:r>
        <w:rPr>
          <w:rFonts w:ascii="Times New Roman" w:eastAsia="Times New Roman" w:hAnsi="Times New Roman" w:cs="Times New Roman"/>
          <w:spacing w:val="-2"/>
        </w:rPr>
        <w:t>36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2"/>
        </w:rPr>
        <w:t>亿元；江苏省智慧安防市场规</w:t>
      </w:r>
      <w:r>
        <w:t xml:space="preserve"> </w:t>
      </w:r>
      <w:r>
        <w:rPr>
          <w:spacing w:val="-2"/>
        </w:rPr>
        <w:t>模分别为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380.69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2"/>
        </w:rPr>
        <w:t>亿元、</w:t>
      </w:r>
      <w:r>
        <w:rPr>
          <w:rFonts w:ascii="Times New Roman" w:eastAsia="Times New Roman" w:hAnsi="Times New Roman" w:cs="Times New Roman"/>
          <w:spacing w:val="-2"/>
        </w:rPr>
        <w:t>424.76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spacing w:val="-2"/>
        </w:rPr>
        <w:t>亿元、</w:t>
      </w:r>
      <w:r>
        <w:rPr>
          <w:rFonts w:ascii="Times New Roman" w:eastAsia="Times New Roman" w:hAnsi="Times New Roman" w:cs="Times New Roman"/>
          <w:spacing w:val="-2"/>
        </w:rPr>
        <w:t>463.37</w:t>
      </w:r>
      <w:r>
        <w:rPr>
          <w:rFonts w:ascii="Times New Roman" w:eastAsia="Times New Roman" w:hAnsi="Times New Roman" w:cs="Times New Roman"/>
          <w:spacing w:val="22"/>
          <w:w w:val="101"/>
        </w:rPr>
        <w:t xml:space="preserve"> </w:t>
      </w:r>
      <w:r>
        <w:rPr>
          <w:spacing w:val="-2"/>
        </w:rPr>
        <w:t>亿元，并预计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2025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spacing w:val="-2"/>
        </w:rPr>
        <w:t>年增长至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563.2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spacing w:val="-2"/>
        </w:rPr>
        <w:t>亿元；江苏省智慧交通市场规模分别为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295.25 </w:t>
      </w:r>
      <w:r>
        <w:rPr>
          <w:spacing w:val="-2"/>
        </w:rPr>
        <w:t>亿元、</w:t>
      </w:r>
      <w:r>
        <w:rPr>
          <w:rFonts w:ascii="Times New Roman" w:eastAsia="Times New Roman" w:hAnsi="Times New Roman" w:cs="Times New Roman"/>
          <w:spacing w:val="-2"/>
        </w:rPr>
        <w:t xml:space="preserve">329.43 </w:t>
      </w:r>
      <w:r>
        <w:rPr>
          <w:spacing w:val="-2"/>
        </w:rPr>
        <w:t>亿元、</w:t>
      </w:r>
      <w:r>
        <w:rPr>
          <w:rFonts w:ascii="Times New Roman" w:eastAsia="Times New Roman" w:hAnsi="Times New Roman" w:cs="Times New Roman"/>
          <w:spacing w:val="-2"/>
        </w:rPr>
        <w:t>35</w:t>
      </w:r>
      <w:r>
        <w:rPr>
          <w:rFonts w:ascii="Times New Roman" w:eastAsia="Times New Roman" w:hAnsi="Times New Roman" w:cs="Times New Roman"/>
          <w:spacing w:val="-3"/>
        </w:rPr>
        <w:t xml:space="preserve">9.38 </w:t>
      </w:r>
      <w:r>
        <w:rPr>
          <w:spacing w:val="-3"/>
        </w:rPr>
        <w:t>亿元，</w:t>
      </w:r>
      <w:r>
        <w:t xml:space="preserve"> </w:t>
      </w:r>
      <w:r>
        <w:rPr>
          <w:spacing w:val="-2"/>
        </w:rPr>
        <w:t xml:space="preserve">并预计于 </w:t>
      </w:r>
      <w:r>
        <w:rPr>
          <w:rFonts w:ascii="Times New Roman" w:eastAsia="Times New Roman" w:hAnsi="Times New Roman" w:cs="Times New Roman"/>
          <w:spacing w:val="-2"/>
        </w:rPr>
        <w:t>2025</w:t>
      </w:r>
      <w:r>
        <w:rPr>
          <w:rFonts w:ascii="Times New Roman" w:eastAsia="Times New Roman" w:hAnsi="Times New Roman" w:cs="Times New Roman"/>
          <w:spacing w:val="52"/>
          <w:w w:val="101"/>
        </w:rPr>
        <w:t xml:space="preserve"> </w:t>
      </w:r>
      <w:r>
        <w:rPr>
          <w:spacing w:val="-2"/>
        </w:rPr>
        <w:t xml:space="preserve">年将增长至 </w:t>
      </w:r>
      <w:r>
        <w:rPr>
          <w:rFonts w:ascii="Times New Roman" w:eastAsia="Times New Roman" w:hAnsi="Times New Roman" w:cs="Times New Roman"/>
          <w:spacing w:val="-2"/>
        </w:rPr>
        <w:t>436.8</w:t>
      </w:r>
      <w:r>
        <w:rPr>
          <w:rFonts w:ascii="Times New Roman" w:eastAsia="Times New Roman" w:hAnsi="Times New Roman" w:cs="Times New Roman"/>
          <w:spacing w:val="51"/>
        </w:rPr>
        <w:t xml:space="preserve"> </w:t>
      </w:r>
      <w:r>
        <w:rPr>
          <w:spacing w:val="-2"/>
        </w:rPr>
        <w:t xml:space="preserve">亿元；江苏省智慧建筑市场规模分别为 </w:t>
      </w:r>
      <w:r>
        <w:rPr>
          <w:rFonts w:ascii="Times New Roman" w:eastAsia="Times New Roman" w:hAnsi="Times New Roman" w:cs="Times New Roman"/>
          <w:spacing w:val="-2"/>
        </w:rPr>
        <w:t>824.1</w:t>
      </w:r>
    </w:p>
    <w:p>
      <w:pPr>
        <w:pStyle w:val="BodyText"/>
        <w:spacing w:line="212" w:lineRule="auto"/>
        <w:ind w:left="39"/>
      </w:pPr>
      <w:r>
        <w:rPr>
          <w:spacing w:val="-1"/>
        </w:rPr>
        <w:t>亿元、</w:t>
      </w:r>
      <w:r>
        <w:rPr>
          <w:rFonts w:ascii="Times New Roman" w:eastAsia="Times New Roman" w:hAnsi="Times New Roman" w:cs="Times New Roman"/>
          <w:spacing w:val="-1"/>
        </w:rPr>
        <w:t xml:space="preserve">919.51 </w:t>
      </w:r>
      <w:r>
        <w:rPr>
          <w:spacing w:val="-1"/>
        </w:rPr>
        <w:t>亿元、</w:t>
      </w:r>
      <w:r>
        <w:rPr>
          <w:rFonts w:ascii="Times New Roman" w:eastAsia="Times New Roman" w:hAnsi="Times New Roman" w:cs="Times New Roman"/>
          <w:spacing w:val="-1"/>
        </w:rPr>
        <w:t xml:space="preserve">1,003.10 </w:t>
      </w:r>
      <w:r>
        <w:rPr>
          <w:spacing w:val="-1"/>
        </w:rPr>
        <w:t>亿元，并预计于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2025</w:t>
      </w:r>
      <w:r>
        <w:rPr>
          <w:rFonts w:ascii="Times New Roman" w:eastAsia="Times New Roman" w:hAnsi="Times New Roman" w:cs="Times New Roman"/>
          <w:spacing w:val="-2"/>
        </w:rPr>
        <w:t xml:space="preserve"> </w:t>
      </w:r>
      <w:r>
        <w:rPr>
          <w:spacing w:val="-2"/>
        </w:rPr>
        <w:t>年增长至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1,219.2 </w:t>
      </w:r>
      <w:r>
        <w:rPr>
          <w:spacing w:val="-2"/>
        </w:rPr>
        <w:t>亿元。</w:t>
      </w:r>
    </w:p>
    <w:p>
      <w:pPr>
        <w:pStyle w:val="BodyText"/>
        <w:spacing w:before="284" w:line="359" w:lineRule="auto"/>
        <w:ind w:left="33" w:right="66" w:firstLine="491"/>
      </w:pPr>
      <w:r>
        <w:rPr>
          <w:spacing w:val="-3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具体测算过程如下：</w:t>
      </w:r>
      <w:r>
        <w:rPr>
          <w:spacing w:val="-3"/>
        </w:rPr>
        <w:t>智慧交通、智慧政务、智</w:t>
      </w:r>
      <w:r>
        <w:rPr>
          <w:spacing w:val="-4"/>
        </w:rPr>
        <w:t>慧建筑、智慧安防行业的市场</w:t>
      </w:r>
      <w:r>
        <w:t xml:space="preserve"> </w:t>
      </w:r>
      <w:r>
        <w:rPr>
          <w:spacing w:val="1"/>
        </w:rPr>
        <w:t>需求与软件和信息技术服务业发展直接相关。</w:t>
      </w:r>
      <w:r>
        <w:t>根据工信部数据统计，</w:t>
      </w:r>
      <w:r>
        <w:rPr>
          <w:rFonts w:ascii="Times New Roman" w:eastAsia="Times New Roman" w:hAnsi="Times New Roman" w:cs="Times New Roman"/>
        </w:rPr>
        <w:t xml:space="preserve">2019  </w:t>
      </w:r>
      <w:r>
        <w:t xml:space="preserve">年、 </w:t>
      </w:r>
      <w:r>
        <w:rPr>
          <w:rFonts w:ascii="Times New Roman" w:eastAsia="Times New Roman" w:hAnsi="Times New Roman" w:cs="Times New Roman"/>
          <w:spacing w:val="3"/>
        </w:rPr>
        <w:t xml:space="preserve">2020  </w:t>
      </w:r>
      <w:r>
        <w:rPr>
          <w:spacing w:val="3"/>
        </w:rPr>
        <w:t>年、</w:t>
      </w:r>
      <w:r>
        <w:rPr>
          <w:rFonts w:ascii="Times New Roman" w:eastAsia="Times New Roman" w:hAnsi="Times New Roman" w:cs="Times New Roman"/>
          <w:spacing w:val="3"/>
        </w:rPr>
        <w:t xml:space="preserve">2021  </w:t>
      </w:r>
      <w:r>
        <w:rPr>
          <w:spacing w:val="3"/>
        </w:rPr>
        <w:t>年，全国软件和信息技术服务业累计完成软件业务收入分别为</w:t>
      </w:r>
      <w:r>
        <w:rPr>
          <w:spacing w:val="14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72,072 </w:t>
      </w:r>
      <w:r>
        <w:rPr>
          <w:spacing w:val="-5"/>
        </w:rPr>
        <w:t>亿元、</w:t>
      </w:r>
      <w:r>
        <w:rPr>
          <w:rFonts w:ascii="Times New Roman" w:eastAsia="Times New Roman" w:hAnsi="Times New Roman" w:cs="Times New Roman"/>
          <w:spacing w:val="-5"/>
        </w:rPr>
        <w:t xml:space="preserve">81,586 </w:t>
      </w:r>
      <w:r>
        <w:rPr>
          <w:spacing w:val="-5"/>
        </w:rPr>
        <w:t>亿元、</w:t>
      </w:r>
      <w:r>
        <w:rPr>
          <w:rFonts w:ascii="Times New Roman" w:eastAsia="Times New Roman" w:hAnsi="Times New Roman" w:cs="Times New Roman"/>
          <w:spacing w:val="-5"/>
        </w:rPr>
        <w:t xml:space="preserve">94,994 </w:t>
      </w:r>
      <w:r>
        <w:rPr>
          <w:spacing w:val="-5"/>
        </w:rPr>
        <w:t>亿元。根据艾媒咨</w:t>
      </w:r>
      <w:r>
        <w:rPr>
          <w:spacing w:val="-6"/>
        </w:rPr>
        <w:t xml:space="preserve">询数据统计， </w:t>
      </w:r>
      <w:r>
        <w:rPr>
          <w:rFonts w:ascii="Times New Roman" w:eastAsia="Times New Roman" w:hAnsi="Times New Roman" w:cs="Times New Roman"/>
          <w:spacing w:val="-6"/>
        </w:rPr>
        <w:t xml:space="preserve">2019 </w:t>
      </w:r>
      <w:r>
        <w:rPr>
          <w:spacing w:val="-6"/>
        </w:rPr>
        <w:t>年、</w:t>
      </w:r>
      <w:r>
        <w:rPr>
          <w:rFonts w:ascii="Times New Roman" w:eastAsia="Times New Roman" w:hAnsi="Times New Roman" w:cs="Times New Roman"/>
          <w:spacing w:val="-6"/>
        </w:rPr>
        <w:t>2020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3"/>
        </w:rPr>
        <w:t>年，全国智慧交通市场规模分别为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1,918.5 </w:t>
      </w:r>
      <w:r>
        <w:rPr>
          <w:spacing w:val="-3"/>
        </w:rPr>
        <w:t>亿元、</w:t>
      </w:r>
      <w:r>
        <w:rPr>
          <w:rFonts w:ascii="Times New Roman" w:eastAsia="Times New Roman" w:hAnsi="Times New Roman" w:cs="Times New Roman"/>
          <w:spacing w:val="-3"/>
        </w:rPr>
        <w:t xml:space="preserve">2,287 </w:t>
      </w:r>
      <w:r>
        <w:rPr>
          <w:spacing w:val="-3"/>
        </w:rPr>
        <w:t>亿元，占当年全国软件和</w:t>
      </w:r>
      <w:r>
        <w:t xml:space="preserve"> </w:t>
      </w:r>
      <w:r>
        <w:rPr>
          <w:spacing w:val="-2"/>
        </w:rPr>
        <w:t>信息技术服务业的比例分别为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2.66%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>2.8%</w:t>
      </w:r>
      <w:r>
        <w:rPr>
          <w:spacing w:val="-2"/>
        </w:rPr>
        <w:t>，平均占比为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2.73%</w:t>
      </w:r>
      <w:r>
        <w:rPr>
          <w:spacing w:val="-2"/>
        </w:rPr>
        <w:t>；根据头豹研究</w:t>
      </w:r>
      <w:r>
        <w:t xml:space="preserve"> </w:t>
      </w:r>
      <w:r>
        <w:rPr>
          <w:spacing w:val="-5"/>
        </w:rPr>
        <w:t>院数据统计，</w:t>
      </w:r>
      <w:r>
        <w:rPr>
          <w:rFonts w:ascii="Times New Roman" w:eastAsia="Times New Roman" w:hAnsi="Times New Roman" w:cs="Times New Roman"/>
          <w:spacing w:val="-5"/>
        </w:rPr>
        <w:t xml:space="preserve">2019 </w:t>
      </w:r>
      <w:r>
        <w:rPr>
          <w:spacing w:val="-5"/>
        </w:rPr>
        <w:t>年、</w:t>
      </w:r>
      <w:r>
        <w:rPr>
          <w:rFonts w:ascii="Times New Roman" w:eastAsia="Times New Roman" w:hAnsi="Times New Roman" w:cs="Times New Roman"/>
          <w:spacing w:val="-5"/>
        </w:rPr>
        <w:t xml:space="preserve">2020 </w:t>
      </w:r>
      <w:r>
        <w:rPr>
          <w:spacing w:val="-5"/>
        </w:rPr>
        <w:t>年，全国智慧政务市场规模分别为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 xml:space="preserve">3,375 </w:t>
      </w:r>
      <w:r>
        <w:rPr>
          <w:spacing w:val="-5"/>
        </w:rPr>
        <w:t>亿元、</w:t>
      </w:r>
      <w:r>
        <w:rPr>
          <w:rFonts w:ascii="Times New Roman" w:eastAsia="Times New Roman" w:hAnsi="Times New Roman" w:cs="Times New Roman"/>
          <w:spacing w:val="-5"/>
        </w:rPr>
        <w:t>3,682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2"/>
        </w:rPr>
        <w:t xml:space="preserve">亿元，占当年全国软件和信息技术服务业的比例分别为 </w:t>
      </w:r>
      <w:r>
        <w:rPr>
          <w:rFonts w:ascii="Times New Roman" w:eastAsia="Times New Roman" w:hAnsi="Times New Roman" w:cs="Times New Roman"/>
          <w:spacing w:val="-2"/>
        </w:rPr>
        <w:t>4.68%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>4.51%</w:t>
      </w:r>
      <w:r>
        <w:rPr>
          <w:spacing w:val="-2"/>
        </w:rPr>
        <w:t>，平均占</w:t>
      </w:r>
      <w:r>
        <w:t xml:space="preserve"> </w:t>
      </w:r>
      <w:r>
        <w:t>比为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>4.6%</w:t>
      </w:r>
      <w:r>
        <w:t>；根据《中国楼宇自控行业白皮书》数据统计，</w:t>
      </w:r>
      <w:r>
        <w:rPr>
          <w:rFonts w:ascii="Times New Roman" w:eastAsia="Times New Roman" w:hAnsi="Times New Roman" w:cs="Times New Roman"/>
        </w:rPr>
        <w:t xml:space="preserve">2021 </w:t>
      </w:r>
      <w:r>
        <w:t>年</w:t>
      </w:r>
      <w:r>
        <w:rPr>
          <w:spacing w:val="-1"/>
        </w:rPr>
        <w:t>全国楼宇智能</w:t>
      </w:r>
      <w:r>
        <w:t xml:space="preserve"> </w:t>
      </w:r>
      <w:r>
        <w:rPr>
          <w:spacing w:val="3"/>
        </w:rPr>
        <w:t xml:space="preserve">化市场规模为 </w:t>
      </w:r>
      <w:r>
        <w:rPr>
          <w:rFonts w:ascii="Times New Roman" w:eastAsia="Times New Roman" w:hAnsi="Times New Roman" w:cs="Times New Roman"/>
          <w:spacing w:val="3"/>
        </w:rPr>
        <w:t xml:space="preserve">7,238.2  </w:t>
      </w:r>
      <w:r>
        <w:rPr>
          <w:spacing w:val="3"/>
        </w:rPr>
        <w:t>亿元，占当年全国软件和信息技术服务业的比例分别为</w:t>
      </w:r>
      <w:r>
        <w:rPr>
          <w:spacing w:val="1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7.62%</w:t>
      </w:r>
      <w:r>
        <w:rPr>
          <w:spacing w:val="-1"/>
        </w:rPr>
        <w:t>；根据洛图科技和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Frost</w:t>
      </w:r>
      <w:r>
        <w:rPr>
          <w:rFonts w:ascii="Times New Roman" w:eastAsia="Times New Roman" w:hAnsi="Times New Roman" w:cs="Times New Roman"/>
          <w:spacing w:val="53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&amp;  </w:t>
      </w:r>
      <w:r>
        <w:rPr>
          <w:rFonts w:ascii="Times New Roman" w:eastAsia="Times New Roman" w:hAnsi="Times New Roman" w:cs="Times New Roman"/>
          <w:spacing w:val="-2"/>
        </w:rPr>
        <w:t>Sullivan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-2"/>
        </w:rPr>
        <w:t>的数据统计，</w:t>
      </w:r>
      <w:r>
        <w:rPr>
          <w:rFonts w:ascii="Times New Roman" w:eastAsia="Times New Roman" w:hAnsi="Times New Roman" w:cs="Times New Roman"/>
          <w:spacing w:val="-2"/>
        </w:rPr>
        <w:t xml:space="preserve">2019 </w:t>
      </w:r>
      <w:r>
        <w:rPr>
          <w:spacing w:val="-2"/>
        </w:rPr>
        <w:t>年、</w:t>
      </w:r>
      <w:r>
        <w:rPr>
          <w:rFonts w:ascii="Times New Roman" w:eastAsia="Times New Roman" w:hAnsi="Times New Roman" w:cs="Times New Roman"/>
          <w:spacing w:val="-2"/>
        </w:rPr>
        <w:t xml:space="preserve">2020 </w:t>
      </w:r>
      <w:r>
        <w:rPr>
          <w:spacing w:val="-2"/>
        </w:rPr>
        <w:t>年、</w:t>
      </w:r>
      <w:r>
        <w:rPr>
          <w:rFonts w:ascii="Times New Roman" w:eastAsia="Times New Roman" w:hAnsi="Times New Roman" w:cs="Times New Roman"/>
          <w:spacing w:val="-2"/>
        </w:rPr>
        <w:t>2021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2"/>
        </w:rPr>
        <w:t>年，全国智慧安防市场规模分别为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2591 </w:t>
      </w:r>
      <w:r>
        <w:rPr>
          <w:spacing w:val="-2"/>
        </w:rPr>
        <w:t>亿</w:t>
      </w:r>
      <w:r>
        <w:rPr>
          <w:spacing w:val="-3"/>
        </w:rPr>
        <w:t>元、</w:t>
      </w:r>
      <w:r>
        <w:rPr>
          <w:rFonts w:ascii="Times New Roman" w:eastAsia="Times New Roman" w:hAnsi="Times New Roman" w:cs="Times New Roman"/>
          <w:spacing w:val="-3"/>
        </w:rPr>
        <w:t xml:space="preserve">2841 </w:t>
      </w:r>
      <w:r>
        <w:rPr>
          <w:spacing w:val="-3"/>
        </w:rPr>
        <w:t>亿元、</w:t>
      </w:r>
      <w:r>
        <w:rPr>
          <w:rFonts w:ascii="Times New Roman" w:eastAsia="Times New Roman" w:hAnsi="Times New Roman" w:cs="Times New Roman"/>
          <w:spacing w:val="-3"/>
        </w:rPr>
        <w:t xml:space="preserve">3318 </w:t>
      </w:r>
      <w:r>
        <w:rPr>
          <w:spacing w:val="-3"/>
        </w:rPr>
        <w:t>亿元，占当年全</w:t>
      </w:r>
    </w:p>
    <w:p>
      <w:pPr>
        <w:pStyle w:val="BodyText"/>
        <w:spacing w:line="219" w:lineRule="auto"/>
        <w:ind w:left="61"/>
      </w:pPr>
      <w:r>
        <w:rPr>
          <w:spacing w:val="-2"/>
        </w:rPr>
        <w:t>国软件和信息服务业的比重分别为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3.60%</w:t>
      </w:r>
      <w:r>
        <w:rPr>
          <w:rFonts w:ascii="Times New Roman" w:eastAsia="Times New Roman" w:hAnsi="Times New Roman" w:cs="Times New Roman"/>
          <w:spacing w:val="-34"/>
        </w:rPr>
        <w:t xml:space="preserve"> </w:t>
      </w:r>
      <w:r>
        <w:rPr>
          <w:spacing w:val="-2"/>
        </w:rPr>
        <w:t>、</w:t>
      </w:r>
      <w:r>
        <w:rPr>
          <w:rFonts w:ascii="Times New Roman" w:eastAsia="Times New Roman" w:hAnsi="Times New Roman" w:cs="Times New Roman"/>
          <w:spacing w:val="-2"/>
        </w:rPr>
        <w:t>3.48%</w:t>
      </w:r>
      <w:r>
        <w:rPr>
          <w:rFonts w:ascii="Times New Roman" w:eastAsia="Times New Roman" w:hAnsi="Times New Roman" w:cs="Times New Roman"/>
          <w:spacing w:val="-35"/>
        </w:rPr>
        <w:t xml:space="preserve"> </w:t>
      </w:r>
      <w:r>
        <w:rPr>
          <w:spacing w:val="-2"/>
        </w:rPr>
        <w:t>、</w:t>
      </w:r>
      <w:r>
        <w:rPr>
          <w:rFonts w:ascii="Times New Roman" w:eastAsia="Times New Roman" w:hAnsi="Times New Roman" w:cs="Times New Roman"/>
          <w:spacing w:val="-3"/>
        </w:rPr>
        <w:t>3.49%</w:t>
      </w:r>
      <w:r>
        <w:rPr>
          <w:spacing w:val="-3"/>
        </w:rPr>
        <w:t>，平均占比为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3.52%</w:t>
      </w:r>
      <w:r>
        <w:rPr>
          <w:spacing w:val="-3"/>
        </w:rPr>
        <w:t>。</w:t>
      </w:r>
    </w:p>
    <w:p>
      <w:pPr>
        <w:pStyle w:val="BodyText"/>
        <w:spacing w:before="275" w:line="359" w:lineRule="auto"/>
        <w:ind w:left="40" w:right="66" w:firstLine="478"/>
      </w:pPr>
      <w:r>
        <w:rPr>
          <w:spacing w:val="-3"/>
        </w:rPr>
        <w:t>根据工信部数据统计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2019 </w:t>
      </w:r>
      <w:r>
        <w:rPr>
          <w:spacing w:val="-3"/>
        </w:rPr>
        <w:t>年至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2022 </w:t>
      </w:r>
      <w:r>
        <w:rPr>
          <w:spacing w:val="-3"/>
        </w:rPr>
        <w:t>年，江苏省软件和信息技术服务业累计</w:t>
      </w:r>
      <w:r>
        <w:t xml:space="preserve"> </w:t>
      </w:r>
      <w:r>
        <w:rPr>
          <w:spacing w:val="-1"/>
        </w:rPr>
        <w:t>完成软件业务收入分别为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9,778 </w:t>
      </w:r>
      <w:r>
        <w:rPr>
          <w:spacing w:val="-1"/>
        </w:rPr>
        <w:t>亿元、</w:t>
      </w:r>
      <w:r>
        <w:rPr>
          <w:rFonts w:ascii="Times New Roman" w:eastAsia="Times New Roman" w:hAnsi="Times New Roman" w:cs="Times New Roman"/>
          <w:spacing w:val="-1"/>
        </w:rPr>
        <w:t xml:space="preserve">10,815 </w:t>
      </w:r>
      <w:r>
        <w:rPr>
          <w:spacing w:val="-1"/>
        </w:rPr>
        <w:t>亿元、</w:t>
      </w:r>
      <w:r>
        <w:rPr>
          <w:rFonts w:ascii="Times New Roman" w:eastAsia="Times New Roman" w:hAnsi="Times New Roman" w:cs="Times New Roman"/>
          <w:spacing w:val="-1"/>
        </w:rPr>
        <w:t xml:space="preserve">12,067 </w:t>
      </w:r>
      <w:r>
        <w:rPr>
          <w:spacing w:val="-1"/>
        </w:rPr>
        <w:t>亿元、</w:t>
      </w:r>
      <w:r>
        <w:rPr>
          <w:rFonts w:ascii="Times New Roman" w:eastAsia="Times New Roman" w:hAnsi="Times New Roman" w:cs="Times New Roman"/>
          <w:spacing w:val="-1"/>
        </w:rPr>
        <w:t>13,1</w:t>
      </w:r>
      <w:r>
        <w:rPr>
          <w:rFonts w:ascii="Times New Roman" w:eastAsia="Times New Roman" w:hAnsi="Times New Roman" w:cs="Times New Roman"/>
          <w:spacing w:val="-2"/>
        </w:rPr>
        <w:t xml:space="preserve">64 </w:t>
      </w:r>
      <w:r>
        <w:rPr>
          <w:spacing w:val="-2"/>
        </w:rPr>
        <w:t>亿元；</w:t>
      </w:r>
      <w:r>
        <w:t xml:space="preserve"> </w:t>
      </w:r>
      <w:r>
        <w:rPr>
          <w:spacing w:val="-3"/>
        </w:rPr>
        <w:t>同时，根据江苏省工信厅发布的《江苏省“十四五”软件和信息技术服务发</w:t>
      </w:r>
      <w:r>
        <w:rPr>
          <w:spacing w:val="-4"/>
        </w:rPr>
        <w:t>展规</w:t>
      </w:r>
    </w:p>
    <w:p>
      <w:pPr>
        <w:pStyle w:val="BodyText"/>
        <w:spacing w:line="219" w:lineRule="auto"/>
        <w:ind w:left="37"/>
      </w:pPr>
      <w:r>
        <w:rPr>
          <w:spacing w:val="-2"/>
        </w:rPr>
        <w:t>划》，</w:t>
      </w:r>
      <w:r>
        <w:rPr>
          <w:rFonts w:ascii="Times New Roman" w:eastAsia="Times New Roman" w:hAnsi="Times New Roman" w:cs="Times New Roman"/>
          <w:spacing w:val="-2"/>
        </w:rPr>
        <w:t xml:space="preserve">2025 </w:t>
      </w:r>
      <w:r>
        <w:rPr>
          <w:spacing w:val="-2"/>
        </w:rPr>
        <w:t>年全省软件和信息技术服务业规模力争达到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1.6</w:t>
      </w:r>
      <w:r>
        <w:rPr>
          <w:rFonts w:ascii="Times New Roman" w:eastAsia="Times New Roman" w:hAnsi="Times New Roman" w:cs="Times New Roman"/>
          <w:spacing w:val="15"/>
        </w:rPr>
        <w:t xml:space="preserve"> </w:t>
      </w:r>
      <w:r>
        <w:rPr>
          <w:spacing w:val="-3"/>
        </w:rPr>
        <w:t>万亿元。</w:t>
      </w:r>
    </w:p>
    <w:p>
      <w:pPr>
        <w:spacing w:line="219" w:lineRule="auto"/>
        <w:sectPr>
          <w:footerReference w:type="default" r:id="rId4"/>
          <w:pgSz w:w="11907" w:h="16839"/>
          <w:pgMar w:top="1424" w:right="1733" w:bottom="1432" w:left="1771" w:header="0" w:footer="1128" w:gutter="0"/>
          <w:cols w:space="708"/>
        </w:sectPr>
      </w:pPr>
    </w:p>
    <w:p>
      <w:pPr>
        <w:spacing w:before="48" w:line="221" w:lineRule="auto"/>
        <w:ind w:left="1176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2019 </w:t>
      </w:r>
      <w:r>
        <w:rPr>
          <w:rFonts w:ascii="SimHei" w:eastAsia="SimHei" w:hAnsi="SimHei" w:cs="SimHei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-2025 </w:t>
      </w:r>
      <w:r>
        <w:rPr>
          <w:rFonts w:ascii="SimHei" w:eastAsia="SimHei" w:hAnsi="SimHei" w:cs="SimHei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SimHei" w:eastAsia="SimHei" w:hAnsi="SimHei" w:cs="SimHei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 </w:t>
      </w:r>
      <w:r>
        <w:rPr>
          <w:rFonts w:ascii="SimHei" w:eastAsia="SimHei" w:hAnsi="SimHei" w:cs="SimHei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江苏省软件和信息技术服务业累计完成收入</w:t>
      </w:r>
    </w:p>
    <w:p>
      <w:pPr>
        <w:pStyle w:val="BodyText"/>
        <w:spacing w:before="181" w:line="220" w:lineRule="auto"/>
        <w:ind w:right="26"/>
        <w:jc w:val="right"/>
      </w:pPr>
      <w:r>
        <w:rPr>
          <w:spacing w:val="-2"/>
        </w:rPr>
        <w:t>单位：亿元</w:t>
      </w:r>
    </w:p>
    <w:p>
      <w:pPr>
        <w:spacing w:before="143" w:line="4680" w:lineRule="exact"/>
        <w:ind w:firstLine="508"/>
      </w:pPr>
      <w:r>
        <w:rPr>
          <w:position w:val="-93"/>
        </w:rPr>
        <w:drawing>
          <wp:inline distT="0" distB="0" distL="0" distR="0">
            <wp:extent cx="4968227" cy="297179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68227" cy="2971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8" w:line="221" w:lineRule="auto"/>
        <w:ind w:right="25"/>
        <w:jc w:val="right"/>
        <w:rPr>
          <w:sz w:val="21"/>
          <w:szCs w:val="21"/>
        </w:rPr>
      </w:pPr>
      <w:r>
        <w:rPr>
          <w:spacing w:val="-1"/>
          <w:sz w:val="21"/>
          <w:szCs w:val="21"/>
        </w:rPr>
        <w:t>数据来源：工信部</w:t>
      </w:r>
    </w:p>
    <w:p>
      <w:pPr>
        <w:pStyle w:val="BodyText"/>
        <w:spacing w:before="257" w:line="359" w:lineRule="auto"/>
        <w:ind w:left="41" w:right="26" w:firstLine="479"/>
        <w:jc w:val="both"/>
      </w:pPr>
      <w:r>
        <w:rPr>
          <w:spacing w:val="-1"/>
        </w:rPr>
        <w:t>按前述的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2.73%</w:t>
      </w:r>
      <w:r>
        <w:rPr>
          <w:spacing w:val="-1"/>
        </w:rPr>
        <w:t>比例测算，相应的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2019-2022 </w:t>
      </w:r>
      <w:r>
        <w:rPr>
          <w:spacing w:val="-1"/>
        </w:rPr>
        <w:t>年江苏省智慧交通市场规模分</w:t>
      </w:r>
      <w:r>
        <w:t xml:space="preserve"> </w:t>
      </w:r>
      <w:r>
        <w:rPr>
          <w:spacing w:val="-1"/>
        </w:rPr>
        <w:t>别为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266.94 </w:t>
      </w:r>
      <w:r>
        <w:rPr>
          <w:spacing w:val="-1"/>
        </w:rPr>
        <w:t>亿元、</w:t>
      </w:r>
      <w:r>
        <w:rPr>
          <w:rFonts w:ascii="Times New Roman" w:eastAsia="Times New Roman" w:hAnsi="Times New Roman" w:cs="Times New Roman"/>
          <w:spacing w:val="-1"/>
        </w:rPr>
        <w:t xml:space="preserve">295.25 </w:t>
      </w:r>
      <w:r>
        <w:rPr>
          <w:spacing w:val="-1"/>
        </w:rPr>
        <w:t>亿元、</w:t>
      </w:r>
      <w:r>
        <w:rPr>
          <w:rFonts w:ascii="Times New Roman" w:eastAsia="Times New Roman" w:hAnsi="Times New Roman" w:cs="Times New Roman"/>
          <w:spacing w:val="-1"/>
        </w:rPr>
        <w:t xml:space="preserve">329.43 </w:t>
      </w:r>
      <w:r>
        <w:rPr>
          <w:spacing w:val="-1"/>
        </w:rPr>
        <w:t>亿元、</w:t>
      </w:r>
      <w:r>
        <w:rPr>
          <w:rFonts w:ascii="Times New Roman" w:eastAsia="Times New Roman" w:hAnsi="Times New Roman" w:cs="Times New Roman"/>
          <w:spacing w:val="-1"/>
        </w:rPr>
        <w:t xml:space="preserve">359.38 </w:t>
      </w:r>
      <w:r>
        <w:rPr>
          <w:spacing w:val="-1"/>
        </w:rPr>
        <w:t>亿元，并预计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2025 </w:t>
      </w:r>
      <w:r>
        <w:rPr>
          <w:spacing w:val="-1"/>
        </w:rPr>
        <w:t>年</w:t>
      </w:r>
      <w:r>
        <w:rPr>
          <w:spacing w:val="-2"/>
        </w:rPr>
        <w:t>将增</w:t>
      </w:r>
    </w:p>
    <w:p>
      <w:pPr>
        <w:pStyle w:val="BodyText"/>
        <w:spacing w:line="220" w:lineRule="auto"/>
        <w:ind w:left="39"/>
      </w:pPr>
      <w:r>
        <w:rPr>
          <w:spacing w:val="-4"/>
        </w:rPr>
        <w:t>长至</w:t>
      </w:r>
      <w:r>
        <w:rPr>
          <w:spacing w:val="-4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436.8 </w:t>
      </w:r>
      <w:r>
        <w:rPr>
          <w:spacing w:val="-4"/>
        </w:rPr>
        <w:t>亿元。</w:t>
      </w:r>
    </w:p>
    <w:p>
      <w:pPr>
        <w:spacing w:before="272" w:line="222" w:lineRule="auto"/>
        <w:ind w:left="2050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2019-2025 </w:t>
      </w:r>
      <w:r>
        <w:rPr>
          <w:rFonts w:ascii="SimHei" w:eastAsia="SimHei" w:hAnsi="SimHei" w:cs="SimHei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SimHei" w:eastAsia="SimHei" w:hAnsi="SimHei" w:cs="SimHei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 </w:t>
      </w:r>
      <w:r>
        <w:rPr>
          <w:rFonts w:ascii="SimHei" w:eastAsia="SimHei" w:hAnsi="SimHei" w:cs="SimHei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江苏省智慧交通市场规模测算</w:t>
      </w:r>
    </w:p>
    <w:p>
      <w:pPr>
        <w:pStyle w:val="BodyText"/>
        <w:spacing w:before="265" w:line="221" w:lineRule="auto"/>
        <w:ind w:right="23"/>
        <w:jc w:val="right"/>
        <w:rPr>
          <w:sz w:val="21"/>
          <w:szCs w:val="21"/>
        </w:rPr>
      </w:pPr>
      <w:r>
        <w:rPr>
          <w:spacing w:val="-1"/>
          <w:sz w:val="21"/>
          <w:szCs w:val="21"/>
        </w:rPr>
        <w:t>单位：亿元</w:t>
      </w:r>
    </w:p>
    <w:p>
      <w:pPr>
        <w:spacing w:before="126" w:line="4642" w:lineRule="exact"/>
        <w:ind w:firstLine="28"/>
      </w:pPr>
      <w:r>
        <w:rPr>
          <w:position w:val="-92"/>
        </w:rPr>
        <w:drawing>
          <wp:inline distT="0" distB="0" distL="0" distR="0">
            <wp:extent cx="5219687" cy="294766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19687" cy="2947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42" w:lineRule="exact"/>
        <w:sectPr>
          <w:footerReference w:type="default" r:id="rId7"/>
          <w:pgSz w:w="11907" w:h="16839"/>
          <w:pgMar w:top="1427" w:right="1771" w:bottom="1432" w:left="1771" w:header="0" w:footer="1128" w:gutter="0"/>
          <w:pgNumType w:start="2"/>
          <w:cols w:space="708"/>
        </w:sectPr>
      </w:pPr>
    </w:p>
    <w:p>
      <w:pPr>
        <w:pStyle w:val="BodyText"/>
        <w:spacing w:before="48" w:line="359" w:lineRule="auto"/>
        <w:ind w:left="41" w:right="79" w:firstLine="479"/>
        <w:jc w:val="both"/>
      </w:pPr>
      <w:r>
        <w:rPr>
          <w:spacing w:val="-2"/>
        </w:rPr>
        <w:t xml:space="preserve">按前述的 </w:t>
      </w:r>
      <w:r>
        <w:rPr>
          <w:rFonts w:ascii="Times New Roman" w:eastAsia="Times New Roman" w:hAnsi="Times New Roman" w:cs="Times New Roman"/>
          <w:spacing w:val="-2"/>
        </w:rPr>
        <w:t>4.6%</w:t>
      </w:r>
      <w:r>
        <w:rPr>
          <w:spacing w:val="-2"/>
        </w:rPr>
        <w:t xml:space="preserve">比例测算，相应的 </w:t>
      </w:r>
      <w:r>
        <w:rPr>
          <w:rFonts w:ascii="Times New Roman" w:eastAsia="Times New Roman" w:hAnsi="Times New Roman" w:cs="Times New Roman"/>
          <w:spacing w:val="-2"/>
        </w:rPr>
        <w:t>2019-2022</w:t>
      </w:r>
      <w:r>
        <w:rPr>
          <w:rFonts w:ascii="Times New Roman" w:eastAsia="Times New Roman" w:hAnsi="Times New Roman" w:cs="Times New Roman"/>
          <w:spacing w:val="54"/>
        </w:rPr>
        <w:t xml:space="preserve"> </w:t>
      </w:r>
      <w:r>
        <w:rPr>
          <w:spacing w:val="-2"/>
        </w:rPr>
        <w:t>年江苏省智慧政务市场规模分</w:t>
      </w:r>
      <w:r>
        <w:t xml:space="preserve"> </w:t>
      </w:r>
      <w:r>
        <w:rPr>
          <w:spacing w:val="-1"/>
        </w:rPr>
        <w:t>别为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449.79 </w:t>
      </w:r>
      <w:r>
        <w:rPr>
          <w:spacing w:val="-1"/>
        </w:rPr>
        <w:t>亿元、</w:t>
      </w:r>
      <w:r>
        <w:rPr>
          <w:rFonts w:ascii="Times New Roman" w:eastAsia="Times New Roman" w:hAnsi="Times New Roman" w:cs="Times New Roman"/>
          <w:spacing w:val="-1"/>
        </w:rPr>
        <w:t xml:space="preserve">497.49 </w:t>
      </w:r>
      <w:r>
        <w:rPr>
          <w:spacing w:val="-1"/>
        </w:rPr>
        <w:t>亿元、</w:t>
      </w:r>
      <w:r>
        <w:rPr>
          <w:rFonts w:ascii="Times New Roman" w:eastAsia="Times New Roman" w:hAnsi="Times New Roman" w:cs="Times New Roman"/>
          <w:spacing w:val="-1"/>
        </w:rPr>
        <w:t xml:space="preserve">555.08 </w:t>
      </w:r>
      <w:r>
        <w:rPr>
          <w:spacing w:val="-1"/>
        </w:rPr>
        <w:t>亿元、</w:t>
      </w:r>
      <w:r>
        <w:rPr>
          <w:rFonts w:ascii="Times New Roman" w:eastAsia="Times New Roman" w:hAnsi="Times New Roman" w:cs="Times New Roman"/>
          <w:spacing w:val="-1"/>
        </w:rPr>
        <w:t xml:space="preserve">605.54 </w:t>
      </w:r>
      <w:r>
        <w:rPr>
          <w:spacing w:val="-1"/>
        </w:rPr>
        <w:t>亿元，并预计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2025 </w:t>
      </w:r>
      <w:r>
        <w:rPr>
          <w:spacing w:val="-1"/>
        </w:rPr>
        <w:t>年增长</w:t>
      </w:r>
    </w:p>
    <w:p>
      <w:pPr>
        <w:pStyle w:val="BodyText"/>
        <w:spacing w:line="220" w:lineRule="auto"/>
        <w:ind w:left="40"/>
      </w:pPr>
      <w:r>
        <w:rPr>
          <w:spacing w:val="-8"/>
        </w:rPr>
        <w:t>至</w:t>
      </w:r>
      <w:r>
        <w:rPr>
          <w:spacing w:val="-47"/>
        </w:rPr>
        <w:t xml:space="preserve"> </w:t>
      </w:r>
      <w:r>
        <w:rPr>
          <w:rFonts w:ascii="Times New Roman" w:eastAsia="Times New Roman" w:hAnsi="Times New Roman" w:cs="Times New Roman"/>
          <w:spacing w:val="-8"/>
        </w:rPr>
        <w:t>736</w:t>
      </w:r>
      <w:r>
        <w:rPr>
          <w:rFonts w:ascii="Times New Roman" w:eastAsia="Times New Roman" w:hAnsi="Times New Roman" w:cs="Times New Roman"/>
          <w:spacing w:val="10"/>
        </w:rPr>
        <w:t xml:space="preserve"> </w:t>
      </w:r>
      <w:r>
        <w:rPr>
          <w:spacing w:val="-8"/>
        </w:rPr>
        <w:t>亿元。</w:t>
      </w:r>
    </w:p>
    <w:p>
      <w:pPr>
        <w:spacing w:before="272" w:line="221" w:lineRule="auto"/>
        <w:ind w:left="2050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2019-2025 </w:t>
      </w:r>
      <w:r>
        <w:rPr>
          <w:rFonts w:ascii="SimHei" w:eastAsia="SimHei" w:hAnsi="SimHei" w:cs="SimHei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SimHei" w:eastAsia="SimHei" w:hAnsi="SimHei" w:cs="SimHei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 </w:t>
      </w:r>
      <w:r>
        <w:rPr>
          <w:rFonts w:ascii="SimHei" w:eastAsia="SimHei" w:hAnsi="SimHei" w:cs="SimHei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江苏省智慧政务市场规模测算</w:t>
      </w:r>
    </w:p>
    <w:p>
      <w:pPr>
        <w:pStyle w:val="BodyText"/>
        <w:spacing w:before="268" w:line="221" w:lineRule="auto"/>
        <w:ind w:left="7293"/>
        <w:rPr>
          <w:sz w:val="21"/>
          <w:szCs w:val="21"/>
        </w:rPr>
      </w:pPr>
      <w:r>
        <w:rPr>
          <w:spacing w:val="-1"/>
          <w:sz w:val="21"/>
          <w:szCs w:val="21"/>
        </w:rPr>
        <w:t>单位：亿元</w:t>
      </w:r>
    </w:p>
    <w:p>
      <w:pPr>
        <w:spacing w:before="129" w:line="5150" w:lineRule="exact"/>
        <w:ind w:firstLine="28"/>
      </w:pPr>
      <w:r>
        <w:rPr>
          <w:position w:val="-102"/>
        </w:rPr>
        <w:drawing>
          <wp:inline distT="0" distB="0" distL="0" distR="0">
            <wp:extent cx="5326377" cy="327024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26377" cy="3270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1" w:line="359" w:lineRule="auto"/>
        <w:ind w:left="41" w:right="81" w:firstLine="479"/>
        <w:jc w:val="both"/>
      </w:pPr>
      <w:r>
        <w:rPr>
          <w:spacing w:val="-1"/>
        </w:rPr>
        <w:t>按前述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7.62%</w:t>
      </w:r>
      <w:r>
        <w:rPr>
          <w:spacing w:val="-1"/>
        </w:rPr>
        <w:t>比例测算，相应的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2019-2022 </w:t>
      </w:r>
      <w:r>
        <w:rPr>
          <w:spacing w:val="-1"/>
        </w:rPr>
        <w:t>年江苏省智慧建筑市场规模分别</w:t>
      </w:r>
      <w:r>
        <w:t xml:space="preserve"> </w:t>
      </w:r>
      <w:r>
        <w:rPr>
          <w:spacing w:val="-2"/>
        </w:rPr>
        <w:t>为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745.08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2"/>
        </w:rPr>
        <w:t>亿元、</w:t>
      </w:r>
      <w:r>
        <w:rPr>
          <w:rFonts w:ascii="Times New Roman" w:eastAsia="Times New Roman" w:hAnsi="Times New Roman" w:cs="Times New Roman"/>
          <w:spacing w:val="-2"/>
        </w:rPr>
        <w:t>824.1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spacing w:val="-2"/>
        </w:rPr>
        <w:t>亿元、</w:t>
      </w:r>
      <w:r>
        <w:rPr>
          <w:rFonts w:ascii="Times New Roman" w:eastAsia="Times New Roman" w:hAnsi="Times New Roman" w:cs="Times New Roman"/>
          <w:spacing w:val="-2"/>
        </w:rPr>
        <w:t>919.51</w:t>
      </w:r>
      <w:r>
        <w:rPr>
          <w:rFonts w:ascii="Times New Roman" w:eastAsia="Times New Roman" w:hAnsi="Times New Roman" w:cs="Times New Roman"/>
          <w:spacing w:val="22"/>
          <w:w w:val="101"/>
        </w:rPr>
        <w:t xml:space="preserve"> </w:t>
      </w:r>
      <w:r>
        <w:rPr>
          <w:spacing w:val="-2"/>
        </w:rPr>
        <w:t>亿元、</w:t>
      </w:r>
      <w:r>
        <w:rPr>
          <w:rFonts w:ascii="Times New Roman" w:eastAsia="Times New Roman" w:hAnsi="Times New Roman" w:cs="Times New Roman"/>
          <w:spacing w:val="-2"/>
        </w:rPr>
        <w:t>1003.1</w:t>
      </w:r>
      <w:r>
        <w:rPr>
          <w:rFonts w:ascii="Times New Roman" w:eastAsia="Times New Roman" w:hAnsi="Times New Roman" w:cs="Times New Roman"/>
          <w:spacing w:val="22"/>
        </w:rPr>
        <w:t xml:space="preserve"> </w:t>
      </w:r>
      <w:r>
        <w:rPr>
          <w:spacing w:val="-2"/>
        </w:rPr>
        <w:t>亿元，并预计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2025</w:t>
      </w:r>
      <w:r>
        <w:rPr>
          <w:rFonts w:ascii="Times New Roman" w:eastAsia="Times New Roman" w:hAnsi="Times New Roman" w:cs="Times New Roman"/>
          <w:spacing w:val="23"/>
        </w:rPr>
        <w:t xml:space="preserve"> </w:t>
      </w:r>
      <w:r>
        <w:rPr>
          <w:spacing w:val="-2"/>
        </w:rPr>
        <w:t>年增长至</w:t>
      </w:r>
    </w:p>
    <w:p>
      <w:pPr>
        <w:pStyle w:val="BodyText"/>
        <w:spacing w:line="212" w:lineRule="auto"/>
        <w:ind w:left="56"/>
      </w:pPr>
      <w:r>
        <w:rPr>
          <w:rFonts w:ascii="Times New Roman" w:eastAsia="Times New Roman" w:hAnsi="Times New Roman" w:cs="Times New Roman"/>
          <w:spacing w:val="-5"/>
        </w:rPr>
        <w:t xml:space="preserve">1,219.2 </w:t>
      </w:r>
      <w:r>
        <w:rPr>
          <w:spacing w:val="-5"/>
        </w:rPr>
        <w:t>亿元。</w:t>
      </w:r>
    </w:p>
    <w:p>
      <w:pPr>
        <w:spacing w:line="212" w:lineRule="auto"/>
        <w:sectPr>
          <w:footerReference w:type="default" r:id="rId9"/>
          <w:pgSz w:w="11907" w:h="16839"/>
          <w:pgMar w:top="1428" w:right="1718" w:bottom="1432" w:left="1771" w:header="0" w:footer="1129" w:gutter="0"/>
          <w:pgNumType w:start="3"/>
          <w:cols w:space="708"/>
        </w:sectPr>
      </w:pPr>
    </w:p>
    <w:p>
      <w:pPr>
        <w:spacing w:before="48" w:line="222" w:lineRule="auto"/>
        <w:ind w:left="2050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2019-2025 </w:t>
      </w:r>
      <w:r>
        <w:rPr>
          <w:rFonts w:ascii="SimHei" w:eastAsia="SimHei" w:hAnsi="SimHei" w:cs="SimHei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rFonts w:ascii="SimHei" w:eastAsia="SimHei" w:hAnsi="SimHei" w:cs="SimHei"/>
          <w:spacing w:val="-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 </w:t>
      </w:r>
      <w:r>
        <w:rPr>
          <w:rFonts w:ascii="SimHei" w:eastAsia="SimHei" w:hAnsi="SimHei" w:cs="SimHei"/>
          <w:sz w:val="24"/>
          <w:szCs w:val="24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江苏省智慧建筑市场规模测算</w:t>
      </w:r>
    </w:p>
    <w:p>
      <w:pPr>
        <w:pStyle w:val="BodyText"/>
        <w:spacing w:before="286" w:line="221" w:lineRule="auto"/>
        <w:ind w:right="23"/>
        <w:jc w:val="right"/>
        <w:rPr>
          <w:sz w:val="21"/>
          <w:szCs w:val="21"/>
        </w:rPr>
      </w:pPr>
      <w:r>
        <w:rPr>
          <w:spacing w:val="-1"/>
          <w:sz w:val="21"/>
          <w:szCs w:val="21"/>
        </w:rPr>
        <w:t>单位：亿元</w:t>
      </w:r>
    </w:p>
    <w:p>
      <w:pPr>
        <w:spacing w:before="11" w:line="4845" w:lineRule="exact"/>
        <w:ind w:firstLine="28"/>
      </w:pPr>
      <w:r>
        <w:rPr>
          <w:position w:val="-96"/>
        </w:rPr>
        <w:drawing>
          <wp:inline distT="0" distB="0" distL="0" distR="0">
            <wp:extent cx="5167627" cy="307656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67627" cy="307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7" w:line="359" w:lineRule="auto"/>
        <w:ind w:left="41" w:right="26" w:firstLine="479"/>
        <w:jc w:val="both"/>
      </w:pPr>
      <w:r>
        <w:rPr>
          <w:spacing w:val="-1"/>
        </w:rPr>
        <w:t>按前述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3.52%</w:t>
      </w:r>
      <w:r>
        <w:rPr>
          <w:spacing w:val="-1"/>
        </w:rPr>
        <w:t>比例测算，相应的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2019-2022 </w:t>
      </w:r>
      <w:r>
        <w:rPr>
          <w:spacing w:val="-1"/>
        </w:rPr>
        <w:t>年江苏省智慧安防市场规模分别</w:t>
      </w:r>
      <w:r>
        <w:t xml:space="preserve"> </w:t>
      </w:r>
      <w:r>
        <w:rPr>
          <w:spacing w:val="-1"/>
        </w:rPr>
        <w:t>为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344.19 </w:t>
      </w:r>
      <w:r>
        <w:rPr>
          <w:spacing w:val="-1"/>
        </w:rPr>
        <w:t>亿元、</w:t>
      </w:r>
      <w:r>
        <w:rPr>
          <w:rFonts w:ascii="Times New Roman" w:eastAsia="Times New Roman" w:hAnsi="Times New Roman" w:cs="Times New Roman"/>
          <w:spacing w:val="-1"/>
        </w:rPr>
        <w:t xml:space="preserve">380.69 </w:t>
      </w:r>
      <w:r>
        <w:rPr>
          <w:spacing w:val="-1"/>
        </w:rPr>
        <w:t>亿元、</w:t>
      </w:r>
      <w:r>
        <w:rPr>
          <w:rFonts w:ascii="Times New Roman" w:eastAsia="Times New Roman" w:hAnsi="Times New Roman" w:cs="Times New Roman"/>
          <w:spacing w:val="-1"/>
        </w:rPr>
        <w:t xml:space="preserve">424.76 </w:t>
      </w:r>
      <w:r>
        <w:rPr>
          <w:spacing w:val="-1"/>
        </w:rPr>
        <w:t>亿元、</w:t>
      </w:r>
      <w:r>
        <w:rPr>
          <w:rFonts w:ascii="Times New Roman" w:eastAsia="Times New Roman" w:hAnsi="Times New Roman" w:cs="Times New Roman"/>
          <w:spacing w:val="-1"/>
        </w:rPr>
        <w:t xml:space="preserve">463.37 </w:t>
      </w:r>
      <w:r>
        <w:rPr>
          <w:spacing w:val="-1"/>
        </w:rPr>
        <w:t>亿元，并预计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20</w:t>
      </w:r>
      <w:r>
        <w:rPr>
          <w:rFonts w:ascii="Times New Roman" w:eastAsia="Times New Roman" w:hAnsi="Times New Roman" w:cs="Times New Roman"/>
          <w:spacing w:val="-2"/>
        </w:rPr>
        <w:t xml:space="preserve">25 </w:t>
      </w:r>
      <w:r>
        <w:rPr>
          <w:spacing w:val="-2"/>
        </w:rPr>
        <w:t>年增长至</w:t>
      </w:r>
    </w:p>
    <w:p>
      <w:pPr>
        <w:pStyle w:val="BodyText"/>
        <w:spacing w:line="220" w:lineRule="auto"/>
        <w:ind w:left="40"/>
      </w:pPr>
      <w:r>
        <w:rPr>
          <w:rFonts w:ascii="Times New Roman" w:eastAsia="Times New Roman" w:hAnsi="Times New Roman" w:cs="Times New Roman"/>
          <w:spacing w:val="-6"/>
        </w:rPr>
        <w:t>563.2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-6"/>
        </w:rPr>
        <w:t>亿元。</w:t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90" w:line="184" w:lineRule="auto"/>
        <w:ind w:left="2321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2019-2025 </w:t>
      </w:r>
      <w:r>
        <w:rPr>
          <w:rFonts w:ascii="Microsoft YaHei" w:eastAsia="Microsoft YaHei" w:hAnsi="Microsoft YaHei" w:cs="Microsoft YaHei"/>
          <w:b/>
          <w:bCs/>
          <w:spacing w:val="-1"/>
          <w:sz w:val="21"/>
          <w:szCs w:val="21"/>
        </w:rPr>
        <w:t xml:space="preserve">年 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 xml:space="preserve">E </w:t>
      </w:r>
      <w:r>
        <w:rPr>
          <w:rFonts w:ascii="Microsoft YaHei" w:eastAsia="Microsoft YaHei" w:hAnsi="Microsoft YaHei" w:cs="Microsoft YaHei"/>
          <w:b/>
          <w:bCs/>
          <w:spacing w:val="-1"/>
          <w:sz w:val="21"/>
          <w:szCs w:val="21"/>
        </w:rPr>
        <w:t>江苏省智慧安防市场规模测算</w:t>
      </w:r>
    </w:p>
    <w:p>
      <w:pPr>
        <w:spacing w:before="225" w:line="4800" w:lineRule="exact"/>
        <w:ind w:firstLine="28"/>
      </w:pPr>
      <w:r>
        <w:rPr>
          <w:position w:val="-95"/>
        </w:rPr>
        <w:drawing>
          <wp:inline distT="0" distB="0" distL="0" distR="0">
            <wp:extent cx="5196827" cy="3047986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96827" cy="3047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0" w:lineRule="exact"/>
        <w:sectPr>
          <w:footerReference w:type="default" r:id="rId12"/>
          <w:pgSz w:w="11907" w:h="16839"/>
          <w:pgMar w:top="1427" w:right="1771" w:bottom="1432" w:left="1771" w:header="0" w:footer="1128" w:gutter="0"/>
          <w:pgNumType w:start="4"/>
          <w:cols w:space="708"/>
        </w:sectPr>
      </w:pPr>
    </w:p>
    <w:p>
      <w:pPr>
        <w:spacing w:before="57" w:line="221" w:lineRule="auto"/>
        <w:ind w:left="44"/>
        <w:outlineLvl w:val="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二、智慧城市行业背景介绍</w:t>
      </w:r>
    </w:p>
    <w:p>
      <w:pPr>
        <w:spacing w:line="401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609"/>
        <w:outlineLvl w:val="1"/>
        <w:rPr>
          <w:sz w:val="28"/>
          <w:szCs w:val="28"/>
        </w:rPr>
      </w:pPr>
      <w:r>
        <w:rPr>
          <w:spacing w:val="-1"/>
          <w:sz w:val="28"/>
          <w:szCs w:val="28"/>
          <w14:textOutline w14:w="5092">
            <w14:solidFill>
              <w14:srgbClr w14:val="000000"/>
            </w14:solidFill>
            <w14:prstDash w14:val="solid"/>
            <w14:miter w14:lim="10"/>
          </w14:textOutline>
        </w:rPr>
        <w:t>（一）智慧城市行业概况</w:t>
      </w: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78" w:line="360" w:lineRule="auto"/>
        <w:ind w:left="40" w:right="28" w:firstLine="483"/>
        <w:jc w:val="both"/>
      </w:pPr>
      <w:r>
        <w:rPr>
          <w:spacing w:val="-3"/>
        </w:rPr>
        <w:t>智慧城市是指运用物联网、云计算、大数据、地理</w:t>
      </w:r>
      <w:r>
        <w:rPr>
          <w:spacing w:val="-4"/>
        </w:rPr>
        <w:t>空间信息等新一代信息技</w:t>
      </w:r>
      <w:r>
        <w:t xml:space="preserve"> </w:t>
      </w:r>
      <w:r>
        <w:rPr>
          <w:spacing w:val="-3"/>
        </w:rPr>
        <w:t>术，促进城市规划、建设、管理和服务智慧化的新模式，其实质是利用</w:t>
      </w:r>
      <w:r>
        <w:rPr>
          <w:spacing w:val="-4"/>
        </w:rPr>
        <w:t>先进的信</w:t>
      </w:r>
      <w:r>
        <w:t xml:space="preserve"> </w:t>
      </w:r>
      <w:r>
        <w:rPr>
          <w:spacing w:val="-3"/>
        </w:rPr>
        <w:t>息技术，实现城市智慧式管理和运行。当前建设智慧城市已经成为了全</w:t>
      </w:r>
      <w:r>
        <w:rPr>
          <w:spacing w:val="-4"/>
        </w:rPr>
        <w:t>球主要国</w:t>
      </w:r>
      <w:r>
        <w:t xml:space="preserve"> </w:t>
      </w:r>
      <w:r>
        <w:rPr>
          <w:spacing w:val="-3"/>
        </w:rPr>
        <w:t>家和地区推进城镇化、提升城市治理水平、破解城市管理难题、提高公共服务质</w:t>
      </w:r>
    </w:p>
    <w:p>
      <w:pPr>
        <w:pStyle w:val="BodyText"/>
        <w:spacing w:line="219" w:lineRule="auto"/>
        <w:ind w:left="38"/>
      </w:pPr>
      <w:r>
        <w:rPr>
          <w:spacing w:val="-3"/>
        </w:rPr>
        <w:t>量、发展数字经济的主要解决路径。</w:t>
      </w:r>
    </w:p>
    <w:p>
      <w:pPr>
        <w:pStyle w:val="BodyText"/>
        <w:spacing w:before="182" w:line="360" w:lineRule="auto"/>
        <w:ind w:left="39" w:right="28" w:firstLine="484"/>
        <w:jc w:val="both"/>
      </w:pPr>
      <w:r>
        <w:rPr>
          <w:spacing w:val="-3"/>
        </w:rPr>
        <w:t>智慧城市具备以下四个方面的特征：①深层</w:t>
      </w:r>
      <w:r>
        <w:rPr>
          <w:spacing w:val="-4"/>
        </w:rPr>
        <w:t>感知：利用全面感知的智能传感</w:t>
      </w:r>
      <w:r>
        <w:t xml:space="preserve"> </w:t>
      </w:r>
      <w:r>
        <w:rPr>
          <w:spacing w:val="-3"/>
        </w:rPr>
        <w:t>设备，快速获取并分析城市系统信息；②广泛互联：利用通信网络工具将智能设</w:t>
      </w:r>
      <w:r>
        <w:t xml:space="preserve"> </w:t>
      </w:r>
      <w:r>
        <w:t xml:space="preserve">备连接起来以实现互联互通，实时监控；③高度共享：利用 </w:t>
      </w:r>
      <w:r>
        <w:rPr>
          <w:rFonts w:ascii="Times New Roman" w:eastAsia="Times New Roman" w:hAnsi="Times New Roman" w:cs="Times New Roman"/>
        </w:rPr>
        <w:t>SOA</w:t>
      </w:r>
      <w:r>
        <w:t>、云计算、大</w:t>
      </w:r>
      <w:r>
        <w:rPr>
          <w:spacing w:val="10"/>
        </w:rPr>
        <w:t xml:space="preserve"> </w:t>
      </w:r>
      <w:r>
        <w:rPr>
          <w:spacing w:val="-3"/>
        </w:rPr>
        <w:t>数据等技术手段，对信息资源进行汇集、存储、分类、整合、关联，实现数据多</w:t>
      </w:r>
      <w:r>
        <w:t xml:space="preserve"> </w:t>
      </w:r>
      <w:r>
        <w:rPr>
          <w:spacing w:val="-3"/>
        </w:rPr>
        <w:t>方共享以及指挥调度、视频监控、地理信息等平台的共享；④智慧应用：</w:t>
      </w:r>
      <w:r>
        <w:rPr>
          <w:spacing w:val="-4"/>
        </w:rPr>
        <w:t>融合信</w:t>
      </w:r>
    </w:p>
    <w:p>
      <w:pPr>
        <w:pStyle w:val="BodyText"/>
        <w:spacing w:line="219" w:lineRule="auto"/>
        <w:ind w:left="48"/>
      </w:pPr>
      <w:r>
        <w:rPr>
          <w:spacing w:val="-2"/>
        </w:rPr>
        <w:t>息技术，多领域建立智慧城市应用，提升市民生活幸福</w:t>
      </w:r>
      <w:r>
        <w:rPr>
          <w:spacing w:val="-3"/>
        </w:rPr>
        <w:t>感。</w:t>
      </w:r>
    </w:p>
    <w:p>
      <w:pPr>
        <w:spacing w:before="284" w:line="184" w:lineRule="auto"/>
        <w:ind w:left="3556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b/>
          <w:bCs/>
          <w:spacing w:val="-1"/>
          <w:sz w:val="21"/>
          <w:szCs w:val="21"/>
        </w:rPr>
        <w:t>智慧城市四大特征</w:t>
      </w:r>
    </w:p>
    <w:p>
      <w:pPr>
        <w:spacing w:before="211" w:line="3898" w:lineRule="exact"/>
        <w:ind w:firstLine="321"/>
      </w:pPr>
      <w:r>
        <w:rPr>
          <w:position w:val="-77"/>
        </w:rPr>
        <w:drawing>
          <wp:inline distT="0" distB="0" distL="0" distR="0">
            <wp:extent cx="4900917" cy="2475227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00917" cy="2475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0" w:line="220" w:lineRule="auto"/>
        <w:ind w:left="527"/>
        <w:outlineLvl w:val="2"/>
      </w:pPr>
      <w:r>
        <w:rPr>
          <w:rFonts w:ascii="Times New Roman" w:eastAsia="Times New Roman" w:hAnsi="Times New Roman" w:cs="Times New Roman"/>
          <w:b/>
          <w:bCs/>
          <w:spacing w:val="-3"/>
        </w:rPr>
        <w:t>1</w:t>
      </w:r>
      <w:r>
        <w:rPr>
          <w:rFonts w:ascii="Times New Roman" w:eastAsia="Times New Roman" w:hAnsi="Times New Roman" w:cs="Times New Roman"/>
          <w:b/>
          <w:bCs/>
          <w:spacing w:val="-29"/>
        </w:rPr>
        <w:t xml:space="preserve"> </w:t>
      </w:r>
      <w:r>
        <w:rPr>
          <w:spacing w:val="-3"/>
          <w14:textOutline w14:w="4356">
            <w14:solidFill>
              <w14:srgbClr w14:val="000000"/>
            </w14:solidFill>
            <w14:prstDash w14:val="solid"/>
            <w14:miter w14:lim="10"/>
          </w14:textOutline>
        </w:rPr>
        <w:t>、中国智慧城市发展历程</w:t>
      </w: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78" w:line="468" w:lineRule="exact"/>
        <w:ind w:right="28"/>
        <w:jc w:val="right"/>
        <w:sectPr>
          <w:footerReference w:type="default" r:id="rId14"/>
          <w:pgSz w:w="11907" w:h="16839"/>
          <w:pgMar w:top="1424" w:right="1771" w:bottom="1432" w:left="1771" w:header="0" w:footer="1129" w:gutter="0"/>
          <w:pgNumType w:start="5"/>
          <w:cols w:space="708"/>
        </w:sectPr>
      </w:pPr>
      <w:r>
        <w:rPr>
          <w:spacing w:val="-3"/>
          <w:position w:val="17"/>
        </w:rPr>
        <w:t>我国智慧城市的发展经历了探索实践期、规范调整期、战略</w:t>
      </w:r>
      <w:r>
        <w:rPr>
          <w:spacing w:val="-4"/>
          <w:position w:val="17"/>
        </w:rPr>
        <w:t>攻坚期、全面发</w:t>
      </w:r>
    </w:p>
    <w:p>
      <w:pPr>
        <w:pStyle w:val="BodyText"/>
        <w:spacing w:before="1" w:line="219" w:lineRule="auto"/>
        <w:ind w:left="40"/>
      </w:pPr>
      <w:r>
        <w:rPr>
          <w:spacing w:val="-9"/>
        </w:rPr>
        <w:t>展期四个时期：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8" w:line="220" w:lineRule="auto"/>
        <w:ind w:left="524"/>
      </w:pPr>
      <w:r>
        <w:rPr>
          <w:spacing w:val="-1"/>
        </w:rPr>
        <w:t>（</w:t>
      </w:r>
      <w:r>
        <w:rPr>
          <w:rFonts w:ascii="Times New Roman" w:eastAsia="Times New Roman" w:hAnsi="Times New Roman" w:cs="Times New Roman"/>
          <w:spacing w:val="-1"/>
        </w:rPr>
        <w:t>1</w:t>
      </w:r>
      <w:r>
        <w:rPr>
          <w:spacing w:val="-1"/>
        </w:rPr>
        <w:t>）探索实践期（</w:t>
      </w:r>
      <w:r>
        <w:rPr>
          <w:rFonts w:ascii="Times New Roman" w:eastAsia="Times New Roman" w:hAnsi="Times New Roman" w:cs="Times New Roman"/>
          <w:spacing w:val="-1"/>
        </w:rPr>
        <w:t xml:space="preserve">2008-2014 </w:t>
      </w:r>
      <w:r>
        <w:rPr>
          <w:spacing w:val="-1"/>
        </w:rPr>
        <w:t>年）</w:t>
      </w:r>
    </w:p>
    <w:p>
      <w:pPr>
        <w:spacing w:line="220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https://d.book118.com/148017110105006024</w:t>
        </w:r>
      </w:hyperlink>
    </w:p>
    <w:p>
      <w:pPr>
        <w:spacing w:line="220" w:lineRule="auto"/>
      </w:pPr>
    </w:p>
    <w:sectPr>
      <w:footerReference w:type="default" r:id="rId16"/>
      <w:type w:val="nextPage"/>
      <w:pgSz w:w="11907" w:h="16839"/>
      <w:pgMar w:top="1424" w:right="1771" w:bottom="1432" w:left="1771" w:header="0" w:footer="1129" w:gutter="0"/>
      <w:pgNumType w:start="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89" w:line="178" w:lineRule="auto"/>
      <w:ind w:left="4388"/>
      <w:rPr>
        <w:rFonts w:ascii="Times New Roman" w:eastAsia="Times New Roman" w:hAnsi="Times New Roman" w:cs="Times New Roman"/>
        <w:sz w:val="24"/>
        <w:szCs w:val="24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1124711</wp:posOffset>
          </wp:positionH>
          <wp:positionV relativeFrom="page">
            <wp:posOffset>9782429</wp:posOffset>
          </wp:positionV>
          <wp:extent cx="5311140" cy="6350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114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4"/>
        <w:szCs w:val="24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89" w:line="178" w:lineRule="auto"/>
      <w:ind w:left="4365"/>
      <w:rPr>
        <w:rFonts w:ascii="Times New Roman" w:eastAsia="Times New Roman" w:hAnsi="Times New Roman" w:cs="Times New Roman"/>
        <w:sz w:val="24"/>
        <w:szCs w:val="24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1124711</wp:posOffset>
          </wp:positionH>
          <wp:positionV relativeFrom="page">
            <wp:posOffset>9782429</wp:posOffset>
          </wp:positionV>
          <wp:extent cx="5311140" cy="6350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114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4"/>
        <w:szCs w:val="24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90" w:line="177" w:lineRule="auto"/>
      <w:ind w:left="4370"/>
      <w:rPr>
        <w:rFonts w:ascii="Times New Roman" w:eastAsia="Times New Roman" w:hAnsi="Times New Roman" w:cs="Times New Roman"/>
        <w:sz w:val="24"/>
        <w:szCs w:val="24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1124711</wp:posOffset>
          </wp:positionH>
          <wp:positionV relativeFrom="page">
            <wp:posOffset>9782429</wp:posOffset>
          </wp:positionV>
          <wp:extent cx="5311140" cy="6350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114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4"/>
        <w:szCs w:val="24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89" w:line="178" w:lineRule="auto"/>
      <w:ind w:left="4364"/>
      <w:rPr>
        <w:rFonts w:ascii="Times New Roman" w:eastAsia="Times New Roman" w:hAnsi="Times New Roman" w:cs="Times New Roman"/>
        <w:sz w:val="24"/>
        <w:szCs w:val="24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1124711</wp:posOffset>
          </wp:positionH>
          <wp:positionV relativeFrom="page">
            <wp:posOffset>9782429</wp:posOffset>
          </wp:positionV>
          <wp:extent cx="5311140" cy="6350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114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4"/>
        <w:szCs w:val="24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93" w:line="174" w:lineRule="auto"/>
      <w:ind w:left="4372"/>
      <w:rPr>
        <w:rFonts w:ascii="Times New Roman" w:eastAsia="Times New Roman" w:hAnsi="Times New Roman" w:cs="Times New Roman"/>
        <w:sz w:val="24"/>
        <w:szCs w:val="24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1124711</wp:posOffset>
          </wp:positionH>
          <wp:positionV relativeFrom="page">
            <wp:posOffset>9782429</wp:posOffset>
          </wp:positionV>
          <wp:extent cx="5311140" cy="6350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114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4"/>
        <w:szCs w:val="24"/>
      </w:rPr>
      <w:t>5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93" w:line="174" w:lineRule="auto"/>
      <w:ind w:left="4372"/>
      <w:rPr>
        <w:rFonts w:ascii="Times New Roman" w:eastAsia="Times New Roman" w:hAnsi="Times New Roman" w:cs="Times New Roman"/>
        <w:sz w:val="24"/>
        <w:szCs w:val="24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1124711</wp:posOffset>
          </wp:positionH>
          <wp:positionV relativeFrom="page">
            <wp:posOffset>9782429</wp:posOffset>
          </wp:positionV>
          <wp:extent cx="5311140" cy="6350"/>
          <wp:effectExtent l="0" t="0" r="0" b="0"/>
          <wp:wrapNone/>
          <wp:docPr id="2076155701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6155701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311140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4"/>
        <w:szCs w:val="24"/>
      </w:rPr>
      <w:t>5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footer" Target="footer4.xml" /><Relationship Id="rId13" Type="http://schemas.openxmlformats.org/officeDocument/2006/relationships/image" Target="media/image7.png" /><Relationship Id="rId14" Type="http://schemas.openxmlformats.org/officeDocument/2006/relationships/footer" Target="footer5.xml" /><Relationship Id="rId15" Type="http://schemas.openxmlformats.org/officeDocument/2006/relationships/hyperlink" Target="https://d.book118.com/148017110105006024" TargetMode="Externa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2.xml" /><Relationship Id="rId8" Type="http://schemas.openxmlformats.org/officeDocument/2006/relationships/image" Target="media/image4.png" /><Relationship Id="rId9" Type="http://schemas.openxmlformats.org/officeDocument/2006/relationships/footer" Target="footer3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revision>0</cp:revision>
  <dcterms:created xsi:type="dcterms:W3CDTF">2024-01-08T20:20:01Z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2024-01-08T20:52:54Z</vt:filetime>
  </property>
  <property fmtid="{D5CDD505-2E9C-101B-9397-08002B2CF9AE}" pid="3" name="CRO">
    <vt:lpwstr>wqlLaW5nc29mdCBQREYgdG8gV1BTIDk1</vt:lpwstr>
  </property>
</Properties>
</file>