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PlainText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asciiTheme="minorEastAsia" w:eastAsiaTheme="minorEastAsia" w:hAnsiTheme="minorEastAsia" w:cstheme="minorEastAsia" w:hint="eastAsia"/>
          <w:sz w:val="21"/>
          <w:u w:val="none"/>
          <w:lang w:val="en-US" w:eastAsia="zh-CN"/>
        </w:rPr>
      </w:pPr>
      <w:bookmarkStart w:id="0" w:name="_GoBack"/>
      <w:bookmarkEnd w:id="0"/>
      <w:r>
        <w:rPr>
          <w:rFonts w:asciiTheme="minorEastAsia" w:eastAsiaTheme="minorEastAsia" w:hAnsiTheme="minorEastAsia" w:cstheme="minorEastAsia" w:hint="eastAsia"/>
          <w:sz w:val="21"/>
          <w:szCs w:val="21"/>
          <w:u w:val="none"/>
          <w:lang w:val="en-US"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11087100</wp:posOffset>
            </wp:positionH>
            <wp:positionV relativeFrom="topMargin">
              <wp:posOffset>10782300</wp:posOffset>
            </wp:positionV>
            <wp:extent cx="317500" cy="279400"/>
            <wp:effectExtent l="0" t="0" r="6350" b="6350"/>
            <wp:wrapNone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41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jc w:val="center"/>
        <w:rPr>
          <w:rFonts w:asciiTheme="minorEastAsia" w:eastAsiaTheme="minorEastAsia" w:hAnsiTheme="minorEastAsia" w:cstheme="minorEastAsia" w:hint="eastAsia"/>
          <w:b/>
          <w:bCs/>
          <w:sz w:val="32"/>
          <w:szCs w:val="32"/>
          <w:u w:val="none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b/>
          <w:bCs/>
          <w:sz w:val="32"/>
          <w:szCs w:val="32"/>
          <w:u w:val="none"/>
          <w:lang w:val="en-US" w:eastAsia="zh-CN"/>
        </w:rPr>
        <w:t>专题</w:t>
      </w:r>
      <w:r>
        <w:rPr>
          <w:rFonts w:asciiTheme="minorEastAsia" w:hAnsiTheme="minorEastAsia" w:cstheme="minorEastAsia" w:hint="eastAsia"/>
          <w:b/>
          <w:bCs/>
          <w:sz w:val="32"/>
          <w:szCs w:val="32"/>
          <w:u w:val="none"/>
          <w:lang w:val="en-US" w:eastAsia="zh-CN"/>
        </w:rPr>
        <w:t>56</w:t>
      </w:r>
      <w:r>
        <w:rPr>
          <w:rFonts w:asciiTheme="minorEastAsia" w:eastAsiaTheme="minorEastAsia" w:hAnsiTheme="minorEastAsia" w:cstheme="minorEastAsia" w:hint="eastAsia"/>
          <w:b/>
          <w:bCs/>
          <w:sz w:val="32"/>
          <w:szCs w:val="32"/>
          <w:u w:val="none"/>
          <w:lang w:val="en-US" w:eastAsia="zh-CN"/>
        </w:rPr>
        <w:t xml:space="preserve">  电场中功能关系的综合</w:t>
      </w:r>
      <w:r>
        <w:rPr>
          <w:rFonts w:asciiTheme="minorEastAsia" w:hAnsiTheme="minorEastAsia" w:cstheme="minorEastAsia" w:hint="eastAsia"/>
          <w:b/>
          <w:bCs/>
          <w:sz w:val="32"/>
          <w:szCs w:val="32"/>
          <w:u w:val="none"/>
          <w:lang w:val="en-US" w:eastAsia="zh-CN"/>
        </w:rPr>
        <w:t>应用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544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</w:rPr>
      </w:pPr>
      <w:r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  <w:szCs w:val="21"/>
          <w:lang w:val="en-US" w:eastAsia="zh-CN"/>
        </w:rPr>
        <w:t>1.</w:t>
      </w:r>
      <w:r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  <w:szCs w:val="21"/>
        </w:rPr>
        <w:t>电场力做功的计算方法</w:t>
      </w:r>
      <w:r>
        <w:rPr>
          <w:rFonts w:asciiTheme="minorEastAsia" w:hAnsiTheme="minorEastAsia" w:cstheme="minorEastAsia" w:hint="eastAsia"/>
          <w:b/>
          <w:bCs/>
          <w:color w:val="00B050"/>
          <w:sz w:val="21"/>
          <w:szCs w:val="21"/>
          <w:lang w:eastAsia="zh-CN"/>
        </w:rPr>
        <w:t>：</w:t>
      </w:r>
      <w:r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  <w:szCs w:val="21"/>
        </w:rPr>
        <w:t>(1)(2)</w:t>
      </w:r>
      <w:r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  <w:szCs w:val="21"/>
          <w:lang w:eastAsia="zh-CN"/>
        </w:rPr>
        <w:t>只</w:t>
      </w:r>
      <w:r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  <w:szCs w:val="21"/>
        </w:rPr>
        <w:t>适用于</w:t>
      </w:r>
      <w:r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  <w:szCs w:val="21"/>
          <w:lang w:eastAsia="zh-CN"/>
        </w:rPr>
        <w:t>匀强</w:t>
      </w:r>
      <w:r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  <w:szCs w:val="21"/>
        </w:rPr>
        <w:t>电场(3)(4)(5)(6)适用于任何形式的静电场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544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</w:rPr>
      </w:pPr>
      <w:r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  <w:szCs w:val="21"/>
        </w:rPr>
        <w:t>(1)W＝FLcosα＝qELcosα（L是带电体的位移）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544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</w:rPr>
      </w:pPr>
      <w:r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  <w:szCs w:val="21"/>
        </w:rPr>
        <w:t>(2)W＝Fd＝qEd（d是两点沿着电场线的距离)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544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</w:rPr>
      </w:pPr>
      <w:r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  <w:szCs w:val="21"/>
        </w:rPr>
        <w:t>(3)W</w:t>
      </w:r>
      <w:r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  <w:szCs w:val="21"/>
          <w:vertAlign w:val="subscript"/>
        </w:rPr>
        <w:t>AB</w:t>
      </w:r>
      <w:r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  <w:szCs w:val="21"/>
        </w:rPr>
        <w:t>＝Ep</w:t>
      </w:r>
      <w:r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  <w:szCs w:val="21"/>
          <w:vertAlign w:val="subscript"/>
        </w:rPr>
        <w:t>A</w:t>
      </w:r>
      <w:r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  <w:szCs w:val="21"/>
        </w:rPr>
        <w:t>－Ep</w:t>
      </w:r>
      <w:r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  <w:szCs w:val="21"/>
          <w:vertAlign w:val="subscript"/>
        </w:rPr>
        <w:t>B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544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</w:rPr>
      </w:pPr>
      <w:r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  <w:szCs w:val="21"/>
        </w:rPr>
        <w:t>(4)W</w:t>
      </w:r>
      <w:r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  <w:szCs w:val="21"/>
          <w:vertAlign w:val="subscript"/>
        </w:rPr>
        <w:t>AB</w:t>
      </w:r>
      <w:r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  <w:szCs w:val="21"/>
        </w:rPr>
        <w:t>＝qU</w:t>
      </w:r>
      <w:r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  <w:szCs w:val="21"/>
          <w:vertAlign w:val="subscript"/>
        </w:rPr>
        <w:t>AB</w:t>
      </w:r>
      <w:r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  <w:szCs w:val="21"/>
        </w:rPr>
        <w:t>＝q(φ</w:t>
      </w:r>
      <w:r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  <w:szCs w:val="21"/>
          <w:vertAlign w:val="subscript"/>
        </w:rPr>
        <w:t>A</w:t>
      </w:r>
      <w:r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  <w:szCs w:val="21"/>
        </w:rPr>
        <w:t>－φ</w:t>
      </w:r>
      <w:r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  <w:szCs w:val="21"/>
          <w:vertAlign w:val="subscript"/>
        </w:rPr>
        <w:t>B</w:t>
      </w:r>
      <w:r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  <w:szCs w:val="21"/>
        </w:rPr>
        <w:t>)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544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</w:rPr>
      </w:pPr>
      <w:r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  <w:szCs w:val="21"/>
        </w:rPr>
        <w:t>(5)W＝</w:t>
      </w:r>
      <w:r>
        <w:rPr>
          <w:rFonts w:ascii="黑体" w:eastAsia="黑体" w:hAnsi="黑体" w:cs="黑体" w:hint="eastAsia"/>
          <w:b/>
          <w:bCs/>
          <w:color w:val="00B050"/>
          <w:sz w:val="21"/>
          <w:szCs w:val="21"/>
        </w:rPr>
        <w:t>±</w:t>
      </w:r>
      <w:r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  <w:szCs w:val="21"/>
        </w:rPr>
        <w:t xml:space="preserve">qU                       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544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</w:rPr>
      </w:pPr>
      <w:r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  <w:szCs w:val="21"/>
        </w:rPr>
        <w:t>(6)W</w:t>
      </w:r>
      <w:r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  <w:szCs w:val="21"/>
          <w:vertAlign w:val="subscript"/>
        </w:rPr>
        <w:t>电场力</w:t>
      </w:r>
      <w:r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  <w:szCs w:val="21"/>
        </w:rPr>
        <w:t>＋W</w:t>
      </w:r>
      <w:r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  <w:szCs w:val="21"/>
          <w:vertAlign w:val="subscript"/>
        </w:rPr>
        <w:t>其他力</w:t>
      </w:r>
      <w:r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  <w:szCs w:val="21"/>
        </w:rPr>
        <w:t>＝ΔE</w:t>
      </w:r>
      <w:r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  <w:szCs w:val="21"/>
          <w:vertAlign w:val="subscript"/>
        </w:rPr>
        <w:t>k.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544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</w:rPr>
      </w:pPr>
      <w:r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  <w:szCs w:val="21"/>
          <w:lang w:val="en-US" w:eastAsia="zh-CN"/>
        </w:rPr>
        <w:t>2.</w:t>
      </w:r>
      <w:r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  <w:szCs w:val="21"/>
        </w:rPr>
        <w:t>电场中的功能关系</w:t>
      </w:r>
      <w:r>
        <w:rPr>
          <w:rFonts w:asciiTheme="minorEastAsia" w:hAnsiTheme="minorEastAsia" w:cstheme="minorEastAsia" w:hint="eastAsia"/>
          <w:b/>
          <w:bCs/>
          <w:color w:val="00B050"/>
          <w:sz w:val="21"/>
          <w:szCs w:val="21"/>
          <w:lang w:eastAsia="zh-CN"/>
        </w:rPr>
        <w:t>：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544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</w:rPr>
      </w:pPr>
      <w:r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  <w:szCs w:val="21"/>
        </w:rPr>
        <w:t>(1) 重力做的功等于重力势能的减小量．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544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</w:rPr>
      </w:pPr>
      <w:r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  <w:szCs w:val="21"/>
        </w:rPr>
        <w:t>(2) 电场力做的功等于电势能的减小量．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544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</w:rPr>
      </w:pPr>
      <w:r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  <w:szCs w:val="21"/>
        </w:rPr>
        <w:t>(3) 合力做的功等于动能的变化量．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544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</w:rPr>
      </w:pPr>
      <w:r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  <w:szCs w:val="21"/>
        </w:rPr>
        <w:t>(4) 若只有电场力做功，电势能与动能之和保持不变．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544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</w:rPr>
      </w:pPr>
      <w:r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  <w:szCs w:val="21"/>
        </w:rPr>
        <w:t>(5) 若只有电场力和重力做功，电势能、重力势能、动能之和保持不变．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544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</w:rPr>
      </w:pPr>
      <w:r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  <w:szCs w:val="21"/>
        </w:rPr>
        <w:t>(6) 除重力、系统内弹力外，其他各力对物体所做的功等于物体机械能的变化．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rPr>
          <w:rFonts w:asciiTheme="minorEastAsia" w:eastAsiaTheme="minorEastAsia" w:hAnsiTheme="minorEastAsia" w:cstheme="minorEastAsia" w:hint="eastAsia"/>
          <w:b/>
          <w:bCs w:val="0"/>
          <w:color w:val="0000FF"/>
          <w:kern w:val="2"/>
          <w:sz w:val="21"/>
          <w:u w:val="none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Theme="minorEastAsia" w:hAnsiTheme="minorEastAsia" w:cstheme="minorEastAsia" w:hint="eastAsia"/>
          <w:color w:val="000000"/>
          <w:szCs w:val="21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color w:val="000000"/>
          <w:sz w:val="21"/>
          <w:szCs w:val="21"/>
          <w:lang w:val="en-US" w:eastAsia="zh-CN"/>
        </w:rPr>
        <w:t>1.</w:t>
      </w:r>
      <w:r>
        <w:rPr>
          <w:rFonts w:asciiTheme="minorEastAsia" w:eastAsiaTheme="minorEastAsia" w:hAnsiTheme="minorEastAsia" w:cstheme="minorEastAsia" w:hint="eastAsia"/>
          <w:b w:val="0"/>
          <w:bCs w:val="0"/>
          <w:color w:val="000000"/>
          <w:sz w:val="21"/>
          <w:szCs w:val="21"/>
        </w:rPr>
        <w:t>（</w:t>
      </w:r>
      <w:r>
        <w:rPr>
          <w:rFonts w:asciiTheme="minorEastAsia" w:eastAsiaTheme="minorEastAsia" w:hAnsiTheme="minorEastAsia" w:cstheme="minorEastAsia" w:hint="eastAsia"/>
          <w:b w:val="0"/>
          <w:bCs w:val="0"/>
          <w:color w:val="auto"/>
          <w:sz w:val="21"/>
          <w:szCs w:val="21"/>
        </w:rPr>
        <w:t>2022</w:t>
      </w:r>
      <w:r>
        <w:rPr>
          <w:rFonts w:asciiTheme="minorEastAsia" w:eastAsiaTheme="minorEastAsia" w:hAnsiTheme="minorEastAsia" w:cstheme="minorEastAsia" w:hint="eastAsia"/>
          <w:b w:val="0"/>
          <w:bCs w:val="0"/>
          <w:color w:val="auto"/>
          <w:sz w:val="21"/>
          <w:szCs w:val="21"/>
          <w:lang w:eastAsia="zh-CN"/>
        </w:rPr>
        <w:t>安阳</w:t>
      </w:r>
      <w:r>
        <w:rPr>
          <w:rFonts w:asciiTheme="minorEastAsia" w:eastAsiaTheme="minorEastAsia" w:hAnsiTheme="minorEastAsia" w:cstheme="minorEastAsia" w:hint="eastAsia"/>
          <w:b w:val="0"/>
          <w:bCs w:val="0"/>
          <w:color w:val="auto"/>
          <w:sz w:val="21"/>
          <w:szCs w:val="21"/>
        </w:rPr>
        <w:t>一模</w:t>
      </w:r>
      <w:r>
        <w:rPr>
          <w:rFonts w:asciiTheme="minorEastAsia" w:eastAsiaTheme="minorEastAsia" w:hAnsiTheme="minorEastAsia" w:cstheme="minorEastAsia" w:hint="eastAsia"/>
          <w:b w:val="0"/>
          <w:bCs w:val="0"/>
          <w:color w:val="000000"/>
          <w:sz w:val="21"/>
          <w:szCs w:val="21"/>
        </w:rPr>
        <w:t>）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(多选)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如图所示，在水平向右的匀强电场中，质量为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m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可看成质点的带电小球以初速度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v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从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M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点竖直向上抛出通过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N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点时，速度大小为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v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，方向与电场方向相反。若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MN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连线与水平方向夹角为45°，则小球从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M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点运动到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N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点的过程中（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Theme="minorEastAsia" w:hAnsiTheme="minorEastAsia" w:cstheme="minorEastAsia" w:hint="eastAsia"/>
          <w:color w:val="000000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drawing>
          <wp:inline distT="0" distB="0" distL="114300" distR="114300">
            <wp:extent cx="1311910" cy="903605"/>
            <wp:effectExtent l="0" t="0" r="2540" b="1079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11910" cy="90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tabs>
          <w:tab w:val="left" w:pos="487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Theme="minorEastAsia" w:hAnsiTheme="minorEastAsia" w:cstheme="minorEastAsia" w:hint="eastAsia"/>
          <w:color w:val="000000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A. 小球的动能先减小再增大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ab/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B. 小球的机械能先增大再减小</w:t>
      </w:r>
    </w:p>
    <w:p>
      <w:pPr>
        <w:keepNext w:val="0"/>
        <w:keepLines w:val="0"/>
        <w:pageBreakBefore w:val="0"/>
        <w:widowControl w:val="0"/>
        <w:tabs>
          <w:tab w:val="left" w:pos="487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Theme="minorEastAsia" w:hAnsiTheme="minorEastAsia" w:cstheme="minorEastAsia" w:hint="eastAsia"/>
          <w:color w:val="000000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C. 小球的重力大小一定等于电场力大小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ab/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D. 小球的电势能一定逐渐增大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41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both"/>
        <w:rPr>
          <w:rFonts w:asciiTheme="minorEastAsia" w:eastAsiaTheme="minorEastAsia" w:hAnsiTheme="minorEastAsia" w:cstheme="minorEastAsia" w:hint="eastAsia"/>
          <w:sz w:val="21"/>
        </w:rPr>
      </w:pPr>
      <w:r>
        <w:rPr>
          <w:rFonts w:asciiTheme="minorEastAsia" w:hAnsiTheme="minorEastAsia" w:cstheme="minorEastAsia" w:hint="eastAsia"/>
          <w:sz w:val="21"/>
          <w:szCs w:val="21"/>
          <w:lang w:val="en-US" w:eastAsia="zh-CN"/>
        </w:rPr>
        <w:t>2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．(多选)一带电粒子沿着图中曲线JK穿过一匀强电场，a、b、c、d为该电场的等势面，其中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φ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  <w:vertAlign w:val="subscript"/>
        </w:rPr>
        <w:t>a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&lt;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φ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  <w:vertAlign w:val="subscript"/>
        </w:rPr>
        <w:t>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&lt;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φ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  <w:vertAlign w:val="subscript"/>
        </w:rPr>
        <w:t>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&lt;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φ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  <w:vertAlign w:val="subscript"/>
        </w:rPr>
        <w:t>d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，若不计粒子受的重力，可以确定（　　）</w:t>
      </w:r>
    </w:p>
    <w:p>
      <w:pPr>
        <w:keepNext w:val="0"/>
        <w:keepLines w:val="0"/>
        <w:pageBreakBefore w:val="0"/>
        <w:widowControl w:val="0"/>
        <w:shd w:val="clear" w:color="auto" w:fill="FFFFFF" w:themeFill="background1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center"/>
        <w:rPr>
          <w:rFonts w:asciiTheme="minorEastAsia" w:hAnsiTheme="minorEastAsia" w:cstheme="minorEastAsia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 w:themeFill="background1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center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A．该粒子带正电</w:t>
      </w: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            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B．该粒子带负电</w:t>
      </w:r>
    </w:p>
    <w:p>
      <w:pPr>
        <w:keepNext w:val="0"/>
        <w:keepLines w:val="0"/>
        <w:pageBreakBefore w:val="0"/>
        <w:widowControl w:val="0"/>
        <w:shd w:val="clear" w:color="auto" w:fill="FFFFFF" w:themeFill="background1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center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C．从J到K粒子的电势能增加</w:t>
      </w: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 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D．粒子从J到K运动过程中的动能与电势能之和不变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Theme="minorEastAsia" w:hAnsiTheme="minorEastAsia" w:cstheme="minorEastAsia" w:hint="eastAsia"/>
          <w:szCs w:val="21"/>
        </w:rPr>
        <w:sectPr>
          <w:pgSz w:w="11906" w:h="16838"/>
          <w:pgMar w:top="1417" w:right="1077" w:bottom="1417" w:left="1077" w:header="850" w:footer="992" w:gutter="0"/>
          <w:cols w:num="1" w:space="425"/>
          <w:docGrid w:type="lines" w:linePitch="318" w:charSpace="409"/>
        </w:sectPr>
      </w:pPr>
      <w:r>
        <w:rPr>
          <w:rFonts w:asciiTheme="minorEastAsia" w:hAnsiTheme="minorEastAsia" w:cstheme="minorEastAsia" w:hint="eastAsia"/>
          <w:sz w:val="21"/>
          <w:szCs w:val="21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．如图所示，平行金属板A、B水平正对放置，分别带等量异号电荷．一带电微粒水平射入板间，在重力和电场力共同作用下运动，轨迹如图中虚线所示，那么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drawing>
          <wp:inline distT="0" distB="0" distL="114300" distR="114300">
            <wp:extent cx="1219200" cy="798830"/>
            <wp:effectExtent l="0" t="0" r="0" b="1270"/>
            <wp:docPr id="100082" name="图片 100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2" name="图片 10008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798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A．若微粒带正电荷，则A板一定带正电荷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B．微粒从M点运动到N点电势能一定增加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C．微粒从M点运动到N点动能一定增加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D．微粒从M点运动到N点机械能一定增加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b w:val="0"/>
          <w:bCs/>
          <w:sz w:val="21"/>
          <w:szCs w:val="21"/>
          <w:lang w:val="en-US" w:eastAsia="zh-CN"/>
        </w:rPr>
        <w:t>4.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(多选)如图所示为一匀强电场，某带电粒子从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点运动到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点．在这一运动过程中克服重力做的功为2.0 J，电场力做的功为1.5 J．则下列说法正确的是(　　)．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4097655</wp:posOffset>
            </wp:positionH>
            <wp:positionV relativeFrom="paragraph">
              <wp:posOffset>11430</wp:posOffset>
            </wp:positionV>
            <wp:extent cx="1498600" cy="862965"/>
            <wp:effectExtent l="0" t="0" r="6350" b="13335"/>
            <wp:wrapSquare wrapText="bothSides"/>
            <wp:docPr id="5" name="图片 5" descr="W87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W873.TIF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8600" cy="862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A．粒子带负电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B．粒子在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点的电势能比在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点少1.5 J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C．粒子在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点的动能比在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点多0.5 J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D．粒子在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点的机械能比在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点少1.5 J</w:t>
      </w:r>
    </w:p>
    <w:p>
      <w:pPr>
        <w:keepNext w:val="0"/>
        <w:keepLines w:val="0"/>
        <w:pageBreakBefore w:val="0"/>
        <w:widowControl w:val="0"/>
        <w:shd w:val="clear" w:color="auto" w:fill="FFFFFF" w:themeFill="background1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center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 w:val="21"/>
          <w:szCs w:val="21"/>
          <w:lang w:val="en-US" w:eastAsia="zh-CN"/>
        </w:rPr>
        <w:t>5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．(多选)图中虚线为一组间距相等的同心圆，圆心处固定一带正电的点电荷．一带电粒子以一定初速度射入电场，实线为粒子仅在电场力作用下的运动轨迹，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a、b、c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三点是实线与虚线的交点．则该粒子（          ）</w:t>
      </w:r>
    </w:p>
    <w:p>
      <w:pPr>
        <w:keepNext w:val="0"/>
        <w:keepLines w:val="0"/>
        <w:pageBreakBefore w:val="0"/>
        <w:widowControl w:val="0"/>
        <w:shd w:val="clear" w:color="auto" w:fill="FFFFFF" w:themeFill="background1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center"/>
        <w:rPr>
          <w:rFonts w:asciiTheme="minorEastAsia" w:hAnsiTheme="minorEastAsia" w:cstheme="minorEastAsia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 w:themeFill="background1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center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A．带正电</w:t>
      </w:r>
    </w:p>
    <w:p>
      <w:pPr>
        <w:keepNext w:val="0"/>
        <w:keepLines w:val="0"/>
        <w:pageBreakBefore w:val="0"/>
        <w:widowControl w:val="0"/>
        <w:shd w:val="clear" w:color="auto" w:fill="FFFFFF" w:themeFill="background1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center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B．在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点的电势能大于在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点的电势能</w:t>
      </w:r>
    </w:p>
    <w:p>
      <w:pPr>
        <w:keepNext w:val="0"/>
        <w:keepLines w:val="0"/>
        <w:pageBreakBefore w:val="0"/>
        <w:widowControl w:val="0"/>
        <w:shd w:val="clear" w:color="auto" w:fill="FFFFFF" w:themeFill="background1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center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C．由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点到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点的电势差等于由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点到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点的电势差</w:t>
      </w:r>
    </w:p>
    <w:p>
      <w:pPr>
        <w:keepNext w:val="0"/>
        <w:keepLines w:val="0"/>
        <w:pageBreakBefore w:val="0"/>
        <w:widowControl w:val="0"/>
        <w:shd w:val="clear" w:color="auto" w:fill="FFFFFF" w:themeFill="background1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center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D．由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点到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点的动能变化大于由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点到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点的动能变化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center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 w:val="21"/>
          <w:szCs w:val="21"/>
          <w:lang w:val="en-US" w:eastAsia="zh-CN"/>
        </w:rPr>
        <w:t>6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．（2022·黑龙江哈尔滨·模拟预测）(多选)如图所示，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是圆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O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的一条水平直径，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BD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是竖直直径，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M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点是圆上的点，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OM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连线与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OC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的夹角为60° ，该圆处于方向与圆面平行的匀强电场中。将电量为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q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q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&gt;0）、质量为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m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的粒子从圆心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O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点以相同的动能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E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  <w:vertAlign w:val="subscript"/>
        </w:rPr>
        <w:t>k0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射出，射出方向不同且都与圆共面，粒子可以经过圆周上的所有点。其中经过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点时粒子的动能最小且为</w:t>
      </w:r>
      <m:oMath>
        <m:f>
          <m:fPr>
            <m:ctrlPr>
              <w:rPr>
                <w:rFonts w:ascii="Cambria Math" w:hAnsi="Cambria Math" w:eastAsiaTheme="minorEastAsia" w:cstheme="minorEastAsia" w:hint="eastAsia"/>
                <w:sz w:val="21"/>
                <w:szCs w:val="21"/>
              </w:rPr>
            </m:ctrlPr>
          </m:fPr>
          <m:num>
            <m:ctrlPr>
              <w:rPr>
                <w:rFonts w:ascii="Cambria Math" w:hAnsi="Cambria Math" w:eastAsiaTheme="minorEastAsia" w:cstheme="minorEastAsia" w:hint="eastAsia"/>
                <w:sz w:val="21"/>
                <w:szCs w:val="21"/>
              </w:rPr>
            </m:ctrlPr>
            <m:sSub>
              <m:sSubPr>
                <m:ctrlPr>
                  <w:rPr>
                    <w:rFonts w:ascii="Cambria Math" w:hAnsi="Cambria Math" w:eastAsiaTheme="minorEastAsia" w:cstheme="minorEastAsia" w:hint="eastAsia"/>
                    <w:sz w:val="21"/>
                    <w:szCs w:val="21"/>
                  </w:rPr>
                </m:ctrlPr>
              </m:sSubPr>
              <m:e>
                <m:ctrlPr>
                  <w:rPr>
                    <w:rFonts w:ascii="Cambria Math" w:hAnsi="Cambria Math" w:eastAsiaTheme="minorEastAsia" w:cstheme="minorEastAsia" w:hint="eastAsia"/>
                    <w:sz w:val="21"/>
                    <w:szCs w:val="21"/>
                  </w:rPr>
                </m:ctrlPr>
                <m:r>
                  <w:rPr>
                    <w:rFonts w:ascii="Cambria Math" w:hAnsi="Cambria Math" w:eastAsiaTheme="minorEastAsia" w:cstheme="minorEastAsia" w:hint="eastAsia"/>
                    <w:sz w:val="21"/>
                    <w:szCs w:val="21"/>
                  </w:rPr>
                  <m:t>E</m:t>
                </m:r>
              </m:e>
              <m:sub>
                <m:ctrlPr>
                  <w:rPr>
                    <w:rFonts w:ascii="Cambria Math" w:hAnsi="Cambria Math" w:eastAsiaTheme="minorEastAsia" w:cstheme="minorEastAsia" w:hint="eastAsia"/>
                    <w:sz w:val="21"/>
                    <w:szCs w:val="21"/>
                  </w:rPr>
                </m:ctrlPr>
                <m:r>
                  <m:rPr>
                    <m:nor/>
                    <m:sty m:val="p"/>
                  </m:rPr>
                  <w:rPr>
                    <w:rFonts w:ascii="Cambria Math" w:hAnsi="Cambria Math" w:eastAsiaTheme="minorEastAsia" w:cstheme="minorEastAsia" w:hint="eastAsia"/>
                    <w:b w:val="0"/>
                    <w:i w:val="0"/>
                    <w:sz w:val="21"/>
                    <w:szCs w:val="21"/>
                  </w:rPr>
                  <m:t>k</m:t>
                </m:r>
                <m:r>
                  <w:rPr>
                    <w:rFonts w:ascii="Cambria Math" w:hAnsi="Cambria Math" w:eastAsiaTheme="minorEastAsia" w:cstheme="minorEastAsia" w:hint="eastAsia"/>
                    <w:sz w:val="21"/>
                    <w:szCs w:val="21"/>
                  </w:rPr>
                  <m:t>0</m:t>
                </m:r>
              </m:sub>
            </m:sSub>
          </m:num>
          <m:den>
            <m:ctrlPr>
              <w:rPr>
                <w:rFonts w:ascii="Cambria Math" w:hAnsi="Cambria Math" w:eastAsiaTheme="minorEastAsia" w:cstheme="minorEastAsia" w:hint="eastAsia"/>
                <w:sz w:val="21"/>
                <w:szCs w:val="21"/>
              </w:rPr>
            </m:ctrlPr>
            <m:r>
              <w:rPr>
                <w:rFonts w:ascii="Cambria Math" w:hAnsi="Cambria Math" w:eastAsiaTheme="minorEastAsia" w:cstheme="minorEastAsia" w:hint="eastAsia"/>
                <w:sz w:val="21"/>
                <w:szCs w:val="21"/>
              </w:rPr>
              <m:t>2</m:t>
            </m:r>
          </m:den>
        </m:f>
      </m:oMath>
      <w:r>
        <w:rPr>
          <w:rFonts w:asciiTheme="minorEastAsia" w:eastAsiaTheme="minorEastAsia" w:hAnsiTheme="minorEastAsia" w:cstheme="minorEastAsia" w:hint="eastAsia"/>
          <w:sz w:val="21"/>
          <w:szCs w:val="21"/>
        </w:rPr>
        <w:t>。已知圆的半径为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R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，重力加速度的大小为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g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，匀强电场的场强</w:t>
      </w:r>
      <m:oMath>
        <m:r>
          <w:rPr>
            <w:rFonts w:ascii="Cambria Math" w:hAnsi="Cambria Math" w:eastAsiaTheme="minorEastAsia" w:cstheme="minorEastAsia" w:hint="eastAsia"/>
            <w:sz w:val="21"/>
            <w:szCs w:val="21"/>
          </w:rPr>
          <m:t>E</m:t>
        </m:r>
        <m:r>
          <m:rPr>
            <m:nor/>
            <m:sty m:val="p"/>
          </m:rPr>
          <w:rPr>
            <w:rFonts w:ascii="Cambria Math" w:hAnsi="Cambria Math" w:eastAsiaTheme="minorEastAsia" w:cstheme="minorEastAsia" w:hint="eastAsia"/>
            <w:b w:val="0"/>
            <w:i w:val="0"/>
            <w:sz w:val="21"/>
            <w:szCs w:val="21"/>
          </w:rPr>
          <m:t>=</m:t>
        </m:r>
        <m:f>
          <m:fPr>
            <m:ctrlPr>
              <w:rPr>
                <w:rFonts w:ascii="Cambria Math" w:hAnsi="Cambria Math" w:eastAsiaTheme="minorEastAsia" w:cstheme="minorEastAsia" w:hint="eastAsia"/>
                <w:sz w:val="21"/>
                <w:szCs w:val="21"/>
              </w:rPr>
            </m:ctrlPr>
          </m:fPr>
          <m:num>
            <m:ctrlPr>
              <w:rPr>
                <w:rFonts w:ascii="Cambria Math" w:hAnsi="Cambria Math" w:eastAsiaTheme="minorEastAsia" w:cstheme="minorEastAsia" w:hint="eastAsia"/>
                <w:sz w:val="21"/>
                <w:szCs w:val="21"/>
              </w:rPr>
            </m:ctrlPr>
            <m:r>
              <w:rPr>
                <w:rFonts w:ascii="Cambria Math" w:hAnsi="Cambria Math" w:eastAsiaTheme="minorEastAsia" w:cstheme="minorEastAsia" w:hint="eastAsia"/>
                <w:sz w:val="21"/>
                <w:szCs w:val="21"/>
              </w:rPr>
              <m:t>2mg</m:t>
            </m:r>
          </m:num>
          <m:den>
            <m:ctrlPr>
              <w:rPr>
                <w:rFonts w:ascii="Cambria Math" w:hAnsi="Cambria Math" w:eastAsiaTheme="minorEastAsia" w:cstheme="minorEastAsia" w:hint="eastAsia"/>
                <w:sz w:val="21"/>
                <w:szCs w:val="21"/>
              </w:rPr>
            </m:ctrlPr>
            <m:r>
              <w:rPr>
                <w:rFonts w:ascii="Cambria Math" w:hAnsi="Cambria Math" w:eastAsiaTheme="minorEastAsia" w:cstheme="minorEastAsia" w:hint="eastAsia"/>
                <w:sz w:val="21"/>
                <w:szCs w:val="21"/>
              </w:rPr>
              <m:t>q</m:t>
            </m:r>
          </m:den>
        </m:f>
      </m:oMath>
      <w:r>
        <w:rPr>
          <w:rFonts w:asciiTheme="minorEastAsia" w:eastAsiaTheme="minorEastAsia" w:hAnsiTheme="minorEastAsia" w:cstheme="minorEastAsia" w:hint="eastAsia"/>
          <w:sz w:val="21"/>
          <w:szCs w:val="21"/>
        </w:rPr>
        <w:t>。那么（　　）</w:t>
      </w:r>
      <w:r>
        <w:rPr>
          <w:rFonts w:asciiTheme="minorEastAsia" w:hAnsiTheme="minorEastAsia" w:cstheme="minorEastAsia" w:hint="eastAsia"/>
          <w:szCs w:val="21"/>
        </w:rPr>
        <w:br/>
      </w:r>
      <w:r>
        <w:rPr>
          <w:rFonts w:asciiTheme="minorEastAsia" w:hAnsiTheme="minorEastAsia" w:cstheme="minorEastAsia" w:hint="eastAsia"/>
          <w:szCs w:val="21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https://d.book118.com/148060025012006046</w:t>
        </w:r>
      </w:hyperlink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center"/>
        <w:rPr>
          <w:rFonts w:asciiTheme="minorEastAsia" w:hAnsiTheme="minorEastAsia" w:cstheme="minorEastAsia" w:hint="eastAsia"/>
          <w:szCs w:val="21"/>
        </w:rPr>
      </w:pPr>
    </w:p>
    <w:sectPr>
      <w:type w:val="nextPage"/>
      <w:pgSz w:w="11906" w:h="16838"/>
      <w:pgMar w:top="1417" w:right="1077" w:bottom="1417" w:left="1077" w:header="850" w:footer="992" w:gutter="0"/>
      <w:pgNumType w:start="2"/>
      <w:cols w:num="1" w:space="425"/>
      <w:titlePg w:val="0"/>
      <w:docGrid w:type="lines" w:linePitch="318" w:charSpace="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roman"/>
    <w:pitch w:val="default"/>
    <w:sig w:usb0="E0002EFF" w:usb1="C000785B" w:usb2="00000009" w:usb3="00000000" w:csb0="4004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AAC88257"/>
    <w:multiLevelType w:val="singleLevel"/>
    <w:tmpl w:val="AAC88257"/>
    <w:lvl w:ilvl="0">
      <w:start w:val="2"/>
      <w:numFmt w:val="decimal"/>
      <w:suff w:val="nothing"/>
      <w:lvlText w:val="（%1）"/>
      <w:lvlJc w:val="left"/>
    </w:lvl>
  </w:abstractNum>
  <w:abstractNum w:abstractNumId="1">
    <w:nsid w:val="71C61B82"/>
    <w:multiLevelType w:val="singleLevel"/>
    <w:tmpl w:val="71C61B82"/>
    <w:lvl w:ilvl="0">
      <w:start w:val="2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removePersonalInformation/>
  <w:defaultTabStop w:val="420"/>
  <w:drawingGridHorizontalSpacing w:val="106"/>
  <w:drawingGridVerticalSpacing w:val="159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227"/>
    <w:rsid w:val="000118CA"/>
    <w:rsid w:val="0001360E"/>
    <w:rsid w:val="00041561"/>
    <w:rsid w:val="00051F46"/>
    <w:rsid w:val="00086E71"/>
    <w:rsid w:val="000A16CF"/>
    <w:rsid w:val="000C122E"/>
    <w:rsid w:val="000C2F75"/>
    <w:rsid w:val="000D38AA"/>
    <w:rsid w:val="000D7007"/>
    <w:rsid w:val="000E4A0D"/>
    <w:rsid w:val="00146953"/>
    <w:rsid w:val="001D4657"/>
    <w:rsid w:val="001D66EB"/>
    <w:rsid w:val="001E5426"/>
    <w:rsid w:val="001F3490"/>
    <w:rsid w:val="002419FC"/>
    <w:rsid w:val="0027067E"/>
    <w:rsid w:val="002771D2"/>
    <w:rsid w:val="002E56FE"/>
    <w:rsid w:val="00302400"/>
    <w:rsid w:val="00363227"/>
    <w:rsid w:val="0037342B"/>
    <w:rsid w:val="003C5C81"/>
    <w:rsid w:val="0040402F"/>
    <w:rsid w:val="004151FC"/>
    <w:rsid w:val="004177FB"/>
    <w:rsid w:val="0047331D"/>
    <w:rsid w:val="00481283"/>
    <w:rsid w:val="00486104"/>
    <w:rsid w:val="0051447A"/>
    <w:rsid w:val="005340C6"/>
    <w:rsid w:val="0054712E"/>
    <w:rsid w:val="0056487D"/>
    <w:rsid w:val="0059489A"/>
    <w:rsid w:val="005E09A7"/>
    <w:rsid w:val="00651B63"/>
    <w:rsid w:val="00656815"/>
    <w:rsid w:val="006B2D97"/>
    <w:rsid w:val="006E1094"/>
    <w:rsid w:val="006E406D"/>
    <w:rsid w:val="007B4AEB"/>
    <w:rsid w:val="007D28F4"/>
    <w:rsid w:val="0085328A"/>
    <w:rsid w:val="009035F2"/>
    <w:rsid w:val="00913910"/>
    <w:rsid w:val="00A46095"/>
    <w:rsid w:val="00A610B7"/>
    <w:rsid w:val="00AF2426"/>
    <w:rsid w:val="00B205AE"/>
    <w:rsid w:val="00B75C11"/>
    <w:rsid w:val="00B84DD0"/>
    <w:rsid w:val="00BF2518"/>
    <w:rsid w:val="00BF4AD7"/>
    <w:rsid w:val="00C02FC6"/>
    <w:rsid w:val="00C2613D"/>
    <w:rsid w:val="00C50D8B"/>
    <w:rsid w:val="00CD0775"/>
    <w:rsid w:val="00D43CCC"/>
    <w:rsid w:val="00D534C8"/>
    <w:rsid w:val="00DD0D58"/>
    <w:rsid w:val="00E241FF"/>
    <w:rsid w:val="00F419B9"/>
    <w:rsid w:val="00FB4C24"/>
    <w:rsid w:val="01D278BE"/>
    <w:rsid w:val="037D56E7"/>
    <w:rsid w:val="03BD067F"/>
    <w:rsid w:val="03FB175D"/>
    <w:rsid w:val="04201863"/>
    <w:rsid w:val="081E74A1"/>
    <w:rsid w:val="0A775C52"/>
    <w:rsid w:val="0C7C5DB3"/>
    <w:rsid w:val="0D3A71C8"/>
    <w:rsid w:val="0D810E92"/>
    <w:rsid w:val="0E9E6512"/>
    <w:rsid w:val="101A3641"/>
    <w:rsid w:val="115C4776"/>
    <w:rsid w:val="118212FD"/>
    <w:rsid w:val="13D61716"/>
    <w:rsid w:val="13DF7DA5"/>
    <w:rsid w:val="14C27678"/>
    <w:rsid w:val="15001CD4"/>
    <w:rsid w:val="16784349"/>
    <w:rsid w:val="178070FD"/>
    <w:rsid w:val="1A4828A6"/>
    <w:rsid w:val="1BAF2ED1"/>
    <w:rsid w:val="1C980A44"/>
    <w:rsid w:val="1E0C0E67"/>
    <w:rsid w:val="1E6234E9"/>
    <w:rsid w:val="2474771C"/>
    <w:rsid w:val="25BF36AA"/>
    <w:rsid w:val="27315D1D"/>
    <w:rsid w:val="28497C63"/>
    <w:rsid w:val="298C499E"/>
    <w:rsid w:val="2B6D12EE"/>
    <w:rsid w:val="2DEB2918"/>
    <w:rsid w:val="2E37340B"/>
    <w:rsid w:val="2F074CA4"/>
    <w:rsid w:val="2F685A8C"/>
    <w:rsid w:val="30A75C74"/>
    <w:rsid w:val="318F0279"/>
    <w:rsid w:val="31A42E6E"/>
    <w:rsid w:val="31DB3455"/>
    <w:rsid w:val="36143C57"/>
    <w:rsid w:val="374D7825"/>
    <w:rsid w:val="38E94FA2"/>
    <w:rsid w:val="3A0A0D7C"/>
    <w:rsid w:val="3C122AEF"/>
    <w:rsid w:val="3D162F02"/>
    <w:rsid w:val="41511749"/>
    <w:rsid w:val="41A3729C"/>
    <w:rsid w:val="42110F88"/>
    <w:rsid w:val="433B0B84"/>
    <w:rsid w:val="44D160FB"/>
    <w:rsid w:val="466F33FE"/>
    <w:rsid w:val="49A02808"/>
    <w:rsid w:val="4ADD2D20"/>
    <w:rsid w:val="4B1F55A9"/>
    <w:rsid w:val="4D3E4590"/>
    <w:rsid w:val="50905295"/>
    <w:rsid w:val="52623ABC"/>
    <w:rsid w:val="58362FB5"/>
    <w:rsid w:val="595258F1"/>
    <w:rsid w:val="5B2B24A8"/>
    <w:rsid w:val="5F327618"/>
    <w:rsid w:val="606A1E0F"/>
    <w:rsid w:val="617A5F38"/>
    <w:rsid w:val="617E13BC"/>
    <w:rsid w:val="624327CD"/>
    <w:rsid w:val="63307542"/>
    <w:rsid w:val="651C43C8"/>
    <w:rsid w:val="65217ECB"/>
    <w:rsid w:val="69232A11"/>
    <w:rsid w:val="6C9A3139"/>
    <w:rsid w:val="6E307B42"/>
    <w:rsid w:val="6E9F4557"/>
    <w:rsid w:val="71491AC5"/>
    <w:rsid w:val="72214743"/>
    <w:rsid w:val="724B7A49"/>
    <w:rsid w:val="729871D2"/>
    <w:rsid w:val="741C69DA"/>
    <w:rsid w:val="74287708"/>
    <w:rsid w:val="75931C14"/>
    <w:rsid w:val="76A72ED3"/>
    <w:rsid w:val="77550223"/>
    <w:rsid w:val="77705729"/>
    <w:rsid w:val="798D441B"/>
    <w:rsid w:val="7B007056"/>
    <w:rsid w:val="7BB67714"/>
  </w:rsids>
  <w:docVars>
    <w:docVar w:name="commondata" w:val="eyJoZGlkIjoiOGNlOTYzM2U2NDQwZGFkZjViYjkxZmNmNTllMGVjMGQ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 w:semiHidden="0" w:uiPriority="0" w:qFormat="1"/>
    <w:lsdException w:name="E-mail Signature"/>
    <w:lsdException w:name="Normal (Web)" w:uiPriority="0" w:qFormat="1"/>
    <w:lsdException w:name="HTML Acronym"/>
    <w:lsdException w:name="HTML Address"/>
    <w:lsdException w:name="HTML Cite"/>
    <w:lsdException w:name="HTML Code"/>
    <w:lsdException w:name="HTML Definition" w:qFormat="1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qFormat="1"/>
    <w:lsdException w:name="Table Grid" w:semiHidden="0" w:uiPriority="5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paragraph" w:styleId="Heading2">
    <w:name w:val="heading 2"/>
    <w:basedOn w:val="Normal"/>
    <w:next w:val="Normal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unhideWhenUsed/>
    <w:qFormat/>
    <w:rPr>
      <w:rFonts w:ascii="宋体" w:hAnsi="Courier New"/>
      <w:kern w:val="0"/>
      <w:sz w:val="20"/>
      <w:szCs w:val="21"/>
    </w:rPr>
  </w:style>
  <w:style w:type="paragraph" w:styleId="BalloonText">
    <w:name w:val="Balloon Text"/>
    <w:basedOn w:val="Normal"/>
    <w:link w:val="Char1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Char0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Strong">
    <w:name w:val="Strong"/>
    <w:basedOn w:val="DefaultParagraphFont"/>
    <w:autoRedefine/>
    <w:uiPriority w:val="22"/>
    <w:qFormat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333333"/>
      <w:u w:val="none"/>
    </w:rPr>
  </w:style>
  <w:style w:type="character" w:styleId="Emphasis">
    <w:name w:val="Emphasis"/>
    <w:basedOn w:val="DefaultParagraphFont"/>
    <w:uiPriority w:val="20"/>
    <w:qFormat/>
  </w:style>
  <w:style w:type="character" w:styleId="HTMLDefinition">
    <w:name w:val="HTML Definition"/>
    <w:basedOn w:val="DefaultParagraphFont"/>
    <w:uiPriority w:val="99"/>
    <w:semiHidden/>
    <w:unhideWhenUsed/>
    <w:qFormat/>
  </w:style>
  <w:style w:type="character" w:styleId="Hyperlink">
    <w:name w:val="Hyperlink"/>
    <w:basedOn w:val="DefaultParagraphFont"/>
    <w:autoRedefine/>
    <w:uiPriority w:val="99"/>
    <w:semiHidden/>
    <w:unhideWhenUsed/>
    <w:qFormat/>
    <w:rPr>
      <w:color w:val="0000FF"/>
      <w:u w:val="single"/>
    </w:rPr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autoRedefine/>
    <w:uiPriority w:val="99"/>
    <w:qFormat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autoRedefine/>
    <w:uiPriority w:val="99"/>
    <w:semiHidden/>
    <w:qFormat/>
    <w:rPr>
      <w:sz w:val="18"/>
      <w:szCs w:val="18"/>
    </w:rPr>
  </w:style>
  <w:style w:type="character" w:customStyle="1" w:styleId="notclasssuffix">
    <w:name w:val="not([class*=suffix])"/>
    <w:basedOn w:val="DefaultParagraphFont"/>
    <w:autoRedefine/>
    <w:qFormat/>
    <w:rPr>
      <w:sz w:val="19"/>
      <w:szCs w:val="19"/>
    </w:rPr>
  </w:style>
  <w:style w:type="character" w:customStyle="1" w:styleId="notclasssuffix1">
    <w:name w:val="not([class*=suffix])1"/>
    <w:basedOn w:val="DefaultParagraphFont"/>
    <w:autoRedefine/>
    <w:qFormat/>
  </w:style>
  <w:style w:type="paragraph" w:customStyle="1" w:styleId="1">
    <w:name w:val="无间隔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10">
    <w:name w:val="列出段落1"/>
    <w:basedOn w:val="Normal"/>
    <w:uiPriority w:val="34"/>
    <w:qFormat/>
    <w:pPr>
      <w:ind w:firstLine="420" w:firstLineChars="200"/>
    </w:pPr>
    <w:rPr>
      <w:rFonts w:ascii="Times New Roman" w:eastAsia="宋体" w:hAnsi="Times New Roman" w:cs="Times New Roman"/>
      <w:szCs w:val="24"/>
    </w:rPr>
  </w:style>
  <w:style w:type="paragraph" w:customStyle="1" w:styleId="a">
    <w:name w:val="解析"/>
    <w:basedOn w:val="Normal"/>
    <w:qFormat/>
    <w:pPr>
      <w:adjustRightInd w:val="0"/>
      <w:snapToGrid w:val="0"/>
      <w:jc w:val="left"/>
      <w:textAlignment w:val="center"/>
    </w:pPr>
    <w:rPr>
      <w:rFonts w:eastAsia="楷体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hyperlink" Target="https://d.book118.com/148060025012006046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10078</Words>
  <Characters>11082</Characters>
  <Application>Microsoft Office Word</Application>
  <DocSecurity>0</DocSecurity>
  <Lines>1</Lines>
  <Paragraphs>1</Paragraphs>
  <ScaleCrop>false</ScaleCrop>
  <Company/>
  <LinksUpToDate>false</LinksUpToDate>
  <CharactersWithSpaces>11428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2020-02-29T09:17:00Z</dcterms:created>
  <dcterms:modified xsi:type="dcterms:W3CDTF">2024-03-13T08:35:19Z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ICV">
    <vt:lpwstr>ED1A69F4A9D64AFD8C8FA75DDC71F51D_13</vt:lpwstr>
  </property>
  <property fmtid="{D5CDD505-2E9C-101B-9397-08002B2CF9AE}" pid="7" name="KSOProductBuildVer">
    <vt:lpwstr>2052-12.1.0.16364</vt:lpwstr>
  </property>
</Properties>
</file>