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证券登记、结算机构服务项目规划设计纲要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08" w:history="1">
        <w:r>
          <w:rPr>
            <w:rFonts w:ascii="仿宋" w:eastAsia="仿宋" w:hAnsi="仿宋" w:cs="仿宋" w:hint="eastAsia"/>
            <w:lang w:eastAsia="zh-CN"/>
          </w:rPr>
          <w:t>前言</w:t>
        </w:r>
        <w:r>
          <w:tab/>
        </w:r>
        <w:r>
          <w:fldChar w:fldCharType="begin"/>
        </w:r>
        <w:r>
          <w:instrText xml:space="preserve"> PAGEREF _Toc26908 \h </w:instrText>
        </w:r>
        <w:r>
          <w:fldChar w:fldCharType="separate"/>
        </w:r>
        <w:r>
          <w:t>3</w:t>
        </w:r>
        <w:r>
          <w:fldChar w:fldCharType="end"/>
        </w:r>
      </w:hyperlink>
    </w:p>
    <w:p>
      <w:pPr>
        <w:pStyle w:val="TOC1"/>
        <w:tabs>
          <w:tab w:val="right" w:leader="dot" w:pos="8306"/>
        </w:tabs>
      </w:pPr>
      <w:hyperlink w:anchor="_Toc23206" w:history="1">
        <w:r>
          <w:rPr>
            <w:rFonts w:ascii="仿宋" w:eastAsia="仿宋" w:hAnsi="仿宋" w:cs="仿宋" w:hint="eastAsia"/>
            <w:lang w:eastAsia="zh-CN"/>
          </w:rPr>
          <w:t>一、证券登记、结算机构服务项目建设背景及必要性分析</w:t>
        </w:r>
        <w:r>
          <w:tab/>
        </w:r>
        <w:r>
          <w:fldChar w:fldCharType="begin"/>
        </w:r>
        <w:r>
          <w:instrText xml:space="preserve"> PAGEREF _Toc23206 \h </w:instrText>
        </w:r>
        <w:r>
          <w:fldChar w:fldCharType="separate"/>
        </w:r>
        <w:r>
          <w:t>3</w:t>
        </w:r>
        <w:r>
          <w:fldChar w:fldCharType="end"/>
        </w:r>
      </w:hyperlink>
    </w:p>
    <w:p>
      <w:pPr>
        <w:pStyle w:val="TOC2"/>
        <w:tabs>
          <w:tab w:val="right" w:leader="dot" w:pos="8306"/>
        </w:tabs>
      </w:pPr>
      <w:hyperlink w:anchor="_Toc26900" w:history="1">
        <w:r>
          <w:rPr>
            <w:rFonts w:ascii="仿宋" w:eastAsia="仿宋" w:hAnsi="仿宋" w:cs="仿宋" w:hint="eastAsia"/>
            <w:lang w:eastAsia="zh-CN"/>
          </w:rPr>
          <w:t>(一)、证券登记、结算机构服务项目背景分析</w:t>
        </w:r>
        <w:r>
          <w:tab/>
        </w:r>
        <w:r>
          <w:fldChar w:fldCharType="begin"/>
        </w:r>
        <w:r>
          <w:instrText xml:space="preserve"> PAGEREF _Toc26900 \h </w:instrText>
        </w:r>
        <w:r>
          <w:fldChar w:fldCharType="separate"/>
        </w:r>
        <w:r>
          <w:t>3</w:t>
        </w:r>
        <w:r>
          <w:fldChar w:fldCharType="end"/>
        </w:r>
      </w:hyperlink>
    </w:p>
    <w:p>
      <w:pPr>
        <w:pStyle w:val="TOC2"/>
        <w:tabs>
          <w:tab w:val="right" w:leader="dot" w:pos="8306"/>
        </w:tabs>
      </w:pPr>
      <w:hyperlink w:anchor="_Toc20248" w:history="1">
        <w:r>
          <w:rPr>
            <w:rFonts w:ascii="仿宋" w:eastAsia="仿宋" w:hAnsi="仿宋" w:cs="仿宋" w:hint="eastAsia"/>
            <w:lang w:eastAsia="zh-CN"/>
          </w:rPr>
          <w:t>(二)、证券登记、结算机构服务项目建设必要性分析</w:t>
        </w:r>
        <w:r>
          <w:tab/>
        </w:r>
        <w:r>
          <w:fldChar w:fldCharType="begin"/>
        </w:r>
        <w:r>
          <w:instrText xml:space="preserve"> PAGEREF _Toc20248 \h </w:instrText>
        </w:r>
        <w:r>
          <w:fldChar w:fldCharType="separate"/>
        </w:r>
        <w:r>
          <w:t>5</w:t>
        </w:r>
        <w:r>
          <w:fldChar w:fldCharType="end"/>
        </w:r>
      </w:hyperlink>
    </w:p>
    <w:p>
      <w:pPr>
        <w:pStyle w:val="TOC1"/>
        <w:tabs>
          <w:tab w:val="right" w:leader="dot" w:pos="8306"/>
        </w:tabs>
      </w:pPr>
      <w:hyperlink w:anchor="_Toc31189" w:history="1">
        <w:r>
          <w:rPr>
            <w:rFonts w:ascii="仿宋" w:eastAsia="仿宋" w:hAnsi="仿宋" w:cs="仿宋" w:hint="eastAsia"/>
            <w:lang w:eastAsia="zh-CN"/>
          </w:rPr>
          <w:t>二、证券登记、结算机构服务项目概论</w:t>
        </w:r>
        <w:r>
          <w:tab/>
        </w:r>
        <w:r>
          <w:fldChar w:fldCharType="begin"/>
        </w:r>
        <w:r>
          <w:instrText xml:space="preserve"> PAGEREF _Toc31189 \h </w:instrText>
        </w:r>
        <w:r>
          <w:fldChar w:fldCharType="separate"/>
        </w:r>
        <w:r>
          <w:t>6</w:t>
        </w:r>
        <w:r>
          <w:fldChar w:fldCharType="end"/>
        </w:r>
      </w:hyperlink>
    </w:p>
    <w:p>
      <w:pPr>
        <w:pStyle w:val="TOC2"/>
        <w:tabs>
          <w:tab w:val="right" w:leader="dot" w:pos="8306"/>
        </w:tabs>
      </w:pPr>
      <w:hyperlink w:anchor="_Toc28976" w:history="1">
        <w:r>
          <w:rPr>
            <w:rFonts w:ascii="仿宋" w:eastAsia="仿宋" w:hAnsi="仿宋" w:cs="仿宋" w:hint="eastAsia"/>
            <w:lang w:eastAsia="zh-CN"/>
          </w:rPr>
          <w:t>(一)、证券登记、结算机构服务项目概况</w:t>
        </w:r>
        <w:r>
          <w:tab/>
        </w:r>
        <w:r>
          <w:fldChar w:fldCharType="begin"/>
        </w:r>
        <w:r>
          <w:instrText xml:space="preserve"> PAGEREF _Toc28976 \h </w:instrText>
        </w:r>
        <w:r>
          <w:fldChar w:fldCharType="separate"/>
        </w:r>
        <w:r>
          <w:t>6</w:t>
        </w:r>
        <w:r>
          <w:fldChar w:fldCharType="end"/>
        </w:r>
      </w:hyperlink>
    </w:p>
    <w:p>
      <w:pPr>
        <w:pStyle w:val="TOC2"/>
        <w:tabs>
          <w:tab w:val="right" w:leader="dot" w:pos="8306"/>
        </w:tabs>
      </w:pPr>
      <w:hyperlink w:anchor="_Toc15007" w:history="1">
        <w:r>
          <w:rPr>
            <w:rFonts w:ascii="仿宋" w:eastAsia="仿宋" w:hAnsi="仿宋" w:cs="仿宋" w:hint="eastAsia"/>
            <w:lang w:eastAsia="zh-CN"/>
          </w:rPr>
          <w:t>(二)、证券登记、结算机构服务项目目标</w:t>
        </w:r>
        <w:r>
          <w:tab/>
        </w:r>
        <w:r>
          <w:fldChar w:fldCharType="begin"/>
        </w:r>
        <w:r>
          <w:instrText xml:space="preserve"> PAGEREF _Toc15007 \h </w:instrText>
        </w:r>
        <w:r>
          <w:fldChar w:fldCharType="separate"/>
        </w:r>
        <w:r>
          <w:t>9</w:t>
        </w:r>
        <w:r>
          <w:fldChar w:fldCharType="end"/>
        </w:r>
      </w:hyperlink>
    </w:p>
    <w:p>
      <w:pPr>
        <w:pStyle w:val="TOC2"/>
        <w:tabs>
          <w:tab w:val="right" w:leader="dot" w:pos="8306"/>
        </w:tabs>
      </w:pPr>
      <w:hyperlink w:anchor="_Toc19777" w:history="1">
        <w:r>
          <w:rPr>
            <w:rFonts w:ascii="仿宋" w:eastAsia="仿宋" w:hAnsi="仿宋" w:cs="仿宋" w:hint="eastAsia"/>
            <w:lang w:eastAsia="zh-CN"/>
          </w:rPr>
          <w:t>(三)、证券登记、结算机构服务项目提出的理由</w:t>
        </w:r>
        <w:r>
          <w:tab/>
        </w:r>
        <w:r>
          <w:fldChar w:fldCharType="begin"/>
        </w:r>
        <w:r>
          <w:instrText xml:space="preserve"> PAGEREF _Toc19777 \h </w:instrText>
        </w:r>
        <w:r>
          <w:fldChar w:fldCharType="separate"/>
        </w:r>
        <w:r>
          <w:t>10</w:t>
        </w:r>
        <w:r>
          <w:fldChar w:fldCharType="end"/>
        </w:r>
      </w:hyperlink>
    </w:p>
    <w:p>
      <w:pPr>
        <w:pStyle w:val="TOC2"/>
        <w:tabs>
          <w:tab w:val="right" w:leader="dot" w:pos="8306"/>
        </w:tabs>
      </w:pPr>
      <w:hyperlink w:anchor="_Toc4160" w:history="1">
        <w:r>
          <w:rPr>
            <w:rFonts w:ascii="仿宋" w:eastAsia="仿宋" w:hAnsi="仿宋" w:cs="仿宋" w:hint="eastAsia"/>
            <w:lang w:eastAsia="zh-CN"/>
          </w:rPr>
          <w:t>(四)、证券登记、结算机构服务项目意义</w:t>
        </w:r>
        <w:r>
          <w:tab/>
        </w:r>
        <w:r>
          <w:fldChar w:fldCharType="begin"/>
        </w:r>
        <w:r>
          <w:instrText xml:space="preserve"> PAGEREF _Toc4160 \h </w:instrText>
        </w:r>
        <w:r>
          <w:fldChar w:fldCharType="separate"/>
        </w:r>
        <w:r>
          <w:t>12</w:t>
        </w:r>
        <w:r>
          <w:fldChar w:fldCharType="end"/>
        </w:r>
      </w:hyperlink>
    </w:p>
    <w:p>
      <w:pPr>
        <w:pStyle w:val="TOC2"/>
        <w:tabs>
          <w:tab w:val="right" w:leader="dot" w:pos="8306"/>
        </w:tabs>
      </w:pPr>
      <w:hyperlink w:anchor="_Toc16258" w:history="1">
        <w:r>
          <w:rPr>
            <w:rFonts w:ascii="仿宋" w:eastAsia="仿宋" w:hAnsi="仿宋" w:cs="仿宋" w:hint="eastAsia"/>
            <w:lang w:eastAsia="zh-CN"/>
          </w:rPr>
          <w:t>(五)、证券登记、结算机构服务项目背景</w:t>
        </w:r>
        <w:r>
          <w:tab/>
        </w:r>
        <w:r>
          <w:fldChar w:fldCharType="begin"/>
        </w:r>
        <w:r>
          <w:instrText xml:space="preserve"> PAGEREF _Toc16258 \h </w:instrText>
        </w:r>
        <w:r>
          <w:fldChar w:fldCharType="separate"/>
        </w:r>
        <w:r>
          <w:t>12</w:t>
        </w:r>
        <w:r>
          <w:fldChar w:fldCharType="end"/>
        </w:r>
      </w:hyperlink>
    </w:p>
    <w:p>
      <w:pPr>
        <w:pStyle w:val="TOC1"/>
        <w:tabs>
          <w:tab w:val="right" w:leader="dot" w:pos="8306"/>
        </w:tabs>
      </w:pPr>
      <w:hyperlink w:anchor="_Toc20012" w:history="1">
        <w:r>
          <w:rPr>
            <w:rFonts w:ascii="仿宋" w:eastAsia="仿宋" w:hAnsi="仿宋" w:cs="仿宋" w:hint="eastAsia"/>
            <w:lang w:eastAsia="zh-CN"/>
          </w:rPr>
          <w:t>三、证券登记、结算机构服务项目可持续发展</w:t>
        </w:r>
        <w:r>
          <w:tab/>
        </w:r>
        <w:r>
          <w:fldChar w:fldCharType="begin"/>
        </w:r>
        <w:r>
          <w:instrText xml:space="preserve"> PAGEREF _Toc20012 \h </w:instrText>
        </w:r>
        <w:r>
          <w:fldChar w:fldCharType="separate"/>
        </w:r>
        <w:r>
          <w:t>13</w:t>
        </w:r>
        <w:r>
          <w:fldChar w:fldCharType="end"/>
        </w:r>
      </w:hyperlink>
    </w:p>
    <w:p>
      <w:pPr>
        <w:pStyle w:val="TOC2"/>
        <w:tabs>
          <w:tab w:val="right" w:leader="dot" w:pos="8306"/>
        </w:tabs>
      </w:pPr>
      <w:hyperlink w:anchor="_Toc32073" w:history="1">
        <w:r>
          <w:rPr>
            <w:rFonts w:ascii="仿宋" w:eastAsia="仿宋" w:hAnsi="仿宋" w:cs="仿宋" w:hint="eastAsia"/>
            <w:lang w:eastAsia="zh-CN"/>
          </w:rPr>
          <w:t>(一)、可持续战略与实践</w:t>
        </w:r>
        <w:r>
          <w:tab/>
        </w:r>
        <w:r>
          <w:fldChar w:fldCharType="begin"/>
        </w:r>
        <w:r>
          <w:instrText xml:space="preserve"> PAGEREF _Toc32073 \h </w:instrText>
        </w:r>
        <w:r>
          <w:fldChar w:fldCharType="separate"/>
        </w:r>
        <w:r>
          <w:t>13</w:t>
        </w:r>
        <w:r>
          <w:fldChar w:fldCharType="end"/>
        </w:r>
      </w:hyperlink>
    </w:p>
    <w:p>
      <w:pPr>
        <w:pStyle w:val="TOC2"/>
        <w:tabs>
          <w:tab w:val="right" w:leader="dot" w:pos="8306"/>
        </w:tabs>
      </w:pPr>
      <w:hyperlink w:anchor="_Toc3407" w:history="1">
        <w:r>
          <w:rPr>
            <w:rFonts w:ascii="仿宋" w:eastAsia="仿宋" w:hAnsi="仿宋" w:cs="仿宋" w:hint="eastAsia"/>
            <w:lang w:eastAsia="zh-CN"/>
          </w:rPr>
          <w:t>(二)、环保与社会责任</w:t>
        </w:r>
        <w:r>
          <w:tab/>
        </w:r>
        <w:r>
          <w:fldChar w:fldCharType="begin"/>
        </w:r>
        <w:r>
          <w:instrText xml:space="preserve"> PAGEREF _Toc3407 \h </w:instrText>
        </w:r>
        <w:r>
          <w:fldChar w:fldCharType="separate"/>
        </w:r>
        <w:r>
          <w:t>14</w:t>
        </w:r>
        <w:r>
          <w:fldChar w:fldCharType="end"/>
        </w:r>
      </w:hyperlink>
    </w:p>
    <w:p>
      <w:pPr>
        <w:pStyle w:val="TOC1"/>
        <w:tabs>
          <w:tab w:val="right" w:leader="dot" w:pos="8306"/>
        </w:tabs>
      </w:pPr>
      <w:hyperlink w:anchor="_Toc14617" w:history="1">
        <w:r>
          <w:rPr>
            <w:rFonts w:ascii="仿宋" w:eastAsia="仿宋" w:hAnsi="仿宋" w:cs="仿宋" w:hint="eastAsia"/>
            <w:lang w:eastAsia="zh-CN"/>
          </w:rPr>
          <w:t>四、证券登记、结算机构服务项目土建工程</w:t>
        </w:r>
        <w:r>
          <w:tab/>
        </w:r>
        <w:r>
          <w:fldChar w:fldCharType="begin"/>
        </w:r>
        <w:r>
          <w:instrText xml:space="preserve"> PAGEREF _Toc14617 \h </w:instrText>
        </w:r>
        <w:r>
          <w:fldChar w:fldCharType="separate"/>
        </w:r>
        <w:r>
          <w:t>15</w:t>
        </w:r>
        <w:r>
          <w:fldChar w:fldCharType="end"/>
        </w:r>
      </w:hyperlink>
    </w:p>
    <w:p>
      <w:pPr>
        <w:pStyle w:val="TOC2"/>
        <w:tabs>
          <w:tab w:val="right" w:leader="dot" w:pos="8306"/>
        </w:tabs>
      </w:pPr>
      <w:hyperlink w:anchor="_Toc18009" w:history="1">
        <w:r>
          <w:rPr>
            <w:rFonts w:ascii="仿宋" w:eastAsia="仿宋" w:hAnsi="仿宋" w:cs="仿宋" w:hint="eastAsia"/>
            <w:lang w:eastAsia="zh-CN"/>
          </w:rPr>
          <w:t>(一)、建筑工程设计原则</w:t>
        </w:r>
        <w:r>
          <w:tab/>
        </w:r>
        <w:r>
          <w:fldChar w:fldCharType="begin"/>
        </w:r>
        <w:r>
          <w:instrText xml:space="preserve"> PAGEREF _Toc18009 \h </w:instrText>
        </w:r>
        <w:r>
          <w:fldChar w:fldCharType="separate"/>
        </w:r>
        <w:r>
          <w:t>15</w:t>
        </w:r>
        <w:r>
          <w:fldChar w:fldCharType="end"/>
        </w:r>
      </w:hyperlink>
    </w:p>
    <w:p>
      <w:pPr>
        <w:pStyle w:val="TOC2"/>
        <w:tabs>
          <w:tab w:val="right" w:leader="dot" w:pos="8306"/>
        </w:tabs>
      </w:pPr>
      <w:hyperlink w:anchor="_Toc16430" w:history="1">
        <w:r>
          <w:rPr>
            <w:rFonts w:ascii="仿宋" w:eastAsia="仿宋" w:hAnsi="仿宋" w:cs="仿宋" w:hint="eastAsia"/>
            <w:lang w:eastAsia="zh-CN"/>
          </w:rPr>
          <w:t>(二)、土建工程设计年限及安全等级</w:t>
        </w:r>
        <w:r>
          <w:tab/>
        </w:r>
        <w:r>
          <w:fldChar w:fldCharType="begin"/>
        </w:r>
        <w:r>
          <w:instrText xml:space="preserve"> PAGEREF _Toc16430 \h </w:instrText>
        </w:r>
        <w:r>
          <w:fldChar w:fldCharType="separate"/>
        </w:r>
        <w:r>
          <w:t>17</w:t>
        </w:r>
        <w:r>
          <w:fldChar w:fldCharType="end"/>
        </w:r>
      </w:hyperlink>
    </w:p>
    <w:p>
      <w:pPr>
        <w:pStyle w:val="TOC2"/>
        <w:tabs>
          <w:tab w:val="right" w:leader="dot" w:pos="8306"/>
        </w:tabs>
      </w:pPr>
      <w:hyperlink w:anchor="_Toc13214" w:history="1">
        <w:r>
          <w:rPr>
            <w:rFonts w:ascii="仿宋" w:eastAsia="仿宋" w:hAnsi="仿宋" w:cs="仿宋" w:hint="eastAsia"/>
            <w:lang w:eastAsia="zh-CN"/>
          </w:rPr>
          <w:t>(三)、建筑工程设计总体要求</w:t>
        </w:r>
        <w:r>
          <w:tab/>
        </w:r>
        <w:r>
          <w:fldChar w:fldCharType="begin"/>
        </w:r>
        <w:r>
          <w:instrText xml:space="preserve"> PAGEREF _Toc13214 \h </w:instrText>
        </w:r>
        <w:r>
          <w:fldChar w:fldCharType="separate"/>
        </w:r>
        <w:r>
          <w:t>18</w:t>
        </w:r>
        <w:r>
          <w:fldChar w:fldCharType="end"/>
        </w:r>
      </w:hyperlink>
    </w:p>
    <w:p>
      <w:pPr>
        <w:pStyle w:val="TOC2"/>
        <w:tabs>
          <w:tab w:val="right" w:leader="dot" w:pos="8306"/>
        </w:tabs>
      </w:pPr>
      <w:hyperlink w:anchor="_Toc9586" w:history="1">
        <w:r>
          <w:rPr>
            <w:rFonts w:ascii="仿宋" w:eastAsia="仿宋" w:hAnsi="仿宋" w:cs="仿宋" w:hint="eastAsia"/>
            <w:lang w:eastAsia="zh-CN"/>
          </w:rPr>
          <w:t>(四)、土建工程建设指标</w:t>
        </w:r>
        <w:r>
          <w:tab/>
        </w:r>
        <w:r>
          <w:fldChar w:fldCharType="begin"/>
        </w:r>
        <w:r>
          <w:instrText xml:space="preserve"> PAGEREF _Toc9586 \h </w:instrText>
        </w:r>
        <w:r>
          <w:fldChar w:fldCharType="separate"/>
        </w:r>
        <w:r>
          <w:t>18</w:t>
        </w:r>
        <w:r>
          <w:fldChar w:fldCharType="end"/>
        </w:r>
      </w:hyperlink>
    </w:p>
    <w:p>
      <w:pPr>
        <w:pStyle w:val="TOC1"/>
        <w:tabs>
          <w:tab w:val="right" w:leader="dot" w:pos="8306"/>
        </w:tabs>
      </w:pPr>
      <w:hyperlink w:anchor="_Toc24253" w:history="1">
        <w:r>
          <w:rPr>
            <w:rFonts w:ascii="仿宋" w:eastAsia="仿宋" w:hAnsi="仿宋" w:cs="仿宋" w:hint="eastAsia"/>
            <w:lang w:eastAsia="zh-CN"/>
          </w:rPr>
          <w:t>五、证券登记、结算机构服务项目选址可行性分析</w:t>
        </w:r>
        <w:r>
          <w:tab/>
        </w:r>
        <w:r>
          <w:fldChar w:fldCharType="begin"/>
        </w:r>
        <w:r>
          <w:instrText xml:space="preserve"> PAGEREF _Toc24253 \h </w:instrText>
        </w:r>
        <w:r>
          <w:fldChar w:fldCharType="separate"/>
        </w:r>
        <w:r>
          <w:t>19</w:t>
        </w:r>
        <w:r>
          <w:fldChar w:fldCharType="end"/>
        </w:r>
      </w:hyperlink>
    </w:p>
    <w:p>
      <w:pPr>
        <w:pStyle w:val="TOC2"/>
        <w:tabs>
          <w:tab w:val="right" w:leader="dot" w:pos="8306"/>
        </w:tabs>
      </w:pPr>
      <w:hyperlink w:anchor="_Toc27895" w:history="1">
        <w:r>
          <w:rPr>
            <w:rFonts w:ascii="仿宋" w:eastAsia="仿宋" w:hAnsi="仿宋" w:cs="仿宋" w:hint="eastAsia"/>
            <w:lang w:eastAsia="zh-CN"/>
          </w:rPr>
          <w:t>(一)、证券登记、结算机构服务项目选址</w:t>
        </w:r>
        <w:r>
          <w:tab/>
        </w:r>
        <w:r>
          <w:fldChar w:fldCharType="begin"/>
        </w:r>
        <w:r>
          <w:instrText xml:space="preserve"> PAGEREF _Toc27895 \h </w:instrText>
        </w:r>
        <w:r>
          <w:fldChar w:fldCharType="separate"/>
        </w:r>
        <w:r>
          <w:t>19</w:t>
        </w:r>
        <w:r>
          <w:fldChar w:fldCharType="end"/>
        </w:r>
      </w:hyperlink>
    </w:p>
    <w:p>
      <w:pPr>
        <w:pStyle w:val="TOC2"/>
        <w:tabs>
          <w:tab w:val="right" w:leader="dot" w:pos="8306"/>
        </w:tabs>
      </w:pPr>
      <w:hyperlink w:anchor="_Toc8359" w:history="1">
        <w:r>
          <w:rPr>
            <w:rFonts w:ascii="仿宋" w:eastAsia="仿宋" w:hAnsi="仿宋" w:cs="仿宋" w:hint="eastAsia"/>
            <w:lang w:eastAsia="zh-CN"/>
          </w:rPr>
          <w:t>(二)、用地控制指标</w:t>
        </w:r>
        <w:r>
          <w:tab/>
        </w:r>
        <w:r>
          <w:fldChar w:fldCharType="begin"/>
        </w:r>
        <w:r>
          <w:instrText xml:space="preserve"> PAGEREF _Toc8359 \h </w:instrText>
        </w:r>
        <w:r>
          <w:fldChar w:fldCharType="separate"/>
        </w:r>
        <w:r>
          <w:t>19</w:t>
        </w:r>
        <w:r>
          <w:fldChar w:fldCharType="end"/>
        </w:r>
      </w:hyperlink>
    </w:p>
    <w:p>
      <w:pPr>
        <w:pStyle w:val="TOC2"/>
        <w:tabs>
          <w:tab w:val="right" w:leader="dot" w:pos="8306"/>
        </w:tabs>
      </w:pPr>
      <w:hyperlink w:anchor="_Toc1135" w:history="1">
        <w:r>
          <w:rPr>
            <w:rFonts w:ascii="仿宋" w:eastAsia="仿宋" w:hAnsi="仿宋" w:cs="仿宋" w:hint="eastAsia"/>
            <w:lang w:eastAsia="zh-CN"/>
          </w:rPr>
          <w:t>(三)、节约用地措施</w:t>
        </w:r>
        <w:r>
          <w:tab/>
        </w:r>
        <w:r>
          <w:fldChar w:fldCharType="begin"/>
        </w:r>
        <w:r>
          <w:instrText xml:space="preserve"> PAGEREF _Toc1135 \h </w:instrText>
        </w:r>
        <w:r>
          <w:fldChar w:fldCharType="separate"/>
        </w:r>
        <w:r>
          <w:t>21</w:t>
        </w:r>
        <w:r>
          <w:fldChar w:fldCharType="end"/>
        </w:r>
      </w:hyperlink>
    </w:p>
    <w:p>
      <w:pPr>
        <w:pStyle w:val="TOC2"/>
        <w:tabs>
          <w:tab w:val="right" w:leader="dot" w:pos="8306"/>
        </w:tabs>
      </w:pPr>
      <w:hyperlink w:anchor="_Toc20160" w:history="1">
        <w:r>
          <w:rPr>
            <w:rFonts w:ascii="仿宋" w:eastAsia="仿宋" w:hAnsi="仿宋" w:cs="仿宋" w:hint="eastAsia"/>
            <w:lang w:eastAsia="zh-CN"/>
          </w:rPr>
          <w:t>(四)、总图布置方案</w:t>
        </w:r>
        <w:r>
          <w:tab/>
        </w:r>
        <w:r>
          <w:fldChar w:fldCharType="begin"/>
        </w:r>
        <w:r>
          <w:instrText xml:space="preserve"> PAGEREF _Toc20160 \h </w:instrText>
        </w:r>
        <w:r>
          <w:fldChar w:fldCharType="separate"/>
        </w:r>
        <w:r>
          <w:t>22</w:t>
        </w:r>
        <w:r>
          <w:fldChar w:fldCharType="end"/>
        </w:r>
      </w:hyperlink>
    </w:p>
    <w:p>
      <w:pPr>
        <w:pStyle w:val="TOC2"/>
        <w:tabs>
          <w:tab w:val="right" w:leader="dot" w:pos="8306"/>
        </w:tabs>
      </w:pPr>
      <w:hyperlink w:anchor="_Toc30779" w:history="1">
        <w:r>
          <w:rPr>
            <w:rFonts w:ascii="仿宋" w:eastAsia="仿宋" w:hAnsi="仿宋" w:cs="仿宋" w:hint="eastAsia"/>
            <w:lang w:eastAsia="zh-CN"/>
          </w:rPr>
          <w:t>(五)、选址综合评价</w:t>
        </w:r>
        <w:r>
          <w:tab/>
        </w:r>
        <w:r>
          <w:fldChar w:fldCharType="begin"/>
        </w:r>
        <w:r>
          <w:instrText xml:space="preserve"> PAGEREF _Toc30779 \h </w:instrText>
        </w:r>
        <w:r>
          <w:fldChar w:fldCharType="separate"/>
        </w:r>
        <w:r>
          <w:t>23</w:t>
        </w:r>
        <w:r>
          <w:fldChar w:fldCharType="end"/>
        </w:r>
      </w:hyperlink>
    </w:p>
    <w:p>
      <w:pPr>
        <w:pStyle w:val="TOC1"/>
        <w:tabs>
          <w:tab w:val="right" w:leader="dot" w:pos="8306"/>
        </w:tabs>
      </w:pPr>
      <w:hyperlink w:anchor="_Toc26165" w:history="1">
        <w:r>
          <w:rPr>
            <w:rFonts w:ascii="仿宋" w:eastAsia="仿宋" w:hAnsi="仿宋" w:cs="仿宋" w:hint="eastAsia"/>
            <w:lang w:eastAsia="zh-CN"/>
          </w:rPr>
          <w:t>六、证券登记、结算机构服务项目建设单位说明</w:t>
        </w:r>
        <w:r>
          <w:tab/>
        </w:r>
        <w:r>
          <w:fldChar w:fldCharType="begin"/>
        </w:r>
        <w:r>
          <w:instrText xml:space="preserve"> PAGEREF _Toc26165 \h </w:instrText>
        </w:r>
        <w:r>
          <w:fldChar w:fldCharType="separate"/>
        </w:r>
        <w:r>
          <w:t>24</w:t>
        </w:r>
        <w:r>
          <w:fldChar w:fldCharType="end"/>
        </w:r>
      </w:hyperlink>
    </w:p>
    <w:p>
      <w:pPr>
        <w:pStyle w:val="TOC2"/>
        <w:tabs>
          <w:tab w:val="right" w:leader="dot" w:pos="8306"/>
        </w:tabs>
      </w:pPr>
      <w:hyperlink w:anchor="_Toc4605" w:history="1">
        <w:r>
          <w:rPr>
            <w:rFonts w:ascii="仿宋" w:eastAsia="仿宋" w:hAnsi="仿宋" w:cs="仿宋" w:hint="eastAsia"/>
            <w:lang w:eastAsia="zh-CN"/>
          </w:rPr>
          <w:t>(一)、证券登记、结算机构服务项目承办单位基本情况</w:t>
        </w:r>
        <w:r>
          <w:tab/>
        </w:r>
        <w:r>
          <w:fldChar w:fldCharType="begin"/>
        </w:r>
        <w:r>
          <w:instrText xml:space="preserve"> PAGEREF _Toc4605 \h </w:instrText>
        </w:r>
        <w:r>
          <w:fldChar w:fldCharType="separate"/>
        </w:r>
        <w:r>
          <w:t>24</w:t>
        </w:r>
        <w:r>
          <w:fldChar w:fldCharType="end"/>
        </w:r>
      </w:hyperlink>
    </w:p>
    <w:p>
      <w:pPr>
        <w:pStyle w:val="TOC2"/>
        <w:tabs>
          <w:tab w:val="right" w:leader="dot" w:pos="8306"/>
        </w:tabs>
      </w:pPr>
      <w:hyperlink w:anchor="_Toc20144" w:history="1">
        <w:r>
          <w:rPr>
            <w:rFonts w:ascii="仿宋" w:eastAsia="仿宋" w:hAnsi="仿宋" w:cs="仿宋" w:hint="eastAsia"/>
            <w:lang w:eastAsia="zh-CN"/>
          </w:rPr>
          <w:t>(二)、公司经济效益分析</w:t>
        </w:r>
        <w:r>
          <w:tab/>
        </w:r>
        <w:r>
          <w:fldChar w:fldCharType="begin"/>
        </w:r>
        <w:r>
          <w:instrText xml:space="preserve"> PAGEREF _Toc20144 \h </w:instrText>
        </w:r>
        <w:r>
          <w:fldChar w:fldCharType="separate"/>
        </w:r>
        <w:r>
          <w:t>25</w:t>
        </w:r>
        <w:r>
          <w:fldChar w:fldCharType="end"/>
        </w:r>
      </w:hyperlink>
    </w:p>
    <w:p>
      <w:pPr>
        <w:pStyle w:val="TOC1"/>
        <w:tabs>
          <w:tab w:val="right" w:leader="dot" w:pos="8306"/>
        </w:tabs>
      </w:pPr>
      <w:hyperlink w:anchor="_Toc13538" w:history="1">
        <w:r>
          <w:rPr>
            <w:rFonts w:ascii="仿宋" w:eastAsia="仿宋" w:hAnsi="仿宋" w:cs="仿宋" w:hint="eastAsia"/>
            <w:lang w:eastAsia="zh-CN"/>
          </w:rPr>
          <w:t>七、证券登记、结算机构服务项目技术管理</w:t>
        </w:r>
        <w:r>
          <w:tab/>
        </w:r>
        <w:r>
          <w:fldChar w:fldCharType="begin"/>
        </w:r>
        <w:r>
          <w:instrText xml:space="preserve"> PAGEREF _Toc13538 \h </w:instrText>
        </w:r>
        <w:r>
          <w:fldChar w:fldCharType="separate"/>
        </w:r>
        <w:r>
          <w:t>26</w:t>
        </w:r>
        <w:r>
          <w:fldChar w:fldCharType="end"/>
        </w:r>
      </w:hyperlink>
    </w:p>
    <w:p>
      <w:pPr>
        <w:pStyle w:val="TOC2"/>
        <w:tabs>
          <w:tab w:val="right" w:leader="dot" w:pos="8306"/>
        </w:tabs>
      </w:pPr>
      <w:hyperlink w:anchor="_Toc22555" w:history="1">
        <w:r>
          <w:rPr>
            <w:rFonts w:ascii="仿宋" w:eastAsia="仿宋" w:hAnsi="仿宋" w:cs="仿宋" w:hint="eastAsia"/>
            <w:lang w:eastAsia="zh-CN"/>
          </w:rPr>
          <w:t>(一)、技术方案选用方向</w:t>
        </w:r>
        <w:r>
          <w:tab/>
        </w:r>
        <w:r>
          <w:fldChar w:fldCharType="begin"/>
        </w:r>
        <w:r>
          <w:instrText xml:space="preserve"> PAGEREF _Toc22555 \h </w:instrText>
        </w:r>
        <w:r>
          <w:fldChar w:fldCharType="separate"/>
        </w:r>
        <w:r>
          <w:t>26</w:t>
        </w:r>
        <w:r>
          <w:fldChar w:fldCharType="end"/>
        </w:r>
      </w:hyperlink>
    </w:p>
    <w:p>
      <w:pPr>
        <w:pStyle w:val="TOC2"/>
        <w:tabs>
          <w:tab w:val="right" w:leader="dot" w:pos="8306"/>
        </w:tabs>
      </w:pPr>
      <w:hyperlink w:anchor="_Toc11508" w:history="1">
        <w:r>
          <w:rPr>
            <w:rFonts w:ascii="仿宋" w:eastAsia="仿宋" w:hAnsi="仿宋" w:cs="仿宋" w:hint="eastAsia"/>
            <w:lang w:eastAsia="zh-CN"/>
          </w:rPr>
          <w:t>(二)、工艺技术方案选用原则</w:t>
        </w:r>
        <w:r>
          <w:tab/>
        </w:r>
        <w:r>
          <w:fldChar w:fldCharType="begin"/>
        </w:r>
        <w:r>
          <w:instrText xml:space="preserve"> PAGEREF _Toc11508 \h </w:instrText>
        </w:r>
        <w:r>
          <w:fldChar w:fldCharType="separate"/>
        </w:r>
        <w:r>
          <w:t>28</w:t>
        </w:r>
        <w:r>
          <w:fldChar w:fldCharType="end"/>
        </w:r>
      </w:hyperlink>
    </w:p>
    <w:p>
      <w:pPr>
        <w:pStyle w:val="TOC2"/>
        <w:tabs>
          <w:tab w:val="right" w:leader="dot" w:pos="8306"/>
        </w:tabs>
      </w:pPr>
      <w:hyperlink w:anchor="_Toc29457" w:history="1">
        <w:r>
          <w:rPr>
            <w:rFonts w:ascii="仿宋" w:eastAsia="仿宋" w:hAnsi="仿宋" w:cs="仿宋" w:hint="eastAsia"/>
            <w:lang w:eastAsia="zh-CN"/>
          </w:rPr>
          <w:t>(三)、工艺技术方案要求</w:t>
        </w:r>
        <w:r>
          <w:tab/>
        </w:r>
        <w:r>
          <w:fldChar w:fldCharType="begin"/>
        </w:r>
        <w:r>
          <w:instrText xml:space="preserve"> PAGEREF _Toc29457 \h </w:instrText>
        </w:r>
        <w:r>
          <w:fldChar w:fldCharType="separate"/>
        </w:r>
        <w:r>
          <w:t>30</w:t>
        </w:r>
        <w:r>
          <w:fldChar w:fldCharType="end"/>
        </w:r>
      </w:hyperlink>
    </w:p>
    <w:p>
      <w:pPr>
        <w:pStyle w:val="TOC1"/>
        <w:tabs>
          <w:tab w:val="right" w:leader="dot" w:pos="8306"/>
        </w:tabs>
      </w:pPr>
      <w:hyperlink w:anchor="_Toc4655" w:history="1">
        <w:r>
          <w:rPr>
            <w:rFonts w:ascii="仿宋" w:eastAsia="仿宋" w:hAnsi="仿宋" w:cs="仿宋" w:hint="eastAsia"/>
            <w:lang w:eastAsia="zh-CN"/>
          </w:rPr>
          <w:t>八、证券登记、结算机构服务项目人力资源培养与发展</w:t>
        </w:r>
        <w:r>
          <w:tab/>
        </w:r>
        <w:r>
          <w:fldChar w:fldCharType="begin"/>
        </w:r>
        <w:r>
          <w:instrText xml:space="preserve"> PAGEREF _Toc4655 \h </w:instrText>
        </w:r>
        <w:r>
          <w:fldChar w:fldCharType="separate"/>
        </w:r>
        <w:r>
          <w:t>33</w:t>
        </w:r>
        <w:r>
          <w:fldChar w:fldCharType="end"/>
        </w:r>
      </w:hyperlink>
    </w:p>
    <w:p>
      <w:pPr>
        <w:pStyle w:val="TOC2"/>
        <w:tabs>
          <w:tab w:val="right" w:leader="dot" w:pos="8306"/>
        </w:tabs>
      </w:pPr>
      <w:hyperlink w:anchor="_Toc25125" w:history="1">
        <w:r>
          <w:rPr>
            <w:rFonts w:ascii="仿宋" w:eastAsia="仿宋" w:hAnsi="仿宋" w:cs="仿宋" w:hint="eastAsia"/>
            <w:lang w:eastAsia="zh-CN"/>
          </w:rPr>
          <w:t>(一)、人才需求与规划</w:t>
        </w:r>
        <w:r>
          <w:tab/>
        </w:r>
        <w:r>
          <w:fldChar w:fldCharType="begin"/>
        </w:r>
        <w:r>
          <w:instrText xml:space="preserve"> PAGEREF _Toc25125 \h </w:instrText>
        </w:r>
        <w:r>
          <w:fldChar w:fldCharType="separate"/>
        </w:r>
        <w:r>
          <w:t>33</w:t>
        </w:r>
        <w:r>
          <w:fldChar w:fldCharType="end"/>
        </w:r>
      </w:hyperlink>
    </w:p>
    <w:p>
      <w:pPr>
        <w:pStyle w:val="TOC2"/>
        <w:tabs>
          <w:tab w:val="right" w:leader="dot" w:pos="8306"/>
        </w:tabs>
      </w:pPr>
      <w:hyperlink w:anchor="_Toc9535" w:history="1">
        <w:r>
          <w:rPr>
            <w:rFonts w:ascii="仿宋" w:eastAsia="仿宋" w:hAnsi="仿宋" w:cs="仿宋" w:hint="eastAsia"/>
            <w:lang w:eastAsia="zh-CN"/>
          </w:rPr>
          <w:t>(二)、培训与发展计划</w:t>
        </w:r>
        <w:r>
          <w:tab/>
        </w:r>
        <w:r>
          <w:fldChar w:fldCharType="begin"/>
        </w:r>
        <w:r>
          <w:instrText xml:space="preserve"> PAGEREF _Toc9535 \h </w:instrText>
        </w:r>
        <w:r>
          <w:fldChar w:fldCharType="separate"/>
        </w:r>
        <w:r>
          <w:t>33</w:t>
        </w:r>
        <w:r>
          <w:fldChar w:fldCharType="end"/>
        </w:r>
      </w:hyperlink>
    </w:p>
    <w:p>
      <w:pPr>
        <w:pStyle w:val="TOC1"/>
        <w:tabs>
          <w:tab w:val="right" w:leader="dot" w:pos="8306"/>
        </w:tabs>
      </w:pPr>
      <w:hyperlink w:anchor="_Toc21044" w:history="1">
        <w:r>
          <w:rPr>
            <w:rFonts w:ascii="仿宋" w:eastAsia="仿宋" w:hAnsi="仿宋" w:cs="仿宋" w:hint="eastAsia"/>
            <w:lang w:eastAsia="zh-CN"/>
          </w:rPr>
          <w:t>九、证券登记、结算机构服务项目人力资源管理</w:t>
        </w:r>
        <w:r>
          <w:tab/>
        </w:r>
        <w:r>
          <w:fldChar w:fldCharType="begin"/>
        </w:r>
        <w:r>
          <w:instrText xml:space="preserve"> PAGEREF _Toc21044 \h </w:instrText>
        </w:r>
        <w:r>
          <w:fldChar w:fldCharType="separate"/>
        </w:r>
        <w:r>
          <w:t>34</w:t>
        </w:r>
        <w:r>
          <w:fldChar w:fldCharType="end"/>
        </w:r>
      </w:hyperlink>
    </w:p>
    <w:p>
      <w:pPr>
        <w:pStyle w:val="TOC2"/>
        <w:tabs>
          <w:tab w:val="right" w:leader="dot" w:pos="8306"/>
        </w:tabs>
      </w:pPr>
      <w:hyperlink w:anchor="_Toc31487" w:history="1">
        <w:r>
          <w:rPr>
            <w:rFonts w:ascii="仿宋" w:eastAsia="仿宋" w:hAnsi="仿宋" w:cs="仿宋" w:hint="eastAsia"/>
            <w:lang w:eastAsia="zh-CN"/>
          </w:rPr>
          <w:t>(一)、建立健全的预算管理制度</w:t>
        </w:r>
        <w:r>
          <w:tab/>
        </w:r>
        <w:r>
          <w:fldChar w:fldCharType="begin"/>
        </w:r>
        <w:r>
          <w:instrText xml:space="preserve"> PAGEREF _Toc31487 \h </w:instrText>
        </w:r>
        <w:r>
          <w:fldChar w:fldCharType="separate"/>
        </w:r>
        <w:r>
          <w:t>34</w:t>
        </w:r>
        <w:r>
          <w:fldChar w:fldCharType="end"/>
        </w:r>
      </w:hyperlink>
    </w:p>
    <w:p>
      <w:pPr>
        <w:pStyle w:val="TOC2"/>
        <w:tabs>
          <w:tab w:val="right" w:leader="dot" w:pos="8306"/>
        </w:tabs>
      </w:pPr>
      <w:hyperlink w:anchor="_Toc31311" w:history="1">
        <w:r>
          <w:rPr>
            <w:rFonts w:ascii="仿宋" w:eastAsia="仿宋" w:hAnsi="仿宋" w:cs="仿宋" w:hint="eastAsia"/>
            <w:lang w:eastAsia="zh-CN"/>
          </w:rPr>
          <w:t>(二)、加强资金流动监控</w:t>
        </w:r>
        <w:r>
          <w:tab/>
        </w:r>
        <w:r>
          <w:fldChar w:fldCharType="begin"/>
        </w:r>
        <w:r>
          <w:instrText xml:space="preserve"> PAGEREF _Toc31311 \h </w:instrText>
        </w:r>
        <w:r>
          <w:fldChar w:fldCharType="separate"/>
        </w:r>
        <w:r>
          <w:t>36</w:t>
        </w:r>
        <w:r>
          <w:fldChar w:fldCharType="end"/>
        </w:r>
      </w:hyperlink>
    </w:p>
    <w:p>
      <w:pPr>
        <w:pStyle w:val="TOC2"/>
        <w:tabs>
          <w:tab w:val="right" w:leader="dot" w:pos="8306"/>
        </w:tabs>
      </w:pPr>
      <w:hyperlink w:anchor="_Toc13628" w:history="1">
        <w:r>
          <w:rPr>
            <w:rFonts w:ascii="仿宋" w:eastAsia="仿宋" w:hAnsi="仿宋" w:cs="仿宋" w:hint="eastAsia"/>
            <w:lang w:eastAsia="zh-CN"/>
          </w:rPr>
          <w:t>(三)、制定完善的风险控制机制</w:t>
        </w:r>
        <w:r>
          <w:tab/>
        </w:r>
        <w:r>
          <w:fldChar w:fldCharType="begin"/>
        </w:r>
        <w:r>
          <w:instrText xml:space="preserve"> PAGEREF _Toc13628 \h </w:instrText>
        </w:r>
        <w:r>
          <w:fldChar w:fldCharType="separate"/>
        </w:r>
        <w:r>
          <w:t>37</w:t>
        </w:r>
        <w:r>
          <w:fldChar w:fldCharType="end"/>
        </w:r>
      </w:hyperlink>
    </w:p>
    <w:p>
      <w:pPr>
        <w:pStyle w:val="TOC2"/>
        <w:tabs>
          <w:tab w:val="right" w:leader="dot" w:pos="8306"/>
        </w:tabs>
      </w:pPr>
      <w:hyperlink w:anchor="_Toc10251" w:history="1">
        <w:r>
          <w:rPr>
            <w:rFonts w:ascii="仿宋" w:eastAsia="仿宋" w:hAnsi="仿宋" w:cs="仿宋" w:hint="eastAsia"/>
            <w:lang w:eastAsia="zh-CN"/>
          </w:rPr>
          <w:t>(四)、优化成本管理</w:t>
        </w:r>
        <w:r>
          <w:tab/>
        </w:r>
        <w:r>
          <w:fldChar w:fldCharType="begin"/>
        </w:r>
        <w:r>
          <w:instrText xml:space="preserve"> PAGEREF _Toc10251 \h </w:instrText>
        </w:r>
        <w:r>
          <w:fldChar w:fldCharType="separate"/>
        </w:r>
        <w:r>
          <w:t>39</w:t>
        </w:r>
        <w:r>
          <w:fldChar w:fldCharType="end"/>
        </w:r>
      </w:hyperlink>
    </w:p>
    <w:p>
      <w:pPr>
        <w:pStyle w:val="TOC1"/>
        <w:tabs>
          <w:tab w:val="right" w:leader="dot" w:pos="8306"/>
        </w:tabs>
      </w:pPr>
      <w:hyperlink w:anchor="_Toc14923" w:history="1">
        <w:r>
          <w:rPr>
            <w:rFonts w:ascii="仿宋" w:eastAsia="仿宋" w:hAnsi="仿宋" w:cs="仿宋" w:hint="eastAsia"/>
            <w:lang w:eastAsia="zh-CN"/>
          </w:rPr>
          <w:t>十、证券登记、结算机构服务项目社会影响</w:t>
        </w:r>
        <w:r>
          <w:tab/>
        </w:r>
        <w:r>
          <w:fldChar w:fldCharType="begin"/>
        </w:r>
        <w:r>
          <w:instrText xml:space="preserve"> PAGEREF _Toc14923 \h </w:instrText>
        </w:r>
        <w:r>
          <w:fldChar w:fldCharType="separate"/>
        </w:r>
        <w:r>
          <w:t>40</w:t>
        </w:r>
        <w:r>
          <w:fldChar w:fldCharType="end"/>
        </w:r>
      </w:hyperlink>
    </w:p>
    <w:p>
      <w:pPr>
        <w:pStyle w:val="TOC2"/>
        <w:tabs>
          <w:tab w:val="right" w:leader="dot" w:pos="8306"/>
        </w:tabs>
      </w:pPr>
      <w:hyperlink w:anchor="_Toc821" w:history="1">
        <w:r>
          <w:rPr>
            <w:rFonts w:ascii="仿宋" w:eastAsia="仿宋" w:hAnsi="仿宋" w:cs="仿宋" w:hint="eastAsia"/>
            <w:lang w:eastAsia="zh-CN"/>
          </w:rPr>
          <w:t>(一)、社会责任与义务</w:t>
        </w:r>
        <w:r>
          <w:tab/>
        </w:r>
        <w:r>
          <w:fldChar w:fldCharType="begin"/>
        </w:r>
        <w:r>
          <w:instrText xml:space="preserve"> PAGEREF _Toc821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53" w:history="1">
        <w:r>
          <w:rPr>
            <w:rFonts w:ascii="仿宋" w:eastAsia="仿宋" w:hAnsi="仿宋" w:cs="仿宋" w:hint="eastAsia"/>
            <w:lang w:eastAsia="zh-CN"/>
          </w:rPr>
          <w:t>(二)、社会参与与沟通</w:t>
        </w:r>
        <w:r>
          <w:tab/>
        </w:r>
        <w:r>
          <w:fldChar w:fldCharType="begin"/>
        </w:r>
        <w:r>
          <w:instrText xml:space="preserve"> PAGEREF _Toc10853 \h </w:instrText>
        </w:r>
        <w:r>
          <w:fldChar w:fldCharType="separate"/>
        </w:r>
        <w:r>
          <w:t>41</w:t>
        </w:r>
        <w:r>
          <w:fldChar w:fldCharType="end"/>
        </w:r>
      </w:hyperlink>
    </w:p>
    <w:p>
      <w:pPr>
        <w:pStyle w:val="TOC1"/>
        <w:tabs>
          <w:tab w:val="right" w:leader="dot" w:pos="8306"/>
        </w:tabs>
      </w:pPr>
      <w:hyperlink w:anchor="_Toc27707" w:history="1">
        <w:r>
          <w:rPr>
            <w:rFonts w:ascii="仿宋" w:eastAsia="仿宋" w:hAnsi="仿宋" w:cs="仿宋" w:hint="eastAsia"/>
            <w:lang w:eastAsia="zh-CN"/>
          </w:rPr>
          <w:t>十一、证券登记、结算机构服务项目投资规划</w:t>
        </w:r>
        <w:r>
          <w:tab/>
        </w:r>
        <w:r>
          <w:fldChar w:fldCharType="begin"/>
        </w:r>
        <w:r>
          <w:instrText xml:space="preserve"> PAGEREF _Toc27707 \h </w:instrText>
        </w:r>
        <w:r>
          <w:fldChar w:fldCharType="separate"/>
        </w:r>
        <w:r>
          <w:t>42</w:t>
        </w:r>
        <w:r>
          <w:fldChar w:fldCharType="end"/>
        </w:r>
      </w:hyperlink>
    </w:p>
    <w:p>
      <w:pPr>
        <w:pStyle w:val="TOC2"/>
        <w:tabs>
          <w:tab w:val="right" w:leader="dot" w:pos="8306"/>
        </w:tabs>
      </w:pPr>
      <w:hyperlink w:anchor="_Toc2292" w:history="1">
        <w:r>
          <w:rPr>
            <w:rFonts w:ascii="仿宋" w:eastAsia="仿宋" w:hAnsi="仿宋" w:cs="仿宋" w:hint="eastAsia"/>
            <w:lang w:eastAsia="zh-CN"/>
          </w:rPr>
          <w:t>(一)、证券登记、结算机构服务项目总投资估算</w:t>
        </w:r>
        <w:r>
          <w:tab/>
        </w:r>
        <w:r>
          <w:fldChar w:fldCharType="begin"/>
        </w:r>
        <w:r>
          <w:instrText xml:space="preserve"> PAGEREF _Toc2292 \h </w:instrText>
        </w:r>
        <w:r>
          <w:fldChar w:fldCharType="separate"/>
        </w:r>
        <w:r>
          <w:t>42</w:t>
        </w:r>
        <w:r>
          <w:fldChar w:fldCharType="end"/>
        </w:r>
      </w:hyperlink>
    </w:p>
    <w:p>
      <w:pPr>
        <w:pStyle w:val="TOC2"/>
        <w:tabs>
          <w:tab w:val="right" w:leader="dot" w:pos="8306"/>
        </w:tabs>
      </w:pPr>
      <w:hyperlink w:anchor="_Toc13003" w:history="1">
        <w:r>
          <w:rPr>
            <w:rFonts w:ascii="仿宋" w:eastAsia="仿宋" w:hAnsi="仿宋" w:cs="仿宋" w:hint="eastAsia"/>
            <w:lang w:eastAsia="zh-CN"/>
          </w:rPr>
          <w:t>(二)、资金筹措</w:t>
        </w:r>
        <w:r>
          <w:tab/>
        </w:r>
        <w:r>
          <w:fldChar w:fldCharType="begin"/>
        </w:r>
        <w:r>
          <w:instrText xml:space="preserve"> PAGEREF _Toc13003 \h </w:instrText>
        </w:r>
        <w:r>
          <w:fldChar w:fldCharType="separate"/>
        </w:r>
        <w:r>
          <w:t>43</w:t>
        </w:r>
        <w:r>
          <w:fldChar w:fldCharType="end"/>
        </w:r>
      </w:hyperlink>
    </w:p>
    <w:p>
      <w:pPr>
        <w:pStyle w:val="TOC1"/>
        <w:tabs>
          <w:tab w:val="right" w:leader="dot" w:pos="8306"/>
        </w:tabs>
      </w:pPr>
      <w:hyperlink w:anchor="_Toc305" w:history="1">
        <w:r>
          <w:rPr>
            <w:rFonts w:ascii="仿宋" w:eastAsia="仿宋" w:hAnsi="仿宋" w:cs="仿宋" w:hint="eastAsia"/>
            <w:lang w:eastAsia="zh-CN"/>
          </w:rPr>
          <w:t>十二、证券登记、结算机构服务项目环境影响分析</w:t>
        </w:r>
        <w:r>
          <w:tab/>
        </w:r>
        <w:r>
          <w:fldChar w:fldCharType="begin"/>
        </w:r>
        <w:r>
          <w:instrText xml:space="preserve"> PAGEREF _Toc305 \h </w:instrText>
        </w:r>
        <w:r>
          <w:fldChar w:fldCharType="separate"/>
        </w:r>
        <w:r>
          <w:t>44</w:t>
        </w:r>
        <w:r>
          <w:fldChar w:fldCharType="end"/>
        </w:r>
      </w:hyperlink>
    </w:p>
    <w:p>
      <w:pPr>
        <w:pStyle w:val="TOC2"/>
        <w:tabs>
          <w:tab w:val="right" w:leader="dot" w:pos="8306"/>
        </w:tabs>
      </w:pPr>
      <w:hyperlink w:anchor="_Toc3699" w:history="1">
        <w:r>
          <w:rPr>
            <w:rFonts w:ascii="仿宋" w:eastAsia="仿宋" w:hAnsi="仿宋" w:cs="仿宋" w:hint="eastAsia"/>
            <w:lang w:eastAsia="zh-CN"/>
          </w:rPr>
          <w:t>(一)、建设区域环境质量现状</w:t>
        </w:r>
        <w:r>
          <w:tab/>
        </w:r>
        <w:r>
          <w:fldChar w:fldCharType="begin"/>
        </w:r>
        <w:r>
          <w:instrText xml:space="preserve"> PAGEREF _Toc3699 \h </w:instrText>
        </w:r>
        <w:r>
          <w:fldChar w:fldCharType="separate"/>
        </w:r>
        <w:r>
          <w:t>44</w:t>
        </w:r>
        <w:r>
          <w:fldChar w:fldCharType="end"/>
        </w:r>
      </w:hyperlink>
    </w:p>
    <w:p>
      <w:pPr>
        <w:pStyle w:val="TOC2"/>
        <w:tabs>
          <w:tab w:val="right" w:leader="dot" w:pos="8306"/>
        </w:tabs>
      </w:pPr>
      <w:hyperlink w:anchor="_Toc10432" w:history="1">
        <w:r>
          <w:rPr>
            <w:rFonts w:ascii="仿宋" w:eastAsia="仿宋" w:hAnsi="仿宋" w:cs="仿宋" w:hint="eastAsia"/>
            <w:lang w:eastAsia="zh-CN"/>
          </w:rPr>
          <w:t>(二)、建设期环境保护</w:t>
        </w:r>
        <w:r>
          <w:tab/>
        </w:r>
        <w:r>
          <w:fldChar w:fldCharType="begin"/>
        </w:r>
        <w:r>
          <w:instrText xml:space="preserve"> PAGEREF _Toc10432 \h </w:instrText>
        </w:r>
        <w:r>
          <w:fldChar w:fldCharType="separate"/>
        </w:r>
        <w:r>
          <w:t>45</w:t>
        </w:r>
        <w:r>
          <w:fldChar w:fldCharType="end"/>
        </w:r>
      </w:hyperlink>
    </w:p>
    <w:p>
      <w:pPr>
        <w:pStyle w:val="TOC2"/>
        <w:tabs>
          <w:tab w:val="right" w:leader="dot" w:pos="8306"/>
        </w:tabs>
      </w:pPr>
      <w:hyperlink w:anchor="_Toc20814" w:history="1">
        <w:r>
          <w:rPr>
            <w:rFonts w:ascii="仿宋" w:eastAsia="仿宋" w:hAnsi="仿宋" w:cs="仿宋" w:hint="eastAsia"/>
            <w:lang w:eastAsia="zh-CN"/>
          </w:rPr>
          <w:t>(三)、运营期环境保护</w:t>
        </w:r>
        <w:r>
          <w:tab/>
        </w:r>
        <w:r>
          <w:fldChar w:fldCharType="begin"/>
        </w:r>
        <w:r>
          <w:instrText xml:space="preserve"> PAGEREF _Toc20814 \h </w:instrText>
        </w:r>
        <w:r>
          <w:fldChar w:fldCharType="separate"/>
        </w:r>
        <w:r>
          <w:t>47</w:t>
        </w:r>
        <w:r>
          <w:fldChar w:fldCharType="end"/>
        </w:r>
      </w:hyperlink>
    </w:p>
    <w:p>
      <w:pPr>
        <w:pStyle w:val="TOC2"/>
        <w:tabs>
          <w:tab w:val="right" w:leader="dot" w:pos="8306"/>
        </w:tabs>
      </w:pPr>
      <w:hyperlink w:anchor="_Toc30773" w:history="1">
        <w:r>
          <w:rPr>
            <w:rFonts w:ascii="仿宋" w:eastAsia="仿宋" w:hAnsi="仿宋" w:cs="仿宋" w:hint="eastAsia"/>
            <w:lang w:eastAsia="zh-CN"/>
          </w:rPr>
          <w:t>(四)、证券登记、结算机构服务项目建设对区域经济的影响</w:t>
        </w:r>
        <w:r>
          <w:tab/>
        </w:r>
        <w:r>
          <w:fldChar w:fldCharType="begin"/>
        </w:r>
        <w:r>
          <w:instrText xml:space="preserve"> PAGEREF _Toc30773 \h </w:instrText>
        </w:r>
        <w:r>
          <w:fldChar w:fldCharType="separate"/>
        </w:r>
        <w:r>
          <w:t>48</w:t>
        </w:r>
        <w:r>
          <w:fldChar w:fldCharType="end"/>
        </w:r>
      </w:hyperlink>
    </w:p>
    <w:p>
      <w:pPr>
        <w:pStyle w:val="TOC2"/>
        <w:tabs>
          <w:tab w:val="right" w:leader="dot" w:pos="8306"/>
        </w:tabs>
      </w:pPr>
      <w:hyperlink w:anchor="_Toc19708" w:history="1">
        <w:r>
          <w:rPr>
            <w:rFonts w:ascii="仿宋" w:eastAsia="仿宋" w:hAnsi="仿宋" w:cs="仿宋" w:hint="eastAsia"/>
            <w:lang w:eastAsia="zh-CN"/>
          </w:rPr>
          <w:t>(五)、废弃物处理</w:t>
        </w:r>
        <w:r>
          <w:tab/>
        </w:r>
        <w:r>
          <w:fldChar w:fldCharType="begin"/>
        </w:r>
        <w:r>
          <w:instrText xml:space="preserve"> PAGEREF _Toc19708 \h </w:instrText>
        </w:r>
        <w:r>
          <w:fldChar w:fldCharType="separate"/>
        </w:r>
        <w:r>
          <w:t>50</w:t>
        </w:r>
        <w:r>
          <w:fldChar w:fldCharType="end"/>
        </w:r>
      </w:hyperlink>
    </w:p>
    <w:p>
      <w:pPr>
        <w:pStyle w:val="TOC2"/>
        <w:tabs>
          <w:tab w:val="right" w:leader="dot" w:pos="8306"/>
        </w:tabs>
      </w:pPr>
      <w:hyperlink w:anchor="_Toc12447" w:history="1">
        <w:r>
          <w:rPr>
            <w:rFonts w:ascii="仿宋" w:eastAsia="仿宋" w:hAnsi="仿宋" w:cs="仿宋" w:hint="eastAsia"/>
            <w:lang w:eastAsia="zh-CN"/>
          </w:rPr>
          <w:t>(六)、特殊环境影响分析</w:t>
        </w:r>
        <w:r>
          <w:tab/>
        </w:r>
        <w:r>
          <w:fldChar w:fldCharType="begin"/>
        </w:r>
        <w:r>
          <w:instrText xml:space="preserve"> PAGEREF _Toc12447 \h </w:instrText>
        </w:r>
        <w:r>
          <w:fldChar w:fldCharType="separate"/>
        </w:r>
        <w:r>
          <w:t>51</w:t>
        </w:r>
        <w:r>
          <w:fldChar w:fldCharType="end"/>
        </w:r>
      </w:hyperlink>
    </w:p>
    <w:p>
      <w:pPr>
        <w:pStyle w:val="TOC2"/>
        <w:tabs>
          <w:tab w:val="right" w:leader="dot" w:pos="8306"/>
        </w:tabs>
      </w:pPr>
      <w:hyperlink w:anchor="_Toc25722" w:history="1">
        <w:r>
          <w:rPr>
            <w:rFonts w:ascii="仿宋" w:eastAsia="仿宋" w:hAnsi="仿宋" w:cs="仿宋" w:hint="eastAsia"/>
            <w:lang w:eastAsia="zh-CN"/>
          </w:rPr>
          <w:t>(七)、清洁生产</w:t>
        </w:r>
        <w:r>
          <w:tab/>
        </w:r>
        <w:r>
          <w:fldChar w:fldCharType="begin"/>
        </w:r>
        <w:r>
          <w:instrText xml:space="preserve"> PAGEREF _Toc25722 \h </w:instrText>
        </w:r>
        <w:r>
          <w:fldChar w:fldCharType="separate"/>
        </w:r>
        <w:r>
          <w:t>53</w:t>
        </w:r>
        <w:r>
          <w:fldChar w:fldCharType="end"/>
        </w:r>
      </w:hyperlink>
    </w:p>
    <w:p>
      <w:pPr>
        <w:pStyle w:val="TOC2"/>
        <w:tabs>
          <w:tab w:val="right" w:leader="dot" w:pos="8306"/>
        </w:tabs>
      </w:pPr>
      <w:hyperlink w:anchor="_Toc24207" w:history="1">
        <w:r>
          <w:rPr>
            <w:rFonts w:ascii="仿宋" w:eastAsia="仿宋" w:hAnsi="仿宋" w:cs="仿宋" w:hint="eastAsia"/>
            <w:lang w:eastAsia="zh-CN"/>
          </w:rPr>
          <w:t>(八)、环境保护综合评价</w:t>
        </w:r>
        <w:r>
          <w:tab/>
        </w:r>
        <w:r>
          <w:fldChar w:fldCharType="begin"/>
        </w:r>
        <w:r>
          <w:instrText xml:space="preserve"> PAGEREF _Toc24207 \h </w:instrText>
        </w:r>
        <w:r>
          <w:fldChar w:fldCharType="separate"/>
        </w:r>
        <w:r>
          <w:t>54</w:t>
        </w:r>
        <w:r>
          <w:fldChar w:fldCharType="end"/>
        </w:r>
      </w:hyperlink>
    </w:p>
    <w:p>
      <w:pPr>
        <w:pStyle w:val="TOC1"/>
        <w:tabs>
          <w:tab w:val="right" w:leader="dot" w:pos="8306"/>
        </w:tabs>
      </w:pPr>
      <w:hyperlink w:anchor="_Toc22930" w:history="1">
        <w:r>
          <w:rPr>
            <w:rFonts w:ascii="仿宋" w:eastAsia="仿宋" w:hAnsi="仿宋" w:cs="仿宋" w:hint="eastAsia"/>
            <w:lang w:eastAsia="zh-CN"/>
          </w:rPr>
          <w:t>十三、证券登记、结算机构服务项目实施保障措施</w:t>
        </w:r>
        <w:r>
          <w:tab/>
        </w:r>
        <w:r>
          <w:fldChar w:fldCharType="begin"/>
        </w:r>
        <w:r>
          <w:instrText xml:space="preserve"> PAGEREF _Toc22930 \h </w:instrText>
        </w:r>
        <w:r>
          <w:fldChar w:fldCharType="separate"/>
        </w:r>
        <w:r>
          <w:t>55</w:t>
        </w:r>
        <w:r>
          <w:fldChar w:fldCharType="end"/>
        </w:r>
      </w:hyperlink>
    </w:p>
    <w:p>
      <w:pPr>
        <w:pStyle w:val="TOC2"/>
        <w:tabs>
          <w:tab w:val="right" w:leader="dot" w:pos="8306"/>
        </w:tabs>
      </w:pPr>
      <w:hyperlink w:anchor="_Toc28212" w:history="1">
        <w:r>
          <w:rPr>
            <w:rFonts w:ascii="仿宋" w:eastAsia="仿宋" w:hAnsi="仿宋" w:cs="仿宋" w:hint="eastAsia"/>
            <w:lang w:eastAsia="zh-CN"/>
          </w:rPr>
          <w:t>(一)、证券登记、结算机构服务项目实施保障机制</w:t>
        </w:r>
        <w:r>
          <w:tab/>
        </w:r>
        <w:r>
          <w:fldChar w:fldCharType="begin"/>
        </w:r>
        <w:r>
          <w:instrText xml:space="preserve"> PAGEREF _Toc28212 \h </w:instrText>
        </w:r>
        <w:r>
          <w:fldChar w:fldCharType="separate"/>
        </w:r>
        <w:r>
          <w:t>55</w:t>
        </w:r>
        <w:r>
          <w:fldChar w:fldCharType="end"/>
        </w:r>
      </w:hyperlink>
    </w:p>
    <w:p>
      <w:pPr>
        <w:pStyle w:val="TOC2"/>
        <w:tabs>
          <w:tab w:val="right" w:leader="dot" w:pos="8306"/>
        </w:tabs>
      </w:pPr>
      <w:hyperlink w:anchor="_Toc6910" w:history="1">
        <w:r>
          <w:rPr>
            <w:rFonts w:ascii="仿宋" w:eastAsia="仿宋" w:hAnsi="仿宋" w:cs="仿宋" w:hint="eastAsia"/>
            <w:lang w:eastAsia="zh-CN"/>
          </w:rPr>
          <w:t>(二)、证券登记、结算机构服务项目法律合规要求</w:t>
        </w:r>
        <w:r>
          <w:tab/>
        </w:r>
        <w:r>
          <w:fldChar w:fldCharType="begin"/>
        </w:r>
        <w:r>
          <w:instrText xml:space="preserve"> PAGEREF _Toc6910 \h </w:instrText>
        </w:r>
        <w:r>
          <w:fldChar w:fldCharType="separate"/>
        </w:r>
        <w:r>
          <w:t>59</w:t>
        </w:r>
        <w:r>
          <w:fldChar w:fldCharType="end"/>
        </w:r>
      </w:hyperlink>
    </w:p>
    <w:p>
      <w:pPr>
        <w:pStyle w:val="TOC2"/>
        <w:tabs>
          <w:tab w:val="right" w:leader="dot" w:pos="8306"/>
        </w:tabs>
      </w:pPr>
      <w:hyperlink w:anchor="_Toc8580" w:history="1">
        <w:r>
          <w:rPr>
            <w:rFonts w:ascii="仿宋" w:eastAsia="仿宋" w:hAnsi="仿宋" w:cs="仿宋" w:hint="eastAsia"/>
            <w:lang w:eastAsia="zh-CN"/>
          </w:rPr>
          <w:t>(三)、证券登记、结算机构服务项目合同管理与法律事务</w:t>
        </w:r>
        <w:r>
          <w:tab/>
        </w:r>
        <w:r>
          <w:fldChar w:fldCharType="begin"/>
        </w:r>
        <w:r>
          <w:instrText xml:space="preserve"> PAGEREF _Toc8580 \h </w:instrText>
        </w:r>
        <w:r>
          <w:fldChar w:fldCharType="separate"/>
        </w:r>
        <w:r>
          <w:t>64</w:t>
        </w:r>
        <w:r>
          <w:fldChar w:fldCharType="end"/>
        </w:r>
      </w:hyperlink>
    </w:p>
    <w:p>
      <w:pPr>
        <w:pStyle w:val="TOC2"/>
        <w:tabs>
          <w:tab w:val="right" w:leader="dot" w:pos="8306"/>
        </w:tabs>
      </w:pPr>
      <w:hyperlink w:anchor="_Toc16499" w:history="1">
        <w:r>
          <w:rPr>
            <w:rFonts w:ascii="仿宋" w:eastAsia="仿宋" w:hAnsi="仿宋" w:cs="仿宋" w:hint="eastAsia"/>
            <w:lang w:eastAsia="zh-CN"/>
          </w:rPr>
          <w:t>(四)、证券登记、结算机构服务项目知识产权保护策略</w:t>
        </w:r>
        <w:r>
          <w:tab/>
        </w:r>
        <w:r>
          <w:fldChar w:fldCharType="begin"/>
        </w:r>
        <w:r>
          <w:instrText xml:space="preserve"> PAGEREF _Toc16499 \h </w:instrText>
        </w:r>
        <w:r>
          <w:fldChar w:fldCharType="separate"/>
        </w:r>
        <w:r>
          <w:t>71</w:t>
        </w:r>
        <w:r>
          <w:fldChar w:fldCharType="end"/>
        </w:r>
      </w:hyperlink>
    </w:p>
    <w:p>
      <w:pPr>
        <w:pStyle w:val="TOC1"/>
        <w:tabs>
          <w:tab w:val="right" w:leader="dot" w:pos="8306"/>
        </w:tabs>
      </w:pPr>
      <w:hyperlink w:anchor="_Toc144" w:history="1">
        <w:r>
          <w:rPr>
            <w:rFonts w:ascii="仿宋" w:eastAsia="仿宋" w:hAnsi="仿宋" w:cs="仿宋" w:hint="eastAsia"/>
            <w:lang w:eastAsia="zh-CN"/>
          </w:rPr>
          <w:t>十四、利益相关者分析与沟通计划</w:t>
        </w:r>
        <w:r>
          <w:tab/>
        </w:r>
        <w:r>
          <w:fldChar w:fldCharType="begin"/>
        </w:r>
        <w:r>
          <w:instrText xml:space="preserve"> PAGEREF _Toc144 \h </w:instrText>
        </w:r>
        <w:r>
          <w:fldChar w:fldCharType="separate"/>
        </w:r>
        <w:r>
          <w:t>73</w:t>
        </w:r>
        <w:r>
          <w:fldChar w:fldCharType="end"/>
        </w:r>
      </w:hyperlink>
    </w:p>
    <w:p>
      <w:pPr>
        <w:pStyle w:val="TOC2"/>
        <w:tabs>
          <w:tab w:val="right" w:leader="dot" w:pos="8306"/>
        </w:tabs>
      </w:pPr>
      <w:hyperlink w:anchor="_Toc3117" w:history="1">
        <w:r>
          <w:rPr>
            <w:rFonts w:ascii="仿宋" w:eastAsia="仿宋" w:hAnsi="仿宋" w:cs="仿宋" w:hint="eastAsia"/>
            <w:lang w:eastAsia="zh-CN"/>
          </w:rPr>
          <w:t>(一)、利益相关者分析</w:t>
        </w:r>
        <w:r>
          <w:tab/>
        </w:r>
        <w:r>
          <w:fldChar w:fldCharType="begin"/>
        </w:r>
        <w:r>
          <w:instrText xml:space="preserve"> PAGEREF _Toc3117 \h </w:instrText>
        </w:r>
        <w:r>
          <w:fldChar w:fldCharType="separate"/>
        </w:r>
        <w:r>
          <w:t>73</w:t>
        </w:r>
        <w:r>
          <w:fldChar w:fldCharType="end"/>
        </w:r>
      </w:hyperlink>
    </w:p>
    <w:p>
      <w:pPr>
        <w:pStyle w:val="TOC2"/>
        <w:tabs>
          <w:tab w:val="right" w:leader="dot" w:pos="8306"/>
        </w:tabs>
      </w:pPr>
      <w:hyperlink w:anchor="_Toc23912" w:history="1">
        <w:r>
          <w:rPr>
            <w:rFonts w:ascii="仿宋" w:eastAsia="仿宋" w:hAnsi="仿宋" w:cs="仿宋" w:hint="eastAsia"/>
            <w:lang w:eastAsia="zh-CN"/>
          </w:rPr>
          <w:t>(二)、沟通计划</w:t>
        </w:r>
        <w:r>
          <w:tab/>
        </w:r>
        <w:r>
          <w:fldChar w:fldCharType="begin"/>
        </w:r>
        <w:r>
          <w:instrText xml:space="preserve"> PAGEREF _Toc23912 \h </w:instrText>
        </w:r>
        <w:r>
          <w:fldChar w:fldCharType="separate"/>
        </w:r>
        <w:r>
          <w:t>74</w:t>
        </w:r>
        <w:r>
          <w:fldChar w:fldCharType="end"/>
        </w:r>
      </w:hyperlink>
    </w:p>
    <w:p>
      <w:pPr>
        <w:pStyle w:val="TOC1"/>
        <w:tabs>
          <w:tab w:val="right" w:leader="dot" w:pos="8306"/>
        </w:tabs>
      </w:pPr>
      <w:hyperlink w:anchor="_Toc17845" w:history="1">
        <w:r>
          <w:rPr>
            <w:rFonts w:ascii="仿宋" w:eastAsia="仿宋" w:hAnsi="仿宋" w:cs="仿宋" w:hint="eastAsia"/>
            <w:lang w:eastAsia="zh-CN"/>
          </w:rPr>
          <w:t>十五、证券登记、结算机构服务项目治理与监督</w:t>
        </w:r>
        <w:r>
          <w:tab/>
        </w:r>
        <w:r>
          <w:fldChar w:fldCharType="begin"/>
        </w:r>
        <w:r>
          <w:instrText xml:space="preserve"> PAGEREF _Toc17845 \h </w:instrText>
        </w:r>
        <w:r>
          <w:fldChar w:fldCharType="separate"/>
        </w:r>
        <w:r>
          <w:t>76</w:t>
        </w:r>
        <w:r>
          <w:fldChar w:fldCharType="end"/>
        </w:r>
      </w:hyperlink>
    </w:p>
    <w:p>
      <w:pPr>
        <w:pStyle w:val="TOC2"/>
        <w:tabs>
          <w:tab w:val="right" w:leader="dot" w:pos="8306"/>
        </w:tabs>
      </w:pPr>
      <w:hyperlink w:anchor="_Toc4161" w:history="1">
        <w:r>
          <w:rPr>
            <w:rFonts w:ascii="仿宋" w:eastAsia="仿宋" w:hAnsi="仿宋" w:cs="仿宋" w:hint="eastAsia"/>
            <w:lang w:eastAsia="zh-CN"/>
          </w:rPr>
          <w:t>(一)、证券登记、结算机构服务项目治理结构</w:t>
        </w:r>
        <w:r>
          <w:tab/>
        </w:r>
        <w:r>
          <w:fldChar w:fldCharType="begin"/>
        </w:r>
        <w:r>
          <w:instrText xml:space="preserve"> PAGEREF _Toc4161 \h </w:instrText>
        </w:r>
        <w:r>
          <w:fldChar w:fldCharType="separate"/>
        </w:r>
        <w:r>
          <w:t>76</w:t>
        </w:r>
        <w:r>
          <w:fldChar w:fldCharType="end"/>
        </w:r>
      </w:hyperlink>
    </w:p>
    <w:p>
      <w:pPr>
        <w:pStyle w:val="TOC2"/>
        <w:tabs>
          <w:tab w:val="right" w:leader="dot" w:pos="8306"/>
        </w:tabs>
      </w:pPr>
      <w:hyperlink w:anchor="_Toc8182" w:history="1">
        <w:r>
          <w:rPr>
            <w:rFonts w:ascii="仿宋" w:eastAsia="仿宋" w:hAnsi="仿宋" w:cs="仿宋" w:hint="eastAsia"/>
            <w:lang w:eastAsia="zh-CN"/>
          </w:rPr>
          <w:t>(二)、监督与审计</w:t>
        </w:r>
        <w:r>
          <w:tab/>
        </w:r>
        <w:r>
          <w:fldChar w:fldCharType="begin"/>
        </w:r>
        <w:r>
          <w:instrText xml:space="preserve"> PAGEREF _Toc8182 \h </w:instrText>
        </w:r>
        <w:r>
          <w:fldChar w:fldCharType="separate"/>
        </w:r>
        <w:r>
          <w:t>77</w:t>
        </w:r>
        <w:r>
          <w:fldChar w:fldCharType="end"/>
        </w:r>
      </w:hyperlink>
    </w:p>
    <w:p>
      <w:pPr>
        <w:pStyle w:val="TOC1"/>
        <w:tabs>
          <w:tab w:val="right" w:leader="dot" w:pos="8306"/>
        </w:tabs>
      </w:pPr>
      <w:hyperlink w:anchor="_Toc30142" w:history="1">
        <w:r>
          <w:rPr>
            <w:rFonts w:ascii="仿宋" w:eastAsia="仿宋" w:hAnsi="仿宋" w:cs="仿宋" w:hint="eastAsia"/>
            <w:lang w:eastAsia="zh-CN"/>
          </w:rPr>
          <w:t>十六、证券登记、结算机构服务项目变更管理</w:t>
        </w:r>
        <w:r>
          <w:tab/>
        </w:r>
        <w:r>
          <w:fldChar w:fldCharType="begin"/>
        </w:r>
        <w:r>
          <w:instrText xml:space="preserve"> PAGEREF _Toc30142 \h </w:instrText>
        </w:r>
        <w:r>
          <w:fldChar w:fldCharType="separate"/>
        </w:r>
        <w:r>
          <w:t>79</w:t>
        </w:r>
        <w:r>
          <w:fldChar w:fldCharType="end"/>
        </w:r>
      </w:hyperlink>
    </w:p>
    <w:p>
      <w:pPr>
        <w:pStyle w:val="TOC2"/>
        <w:tabs>
          <w:tab w:val="right" w:leader="dot" w:pos="8306"/>
        </w:tabs>
      </w:pPr>
      <w:hyperlink w:anchor="_Toc11484" w:history="1">
        <w:r>
          <w:rPr>
            <w:rFonts w:ascii="仿宋" w:eastAsia="仿宋" w:hAnsi="仿宋" w:cs="仿宋" w:hint="eastAsia"/>
            <w:lang w:eastAsia="zh-CN"/>
          </w:rPr>
          <w:t>(一)、变更申请与评估</w:t>
        </w:r>
        <w:r>
          <w:tab/>
        </w:r>
        <w:r>
          <w:fldChar w:fldCharType="begin"/>
        </w:r>
        <w:r>
          <w:instrText xml:space="preserve"> PAGEREF _Toc11484 \h </w:instrText>
        </w:r>
        <w:r>
          <w:fldChar w:fldCharType="separate"/>
        </w:r>
        <w:r>
          <w:t>79</w:t>
        </w:r>
        <w:r>
          <w:fldChar w:fldCharType="end"/>
        </w:r>
      </w:hyperlink>
    </w:p>
    <w:p>
      <w:pPr>
        <w:pStyle w:val="TOC2"/>
        <w:tabs>
          <w:tab w:val="right" w:leader="dot" w:pos="8306"/>
        </w:tabs>
      </w:pPr>
      <w:hyperlink w:anchor="_Toc18571" w:history="1">
        <w:r>
          <w:rPr>
            <w:rFonts w:ascii="仿宋" w:eastAsia="仿宋" w:hAnsi="仿宋" w:cs="仿宋" w:hint="eastAsia"/>
            <w:lang w:eastAsia="zh-CN"/>
          </w:rPr>
          <w:t>(二)、变更实施与控制</w:t>
        </w:r>
        <w:r>
          <w:tab/>
        </w:r>
        <w:r>
          <w:fldChar w:fldCharType="begin"/>
        </w:r>
        <w:r>
          <w:instrText xml:space="preserve"> PAGEREF _Toc18571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206"/>
      <w:r>
        <w:rPr>
          <w:rFonts w:ascii="仿宋" w:eastAsia="仿宋" w:hAnsi="仿宋" w:cs="仿宋" w:hint="eastAsia"/>
          <w:sz w:val="28"/>
          <w:lang w:eastAsia="zh-CN"/>
        </w:rPr>
        <w:t>一、证券登记、结算机构服务项目建设背景及必要性分析</w:t>
      </w:r>
      <w:bookmarkEnd w:id="2"/>
    </w:p>
    <w:p>
      <w:pPr>
        <w:pStyle w:val="Heading2"/>
        <w:rPr>
          <w:rFonts w:ascii="仿宋" w:eastAsia="仿宋" w:hAnsi="仿宋" w:cs="仿宋" w:hint="eastAsia"/>
          <w:lang w:eastAsia="zh-CN"/>
        </w:rPr>
      </w:pPr>
      <w:bookmarkStart w:id="3" w:name="_Toc26900"/>
      <w:r>
        <w:rPr>
          <w:rFonts w:ascii="仿宋" w:eastAsia="仿宋" w:hAnsi="仿宋" w:cs="仿宋" w:hint="eastAsia"/>
          <w:lang w:eastAsia="zh-CN"/>
        </w:rPr>
        <w:t>(一)、证券登记、结算机构服务项目背景分析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证券登记、结算机构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证券登记、结算机构服务项目在这个潮流中的定位。同时，我们将关注行业内涌现的新兴机遇，以便证券登记、结算机构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证券登记、结算机构服务项目提供了强大的发展动力。我们将聚焦于行业内最新的技术发展趋势，包括但不限于人工智能、大数据分析、物联网等领域。通过深度的技术研究，我们将确保证券登记、结算机构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证券登记、结算机构服务项目发展的源泉。我们将投入更多的精力对市场需求进行深入剖析，超越表面的需求，深入挖掘潜在的市场痛点和机遇。通过对市场需求的细致了解，证券登记、结算机构服务项目将更有针对性地设计解决方案，满足市场的多样化需求，从而更好地促进证券登记、结算机构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证券登记、结算机构服务项目战略至关重要。我们将对竞争态势进行更为深入的分析，包括但不限于市场份额、产品特点、客户满意度等多个维度。通过深度的竞争分析，证券登记、结算机构服务项目将能够更准确地把握市场脉搏，制定具有竞争力的证券登记、结算机构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证券登记、结算机构服务项目的发展具有直接的影响。我们将进行更为全面的法规和政策分析，了解行业发展中的潜在法律风险和合规挑战。通过充分了解和遵守相关法规，证券登记、结算机构服务项目将确保在法律框架内合法合规运营，为证券登记、结算机构服务项目的稳健发展提供有力支持。</w:t>
      </w:r>
    </w:p>
    <w:p>
      <w:pPr>
        <w:pStyle w:val="Heading2"/>
        <w:ind w:firstLine="560" w:firstLineChars="200"/>
        <w:rPr>
          <w:rFonts w:ascii="仿宋" w:eastAsia="仿宋" w:hAnsi="仿宋" w:cs="仿宋" w:hint="eastAsia"/>
          <w:sz w:val="28"/>
          <w:lang w:eastAsia="zh-CN"/>
        </w:rPr>
      </w:pPr>
      <w:bookmarkStart w:id="4" w:name="_Toc20248"/>
      <w:r>
        <w:rPr>
          <w:rFonts w:ascii="仿宋" w:eastAsia="仿宋" w:hAnsi="仿宋" w:cs="仿宋" w:hint="eastAsia"/>
          <w:sz w:val="28"/>
          <w:lang w:eastAsia="zh-CN"/>
        </w:rPr>
        <w:t>(二)、证券登记、结算机构服务项目建设必要性分析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建设的迫切性源于对行业发展趋势的深刻洞察。我们正处于一个行业变革的时代，科技创新、数字化转型成为企业发展的关键动力。证券登记、结算机构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建设不仅仅是为了跟上潮流，更是为了通过技术创新推动企业的持续发展。通过引入先进的技术和解决方案，证券登记、结算机构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证券登记、结算机构服务项目的建设成为必然选择，通过提高产品质量、拓展服务领域，从而在竞争中获得更多的机会。证券登记、结算机构服务项目建设将使企业更好地适应市场需求，增强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证券登记、结算机构服务项目建设的必要性体现在对客户需求更精准的满足。通过证券登记、结算机构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建设的背后是对企业持续创新的追求。只有通过不断创新，企业才能在竞争中立于不败之地。证券登记、结算机构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1189"/>
      <w:r>
        <w:rPr>
          <w:rFonts w:ascii="仿宋" w:eastAsia="仿宋" w:hAnsi="仿宋" w:cs="仿宋" w:hint="eastAsia"/>
          <w:sz w:val="28"/>
          <w:lang w:eastAsia="zh-CN"/>
        </w:rPr>
        <w:t>二、证券登记、结算机构服务项目概论</w:t>
      </w:r>
      <w:bookmarkEnd w:id="5"/>
    </w:p>
    <w:p>
      <w:pPr>
        <w:pStyle w:val="Heading2"/>
        <w:rPr>
          <w:rFonts w:ascii="仿宋" w:eastAsia="仿宋" w:hAnsi="仿宋" w:cs="仿宋" w:hint="eastAsia"/>
          <w:lang w:eastAsia="zh-CN"/>
        </w:rPr>
      </w:pPr>
      <w:bookmarkStart w:id="6" w:name="_Toc28976"/>
      <w:r>
        <w:rPr>
          <w:rFonts w:ascii="仿宋" w:eastAsia="仿宋" w:hAnsi="仿宋" w:cs="仿宋" w:hint="eastAsia"/>
          <w:lang w:eastAsia="zh-CN"/>
        </w:rPr>
        <w:t>(一)、证券登记、结算机构服务项目概况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起源追溯至对市场的深入洞察。市场的不断演变与变革为证券登记、结算机构服务项目提供了难得的机遇。当前市场存在的需求缺口和变革的大环境共同构成了证券登记、结算机构服务项目的背景。这个证券登记、结算机构服务项目旨在充分利用市场机遇，填补行业中尚未满足的需求，为客户提供全新的解决方案。市场的变革和需求的增长使得这个证券登记、结算机构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证券登记、结算机构服务项目名称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正式命名为证券登记、结算机构服务。这个名称不仅仅是一个标识，更代表了证券登记、结算机构服务项目的核心理念和愿景。它蕴含着证券登记、结算机构服务项目所要解决问题的关键字，具有强烈的表达和辨识度，为证券登记、结算机构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证券登记、结算机构服务项目目标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核心目标是提供一种全新、高效的解决方案，满足客户日益增长的需求。证券登记、结算机构服务项目追求的不仅仅是满足市场需求，更是在市场中获得卓越的竞争优势。通过不断提升产品或服务的质量和创新水平，证券登记、结算机构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证券登记、结算机构服务项目范围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全面涵盖了产品研发、制造、市场推广和售后服务，确保从产品设计到最终用户体验的全方位关注。这一全面的证券登记、结算机构服务项目范围是为了确保证券登记、结算机构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证券登记、结算机构服务项目时间表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计划在未来18个月内完成，包括研发、测试、市场试点和正式推出等不同阶段。这个时间表的合理设计是为了确保证券登记、结算机构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证券登记、结算机构服务项目预算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总预算估算为XX百万美元，主要分配在研发、市场推广、人员培训和运营等方面。这一充足的预算为证券登记、结算机构服务项目提供了充足的资源，确保证券登记、结算机构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证券登记、结算机构服务项目风险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可能面临的风险包括市场接受度低、技术难题、竞争激烈等。证券登记、结算机构服务项目团队已经制定了相应的风险应对计划，通过前瞻性的风险管理，确保证券登记、结算机构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证券登记、结算机构服务项目团队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汇聚了一支经验丰富、多领域专业素养的核心团队，确保证券登记、结算机构服务项目在各个方面都能拥有高水平的执行力。团队的协同作战是证券登记、结算机构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证券登记、结算机构服务项目背景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证券登记、结算机构服务项目的背景根植于市场对更高效、创新产品的渴望，同时也受到科技发展对行业格局的深刻改变的影响。这为证券登记、结算机构服务项目提供了广阔的发展空间和市场需求。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1.10 证券登记、结算机构服务项目现状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截至目前，证券登记、结算机构服务项目已完成市场调研和技术验证，取得了初步的成功。这为证券登记、结算机构服务项目在未来的发展奠定了坚实的基础，为更远大的目标打下了坚实的基石。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5007"/>
      <w:r>
        <w:rPr>
          <w:rFonts w:ascii="仿宋" w:eastAsia="仿宋" w:hAnsi="仿宋" w:cs="仿宋" w:hint="eastAsia"/>
          <w:sz w:val="28"/>
          <w:lang w:eastAsia="zh-CN"/>
        </w:rPr>
        <w:t>(二)、证券登记、结算机构服务项目目标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证券登记、结算机构服务项目首要业务目标是在市场中占据有利地位，实现产品/服务的成功推广和销售。通过不断提升产品质量、创新性，证券登记、结算机构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在科技迅速发展的时代，证券登记、结算机构服务项目着眼于技术创新。通过持续的研发和技术升级，证券登记、结算机构服务项目旨在推出更具创新性的产品或服务，以满足市场对新鲜、先进解决方案的需求。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证券登记、结算机构服务项目设定了客户满意度目标。通过提供卓越的产品质量和优质的客户服务，证券登记、结算机构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注重社会责任和可持续发展。通过实施环保、社会责任证券登记、结算机构服务项目，证券登记、结算机构服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证券登记、结算机构服务项目的团队是实现目标的核心驱动力。因此，证券登记、结算机构服务项目设定了团队发展目标，包括提升团队成员的专业技能、培养领导力，以及搭建协同高效的团队工作氛围。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9777"/>
      <w:r>
        <w:rPr>
          <w:rFonts w:ascii="仿宋" w:eastAsia="仿宋" w:hAnsi="仿宋" w:cs="仿宋" w:hint="eastAsia"/>
          <w:sz w:val="28"/>
          <w:lang w:eastAsia="zh-CN"/>
        </w:rPr>
        <w:t>(三)、证券登记、结算机构服务项目提出的理由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证券登记、结算机构服务项目提出的理由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提出源于对市场机遇的深刻洞察。当前市场中存在的需求缺口和行业发展趋势表明，有巨大的商业机会等待被开发。通过准确捕捉市场机遇，证券登记、结算机构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理念基于对技术创新的信仰。通过持续的研发和技术投入，证券登记、结算机构服务项目有望推出更具创新性的产品或服务。在科技飞速发展的当下，证券登记、结算机构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证券登记、结算机构服务项目的提出是为了增强企业的行业竞争力。通过提升产品或服务的质量和独特性，证券登记、结算机构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响应了消费者需求的变化。随着社会和科技的不断发展，消费者对产品和服务的需求也在发生变化。通过深入了解并及时回应消费者的新需求，证券登记、结算机构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提出是企业战略发展规划的一部分。在面对日益激烈的市场竞争和不断变化的商业环境中，证券登记、结算机构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提出不仅仅是基于商业考量，还注重社会责任。通过推出环保、社会责任等方面的证券登记、结算机构服务项目，证券登记、结算机构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提出反映了对利益相关者期望的关注。包括客户、员工、投资者等利益相关者在企业发展中都有着各自的期望，证券登记、结算机构服务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4160"/>
      <w:r>
        <w:rPr>
          <w:rFonts w:ascii="仿宋" w:eastAsia="仿宋" w:hAnsi="仿宋" w:cs="仿宋" w:hint="eastAsia"/>
          <w:sz w:val="28"/>
          <w:lang w:eastAsia="zh-CN"/>
        </w:rPr>
        <w:t>(四)、证券登记、结算机构服务项目意义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在实施证券登记、结算机构服务项目的过程中，我们不仅仅是在追逐商业成功，更是为企业和社会的多个层面创造了深远的意义。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的首要意义在于提升企业的市场竞争力。通过持续的创新和对产品质量的高标准要求，证券登记、结算机构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证券登记、结算机构服务项目的推进将促使行业技术水平的提升。通过引入先进技术和创新性解决方案，证券登记、结算机构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证券登记、结算机构服务项目不仅创造了大量就业机会，提高了就业水平，还注重社会责任和环保。通过参与社会公益事业和推动环保证券登记、结算机构服务项目，证券登记、结算机构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综合而言，证券登记、结算机构服务项目意义重大，不仅推动了企业的发展，也为行业和社会的进步贡献了积极力量。这是一个全面而深刻的影响，将在未来产生可持续的正面效应。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6258"/>
      <w:r>
        <w:rPr>
          <w:rFonts w:ascii="仿宋" w:eastAsia="仿宋" w:hAnsi="仿宋" w:cs="仿宋" w:hint="eastAsia"/>
          <w:sz w:val="28"/>
          <w:lang w:eastAsia="zh-CN"/>
        </w:rPr>
        <w:t>(五)、证券登记、结算机构服务项目背景</w:t>
      </w:r>
      <w:bookmarkEnd w:id="10"/>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在当今迅猛发展的商业环境中，证券登记、结算机构服务项目的动因根植于对多方面因素的审慎考量。这个证券登记、结算机构服务项目的提出并非孤立的决策，而是对企业所处背景深入思考的产物。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证券登记、结算机构服务项目背后的首要原因。科技的迅速发展和全球市场的快速变化使得企业必须灵活应对。证券登记、结算机构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证券登记、结算机构服务项目背景中不可忽视的一环。企业需要在激烈竞争中脱颖而出，为此，证券登记、结算机构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技术的迅速发展为企业带来了机遇与挑战。作为证券登记、结算机构服务项目启动的背景之一，对新兴技术的应用将有助于提升企业的技术水平，使其在不断演进的商业环境中保持竞争优势。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证券登记、结算机构服务项目充分融入了社会责任的理念，通过可持续经营和社会公益证券登记、结算机构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0012"/>
      <w:r>
        <w:rPr>
          <w:rFonts w:ascii="仿宋" w:eastAsia="仿宋" w:hAnsi="仿宋" w:cs="仿宋" w:hint="eastAsia"/>
          <w:sz w:val="28"/>
          <w:lang w:eastAsia="zh-CN"/>
        </w:rPr>
        <w:t>三、证券登记、结算机构服务项目可持续发展</w:t>
      </w:r>
      <w:bookmarkEnd w:id="11"/>
    </w:p>
    <w:p>
      <w:pPr>
        <w:pStyle w:val="Heading2"/>
        <w:rPr>
          <w:rFonts w:ascii="仿宋" w:eastAsia="仿宋" w:hAnsi="仿宋" w:cs="仿宋" w:hint="eastAsia"/>
          <w:lang w:eastAsia="zh-CN"/>
        </w:rPr>
      </w:pPr>
      <w:bookmarkStart w:id="12" w:name="_Toc32073"/>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证券登记、结算机构服务项目中，证券登记、结算机构服务项目团队着眼于未来，明确了可持续发展的战略方向。制定的具体可持续发展目标包括降低资源使用、采用环保技术、最大化社会效益等。这一步骤不仅有助于证券登记、结算机构服务项目在环保和社会责任方面达到最高标准，也为未来提供了明确的指引，确保证券登记、结算机构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可持续实践的融入证券登记、结算机构服务项目管理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证券登记、结算机构服务项目管理周期。从证券登记、结算机构服务项目规划开始，证券登记、结算机构服务项目团队就考虑了环境和社会的因素。在执行阶段，证券登记、结算机构服务项目团队积极推动绿色技术的应用，优化资源利用。此外，关注员工的社会责任，通过培训和沟通活动提高员工对可持续发展的认知，使他们能够在日常工作中践行可持续实践。这些举措不仅为证券登记、结算机构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3407"/>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证券登记、结算机构服务项目的可持续发展理念，我们深信环保与社会责任是证券登记、结算机构服务项目成功的关键支柱。在证券登记、结算机构服务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团队通过引入先进的环保技术、建立高效的废物处理系统以及推动能源节约措施，积极履行环保责任。定期的环保监测和评估确保证券登记、结算机构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不仅致力于自身可持续发展，还注重对社会的回馈。通过支持社区证券登记、结算机构服务项目、参与慈善事业、提供培训机会等方式，证券登记、结算机构服务项目积极履行社会责任。与当地社区建立积极互动，关注员工的工作与生活平衡，以及员工的身心健康，是证券登记、结算机构服务项目在社会责任层面的关键举措。这样的实践不仅增强了证券登记、结算机构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4617"/>
      <w:r>
        <w:rPr>
          <w:rFonts w:ascii="仿宋" w:eastAsia="仿宋" w:hAnsi="仿宋" w:cs="仿宋" w:hint="eastAsia"/>
          <w:sz w:val="28"/>
          <w:lang w:eastAsia="zh-CN"/>
        </w:rPr>
        <w:t>四、证券登记、结算机构服务项目土建工程</w:t>
      </w:r>
      <w:bookmarkEnd w:id="14"/>
    </w:p>
    <w:p>
      <w:pPr>
        <w:pStyle w:val="Heading2"/>
        <w:rPr>
          <w:rFonts w:ascii="仿宋" w:eastAsia="仿宋" w:hAnsi="仿宋" w:cs="仿宋" w:hint="eastAsia"/>
          <w:lang w:eastAsia="zh-CN"/>
        </w:rPr>
      </w:pPr>
      <w:bookmarkStart w:id="15" w:name="_Toc18009"/>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在证券登记、结算机构服务项目的建筑工程设计中，我们将秉承一系列重要的设计原则，以确保证券登记、结算机构服务项目建筑在功能、美观、可持续性等方面达到最佳效果。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首要原则是确保建筑的功能性得到最大化的发挥。我们将充分理解证券登记、结算机构服务项目的实际需求，合理布局各个功能区域，保证建筑在满足业务需求的同时，提供高效的工作环境。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在建筑设计中，我们将综合考虑建设和运营成本。通过精细的经济效益分析，确保设计方案在高效利用资源的同时，对证券登记、结算机构服务项目的长期盈利能力有积极的贡献。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https://d.book118.com/148064070015006025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F125AF"/>
    <w:rsid w:val="25F125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06407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2024-01-08T14:55:00Z</dcterms:created>
  <dcterms:modified xsi:type="dcterms:W3CDTF">2024-01-08T14:55:25Z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0DB769435B634111A2364A7CC9C6BC88_11</vt:lpwstr>
  </property>
  <property fmtid="{D5CDD505-2E9C-101B-9397-08002B2CF9AE}" pid="3" name="KSOProductBuildVer">
    <vt:lpwstr>2052-12.1.0.16120</vt:lpwstr>
  </property>
</Properties>
</file>