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0"/>
        <w:ind w:left="277"/>
      </w:pPr>
      <w:r>
        <w:t>一、 编制依据: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  <w:spacing w:line="417" w:lineRule="auto"/>
        <w:ind w:right="2545" w:firstLine="838"/>
      </w:pPr>
      <w:r>
        <w:rPr>
          <w:spacing w:val="-9"/>
        </w:rPr>
        <w:t>本施工组织设计编制的依据是施工组织设计；施工图纸设计说明</w:t>
      </w:r>
      <w:r>
        <w:rPr>
          <w:spacing w:val="-2"/>
        </w:rPr>
        <w:t>书；国家规范、标准, 主要有：</w:t>
      </w:r>
    </w:p>
    <w:p>
      <w:pPr>
        <w:pStyle w:val="BodyText"/>
        <w:spacing w:line="537" w:lineRule="exact"/>
      </w:pPr>
      <w:r>
        <w:t>1、、《建设工程施工现场用电安全规范》(GB50194-93)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2、《机械设备安装工程施工及验收通用规范》(GB50231-96)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3</w:t>
      </w:r>
      <w:r>
        <w:rPr>
          <w:spacing w:val="-18"/>
        </w:rPr>
        <w:t>、《建筑工程施工质量验收规范》</w:t>
      </w:r>
      <w:r>
        <w:t>(GB50303-2002)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before="1"/>
      </w:pPr>
      <w:r>
        <w:t>4</w:t>
      </w:r>
      <w:r>
        <w:rPr>
          <w:spacing w:val="-17"/>
        </w:rPr>
        <w:t>、《施工现场临时用电安全技术规范》</w:t>
      </w:r>
      <w:r>
        <w:t>(JGJ46-96)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5、《工业金属管道焊接施工及验收规范》(GB50236-98)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6、《建筑工程监理规范》(GB50319-2000)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8677"/>
        </w:tabs>
      </w:pPr>
      <w:r>
        <w:t>7</w:t>
      </w:r>
      <w:r>
        <w:rPr>
          <w:spacing w:val="-213"/>
        </w:rPr>
        <w:t>、</w:t>
      </w:r>
      <w:r>
        <w:t>《工业金属管道工程施工及验收规范》</w:t>
        <w:tab/>
        <w:t>（GB50235—97）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8、《建筑工程技术资料管理规程》</w:t>
      </w:r>
    </w:p>
    <w:p>
      <w:pPr>
        <w:pStyle w:val="BodyText"/>
        <w:spacing w:before="12"/>
        <w:ind w:left="0"/>
        <w:rPr>
          <w:sz w:val="38"/>
        </w:rPr>
      </w:pPr>
    </w:p>
    <w:p>
      <w:pPr>
        <w:pStyle w:val="BodyText"/>
        <w:tabs>
          <w:tab w:val="left" w:pos="7629"/>
        </w:tabs>
      </w:pPr>
      <w:r>
        <w:t>9</w:t>
      </w:r>
      <w:r>
        <w:rPr>
          <w:spacing w:val="-213"/>
        </w:rPr>
        <w:t>、</w:t>
      </w:r>
      <w:r>
        <w:t>《钢结构工程施工及验收规范》</w:t>
        <w:tab/>
        <w:t>（GB50205-2001）</w:t>
      </w:r>
    </w:p>
    <w:p>
      <w:pPr>
        <w:pStyle w:val="BodyText"/>
        <w:tabs>
          <w:tab w:val="left" w:pos="7633"/>
        </w:tabs>
        <w:spacing w:before="363"/>
      </w:pPr>
      <w:r>
        <w:t>10</w:t>
      </w:r>
      <w:r>
        <w:rPr>
          <w:spacing w:val="-209"/>
        </w:rPr>
        <w:t>、</w:t>
      </w:r>
      <w:r>
        <w:t>《钢结构工程质量检验评定标准》</w:t>
        <w:tab/>
        <w:t>（GB50221-2001）</w:t>
      </w:r>
    </w:p>
    <w:p>
      <w:pPr>
        <w:pStyle w:val="BodyText"/>
        <w:tabs>
          <w:tab w:val="left" w:pos="8050"/>
        </w:tabs>
        <w:spacing w:before="261"/>
      </w:pPr>
      <w:r>
        <w:t>11</w:t>
      </w:r>
      <w:r>
        <w:rPr>
          <w:spacing w:val="-209"/>
        </w:rPr>
        <w:t>、</w:t>
      </w:r>
      <w:r>
        <w:t>《城市直埋供热管道工程技术规程》</w:t>
        <w:tab/>
        <w:t>CJJ/T81-98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7226"/>
      </w:pPr>
      <w:r>
        <w:t>12</w:t>
      </w:r>
      <w:r>
        <w:rPr>
          <w:spacing w:val="-17"/>
        </w:rPr>
        <w:t>、《城市供热管网工程施工及验收规范》</w:t>
      </w:r>
      <w:r>
        <w:rPr>
          <w:b/>
          <w:spacing w:val="8"/>
        </w:rPr>
        <w:t xml:space="preserve">二、 </w:t>
      </w:r>
      <w:r>
        <w:t>工程概况</w:t>
      </w:r>
    </w:p>
    <w:p>
      <w:pPr>
        <w:pStyle w:val="ListParagraph"/>
        <w:numPr>
          <w:ilvl w:val="0"/>
          <w:numId w:val="17"/>
        </w:numPr>
        <w:tabs>
          <w:tab w:val="left" w:pos="2797"/>
        </w:tabs>
        <w:spacing w:before="0" w:after="0" w:line="417" w:lineRule="auto"/>
        <w:ind w:left="277" w:right="2326" w:firstLine="1889"/>
        <w:jc w:val="left"/>
        <w:rPr>
          <w:sz w:val="42"/>
        </w:rPr>
      </w:pPr>
      <w:r>
        <w:rPr>
          <w:spacing w:val="-10"/>
          <w:sz w:val="42"/>
        </w:rPr>
        <w:t>本工程为金顶街三区的拆迁工程，将穿过金顶街三区的</w:t>
      </w:r>
      <w:r>
        <w:rPr>
          <w:spacing w:val="5"/>
          <w:sz w:val="42"/>
        </w:rPr>
        <w:t>采暖供回水管道</w:t>
      </w:r>
      <w:r>
        <w:rPr>
          <w:sz w:val="42"/>
        </w:rPr>
        <w:t>DN700</w:t>
      </w:r>
      <w:r>
        <w:rPr>
          <w:spacing w:val="-25"/>
          <w:sz w:val="42"/>
        </w:rPr>
        <w:t xml:space="preserve"> 拆除，迁到金顶山路、北新安路东路埋地敷设； </w:t>
      </w:r>
      <w:r>
        <w:rPr>
          <w:spacing w:val="-5"/>
          <w:sz w:val="42"/>
        </w:rPr>
        <w:t xml:space="preserve">新铺管道的试验压力为 </w:t>
      </w:r>
      <w:r>
        <w:rPr>
          <w:sz w:val="42"/>
        </w:rPr>
        <w:t>1。6Mpa，</w:t>
      </w:r>
      <w:r>
        <w:rPr>
          <w:spacing w:val="-10"/>
          <w:sz w:val="42"/>
        </w:rPr>
        <w:t xml:space="preserve">供水温度 </w:t>
      </w:r>
      <w:r>
        <w:rPr>
          <w:sz w:val="42"/>
        </w:rPr>
        <w:t>85℃</w:t>
      </w:r>
      <w:r>
        <w:rPr>
          <w:spacing w:val="-7"/>
          <w:sz w:val="42"/>
        </w:rPr>
        <w:t xml:space="preserve">、回水温度 </w:t>
      </w:r>
      <w:r>
        <w:rPr>
          <w:sz w:val="42"/>
        </w:rPr>
        <w:t xml:space="preserve">60℃， </w:t>
      </w:r>
      <w:r>
        <w:rPr>
          <w:spacing w:val="25"/>
          <w:sz w:val="42"/>
        </w:rPr>
        <w:t>热源接至</w:t>
      </w:r>
      <w:r>
        <w:rPr>
          <w:sz w:val="42"/>
        </w:rPr>
        <w:t>NO1#阀门井内。</w:t>
      </w:r>
    </w:p>
    <w:p>
      <w:pPr>
        <w:pStyle w:val="ListParagraph"/>
        <w:numPr>
          <w:ilvl w:val="0"/>
          <w:numId w:val="17"/>
        </w:numPr>
        <w:tabs>
          <w:tab w:val="left" w:pos="2797"/>
        </w:tabs>
        <w:spacing w:before="0" w:after="0" w:line="417" w:lineRule="auto"/>
        <w:ind w:left="277" w:right="2528" w:firstLine="1889"/>
        <w:jc w:val="left"/>
        <w:rPr>
          <w:sz w:val="42"/>
        </w:rPr>
      </w:pPr>
      <w:r>
        <w:rPr>
          <w:spacing w:val="-13"/>
          <w:sz w:val="42"/>
        </w:rPr>
        <w:t>管道埋地敷设，外包保温材料采用复合聚氨脂泡沫保温</w:t>
      </w:r>
      <w:r>
        <w:rPr>
          <w:spacing w:val="4"/>
          <w:sz w:val="42"/>
        </w:rPr>
        <w:t xml:space="preserve">材料，保温厚度为 </w:t>
      </w:r>
      <w:r>
        <w:rPr>
          <w:sz w:val="42"/>
        </w:rPr>
        <w:t>50mm，外包玻璃钢保护层；管道在井室内通过固</w:t>
      </w:r>
    </w:p>
    <w:p>
      <w:pPr>
        <w:spacing w:after="0" w:line="417" w:lineRule="auto"/>
        <w:jc w:val="left"/>
        <w:rPr>
          <w:sz w:val="42"/>
        </w:rPr>
        <w:sectPr>
          <w:type w:val="continuous"/>
          <w:pgSz w:w="17860" w:h="25260"/>
          <w:pgMar w:top="1960" w:right="140" w:bottom="280" w:left="2420" w:header="708" w:footer="708"/>
          <w:cols w:space="708"/>
        </w:sectPr>
      </w:pPr>
    </w:p>
    <w:p>
      <w:pPr>
        <w:pStyle w:val="BodyText"/>
        <w:spacing w:before="20"/>
      </w:pPr>
      <w:r>
        <w:t>定支架、滑动支架架设，支架及金属构件均刷樟丹漆、调和漆各两遍。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2797"/>
        </w:tabs>
        <w:spacing w:before="0" w:after="0" w:line="417" w:lineRule="auto"/>
        <w:ind w:left="277" w:right="2384" w:firstLine="1889"/>
        <w:jc w:val="left"/>
        <w:rPr>
          <w:sz w:val="42"/>
        </w:rPr>
      </w:pPr>
      <w:r>
        <w:rPr>
          <w:spacing w:val="-15"/>
          <w:sz w:val="42"/>
        </w:rPr>
        <w:t xml:space="preserve">管道安装时每 </w:t>
      </w:r>
      <w:r>
        <w:rPr>
          <w:sz w:val="42"/>
        </w:rPr>
        <w:t>35m</w:t>
      </w:r>
      <w:r>
        <w:rPr>
          <w:spacing w:val="-1"/>
          <w:sz w:val="42"/>
        </w:rPr>
        <w:t xml:space="preserve"> 设</w:t>
      </w:r>
      <w:r>
        <w:rPr>
          <w:sz w:val="42"/>
        </w:rPr>
        <w:t>TTB-B700-A-1</w:t>
      </w:r>
      <w:r>
        <w:rPr>
          <w:spacing w:val="-137"/>
          <w:sz w:val="42"/>
        </w:rPr>
        <w:t>。</w:t>
      </w:r>
      <w:r>
        <w:rPr>
          <w:sz w:val="42"/>
        </w:rPr>
        <w:t>6-450</w:t>
      </w:r>
      <w:r>
        <w:rPr>
          <w:spacing w:val="-19"/>
          <w:sz w:val="42"/>
        </w:rPr>
        <w:t xml:space="preserve"> 套筒补偿器一个，利用井室安装，补偿器与管道间连接时通过坡口处处理，安装</w:t>
      </w:r>
      <w:r>
        <w:rPr>
          <w:spacing w:val="-12"/>
          <w:sz w:val="42"/>
        </w:rPr>
        <w:t>方向与水流方向一致；同时管道通过预埋的套管进入井室，并在最高</w:t>
      </w:r>
      <w:r>
        <w:rPr>
          <w:spacing w:val="46"/>
          <w:sz w:val="42"/>
        </w:rPr>
        <w:t>处设</w:t>
      </w:r>
      <w:r>
        <w:rPr>
          <w:sz w:val="42"/>
        </w:rPr>
        <w:t>DN50</w:t>
      </w:r>
      <w:r>
        <w:rPr>
          <w:spacing w:val="-4"/>
          <w:sz w:val="42"/>
        </w:rPr>
        <w:t xml:space="preserve"> 放气阀、最低处设</w:t>
      </w:r>
      <w:r>
        <w:rPr>
          <w:sz w:val="42"/>
        </w:rPr>
        <w:t>DN150</w:t>
      </w:r>
      <w:r>
        <w:rPr>
          <w:spacing w:val="-4"/>
          <w:sz w:val="42"/>
        </w:rPr>
        <w:t xml:space="preserve"> 泄水阀，型号为</w:t>
      </w:r>
      <w:r>
        <w:rPr>
          <w:sz w:val="42"/>
        </w:rPr>
        <w:t>Z15W-16T。管道连接方式为直线段部分为焊接，转弯处利用弯头连接。</w:t>
      </w:r>
    </w:p>
    <w:p>
      <w:pPr>
        <w:pStyle w:val="BodyText"/>
        <w:spacing w:line="463" w:lineRule="auto"/>
        <w:ind w:right="11413"/>
      </w:pPr>
      <w:r>
        <w:pict>
          <v:group id="_x0000_s1025" style="width:612pt;height:257pt;margin-top:84.26pt;margin-left:126pt;mso-position-horizontal-relative:page;position:absolute;z-index:-251658240" coordorigin="2520,1685" coordsize="12240,51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40;height:5140;left:2520;position:absolute;top:1685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2758;position:absolute;top:20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863;height:422;left:6560;position:absolute;top:20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29" type="#_x0000_t202" style="width:863;height:422;left:10636;position:absolute;top:20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单位</w:t>
                    </w:r>
                  </w:p>
                </w:txbxContent>
              </v:textbox>
            </v:shape>
            <v:shape id="_x0000_s1030" type="#_x0000_t202" style="width:863;height:422;left:12926;position:absolute;top:20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数量</w:t>
                    </w:r>
                  </w:p>
                </w:txbxContent>
              </v:textbox>
            </v:shape>
          </v:group>
        </w:pict>
      </w:r>
      <w:r>
        <w:rPr>
          <w:b/>
        </w:rPr>
        <w:t xml:space="preserve">三、 </w:t>
      </w:r>
      <w:r>
        <w:t>主要实物量： 拆除工程：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7"/>
        </w:rPr>
      </w:pPr>
    </w:p>
    <w:tbl>
      <w:tblPr>
        <w:tblStyle w:val="TableNormal0"/>
        <w:tblW w:w="0" w:type="auto"/>
        <w:jc w:val="left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0"/>
        <w:gridCol w:w="6041"/>
        <w:gridCol w:w="1274"/>
        <w:gridCol w:w="568"/>
        <w:gridCol w:w="778"/>
        <w:gridCol w:w="1155"/>
      </w:tblGrid>
      <w:tr>
        <w:tblPrEx>
          <w:tblW w:w="0" w:type="auto"/>
          <w:jc w:val="left"/>
          <w:tblInd w:w="6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4"/>
          <w:jc w:val="left"/>
        </w:trPr>
        <w:tc>
          <w:tcPr>
            <w:tcW w:w="98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6041" w:type="dxa"/>
          </w:tcPr>
          <w:p>
            <w:pPr>
              <w:pStyle w:val="TableParagraph"/>
              <w:spacing w:line="480" w:lineRule="exact"/>
              <w:ind w:left="755" w:right="835"/>
              <w:jc w:val="center"/>
              <w:rPr>
                <w:sz w:val="42"/>
              </w:rPr>
            </w:pPr>
            <w:r>
              <w:rPr>
                <w:sz w:val="42"/>
              </w:rPr>
              <w:t>架空螺旋卷焊钢管DN700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68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778" w:type="dxa"/>
          </w:tcPr>
          <w:p>
            <w:pPr>
              <w:pStyle w:val="TableParagraph"/>
              <w:spacing w:line="480" w:lineRule="exact"/>
              <w:ind w:left="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m</w:t>
            </w:r>
          </w:p>
        </w:tc>
        <w:tc>
          <w:tcPr>
            <w:tcW w:w="1155" w:type="dxa"/>
          </w:tcPr>
          <w:p>
            <w:pPr>
              <w:pStyle w:val="TableParagraph"/>
              <w:spacing w:line="480" w:lineRule="exact"/>
              <w:ind w:left="241" w:right="34"/>
              <w:jc w:val="center"/>
              <w:rPr>
                <w:sz w:val="42"/>
              </w:rPr>
            </w:pPr>
            <w:r>
              <w:rPr>
                <w:sz w:val="42"/>
              </w:rPr>
              <w:t>1100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2"/>
          <w:jc w:val="left"/>
        </w:trPr>
        <w:tc>
          <w:tcPr>
            <w:tcW w:w="980" w:type="dxa"/>
          </w:tcPr>
          <w:p>
            <w:pPr>
              <w:pStyle w:val="TableParagraph"/>
              <w:spacing w:before="294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6041" w:type="dxa"/>
          </w:tcPr>
          <w:p>
            <w:pPr>
              <w:pStyle w:val="TableParagraph"/>
              <w:spacing w:before="294"/>
              <w:ind w:left="755" w:right="835"/>
              <w:jc w:val="center"/>
              <w:rPr>
                <w:sz w:val="42"/>
              </w:rPr>
            </w:pPr>
            <w:r>
              <w:rPr>
                <w:sz w:val="42"/>
              </w:rPr>
              <w:t>直埋螺旋卷焊钢管DN700</w:t>
            </w:r>
          </w:p>
        </w:tc>
        <w:tc>
          <w:tcPr>
            <w:tcW w:w="1274" w:type="dxa"/>
          </w:tcPr>
          <w:p>
            <w:pPr>
              <w:pStyle w:val="TableParagraph"/>
              <w:spacing w:before="294"/>
              <w:ind w:right="1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m</w:t>
            </w:r>
          </w:p>
        </w:tc>
        <w:tc>
          <w:tcPr>
            <w:tcW w:w="5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spacing w:before="294"/>
              <w:ind w:left="240" w:right="34"/>
              <w:jc w:val="center"/>
              <w:rPr>
                <w:sz w:val="42"/>
              </w:rPr>
            </w:pPr>
            <w:r>
              <w:rPr>
                <w:sz w:val="42"/>
              </w:rPr>
              <w:t>950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9"/>
          <w:jc w:val="left"/>
        </w:trPr>
        <w:tc>
          <w:tcPr>
            <w:tcW w:w="980" w:type="dxa"/>
          </w:tcPr>
          <w:p>
            <w:pPr>
              <w:pStyle w:val="TableParagraph"/>
              <w:spacing w:before="320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6041" w:type="dxa"/>
          </w:tcPr>
          <w:p>
            <w:pPr>
              <w:pStyle w:val="TableParagraph"/>
              <w:spacing w:before="320"/>
              <w:ind w:left="750" w:right="835"/>
              <w:jc w:val="center"/>
              <w:rPr>
                <w:sz w:val="42"/>
              </w:rPr>
            </w:pPr>
            <w:r>
              <w:rPr>
                <w:sz w:val="42"/>
              </w:rPr>
              <w:t>支架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20"/>
              <w:ind w:right="5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5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spacing w:before="320"/>
              <w:ind w:left="237" w:right="34"/>
              <w:jc w:val="center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980" w:type="dxa"/>
          </w:tcPr>
          <w:p>
            <w:pPr>
              <w:pStyle w:val="TableParagraph"/>
              <w:spacing w:before="192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6041" w:type="dxa"/>
          </w:tcPr>
          <w:p>
            <w:pPr>
              <w:pStyle w:val="TableParagraph"/>
              <w:spacing w:before="192" w:line="459" w:lineRule="exact"/>
              <w:ind w:left="750" w:right="835"/>
              <w:jc w:val="center"/>
              <w:rPr>
                <w:sz w:val="42"/>
              </w:rPr>
            </w:pPr>
            <w:r>
              <w:rPr>
                <w:sz w:val="42"/>
              </w:rPr>
              <w:t>土方</w:t>
            </w:r>
          </w:p>
        </w:tc>
        <w:tc>
          <w:tcPr>
            <w:tcW w:w="1274" w:type="dxa"/>
          </w:tcPr>
          <w:p>
            <w:pPr>
              <w:pStyle w:val="TableParagraph"/>
              <w:spacing w:before="192" w:line="459" w:lineRule="exact"/>
              <w:ind w:right="51"/>
              <w:jc w:val="right"/>
              <w:rPr>
                <w:sz w:val="42"/>
              </w:rPr>
            </w:pPr>
            <w:r>
              <w:rPr>
                <w:sz w:val="42"/>
              </w:rPr>
              <w:t>M3</w:t>
            </w:r>
          </w:p>
        </w:tc>
        <w:tc>
          <w:tcPr>
            <w:tcW w:w="5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spacing w:before="192" w:line="459" w:lineRule="exact"/>
              <w:ind w:left="241" w:right="34"/>
              <w:jc w:val="center"/>
              <w:rPr>
                <w:sz w:val="42"/>
              </w:rPr>
            </w:pPr>
            <w:r>
              <w:rPr>
                <w:sz w:val="42"/>
              </w:rPr>
              <w:t>2300</w:t>
            </w:r>
          </w:p>
        </w:tc>
      </w:tr>
    </w:tbl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spacing w:before="4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531240</wp:posOffset>
            </wp:positionV>
            <wp:extent cx="7752969" cy="4712589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2969" cy="4712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安装工程量：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5"/>
        </w:rPr>
      </w:pPr>
    </w:p>
    <w:tbl>
      <w:tblPr>
        <w:tblStyle w:val="TableNormal0"/>
        <w:tblW w:w="0" w:type="auto"/>
        <w:jc w:val="left"/>
        <w:tblInd w:w="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1"/>
        <w:gridCol w:w="6620"/>
        <w:gridCol w:w="1626"/>
        <w:gridCol w:w="1699"/>
      </w:tblGrid>
      <w:tr>
        <w:tblPrEx>
          <w:tblW w:w="0" w:type="auto"/>
          <w:jc w:val="left"/>
          <w:tblInd w:w="3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1121" w:type="dxa"/>
          </w:tcPr>
          <w:p>
            <w:pPr>
              <w:pStyle w:val="TableParagraph"/>
              <w:spacing w:line="480" w:lineRule="exact"/>
              <w:ind w:left="32" w:right="208"/>
              <w:jc w:val="center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6620" w:type="dxa"/>
          </w:tcPr>
          <w:p>
            <w:pPr>
              <w:pStyle w:val="TableParagraph"/>
              <w:spacing w:line="480" w:lineRule="exact"/>
              <w:ind w:left="208" w:right="225"/>
              <w:jc w:val="center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1626" w:type="dxa"/>
          </w:tcPr>
          <w:p>
            <w:pPr>
              <w:pStyle w:val="TableParagraph"/>
              <w:spacing w:line="480" w:lineRule="exact"/>
              <w:ind w:left="187"/>
              <w:rPr>
                <w:sz w:val="42"/>
              </w:rPr>
            </w:pPr>
            <w:r>
              <w:rPr>
                <w:sz w:val="42"/>
              </w:rPr>
              <w:t>单位</w:t>
            </w:r>
          </w:p>
        </w:tc>
        <w:tc>
          <w:tcPr>
            <w:tcW w:w="1699" w:type="dxa"/>
          </w:tcPr>
          <w:p>
            <w:pPr>
              <w:pStyle w:val="TableParagraph"/>
              <w:spacing w:line="480" w:lineRule="exact"/>
              <w:ind w:right="151"/>
              <w:jc w:val="right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1121" w:type="dxa"/>
          </w:tcPr>
          <w:p>
            <w:pPr>
              <w:pStyle w:val="TableParagraph"/>
              <w:spacing w:before="192"/>
              <w:ind w:right="24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2"/>
              <w:ind w:left="265" w:right="225"/>
              <w:jc w:val="center"/>
              <w:rPr>
                <w:sz w:val="42"/>
              </w:rPr>
            </w:pPr>
            <w:r>
              <w:rPr>
                <w:sz w:val="42"/>
              </w:rPr>
              <w:t>埋地螺旋卷焊钢管DN700（供水）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2"/>
              <w:ind w:left="2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m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2"/>
              <w:ind w:left="807"/>
              <w:rPr>
                <w:sz w:val="42"/>
              </w:rPr>
            </w:pPr>
            <w:r>
              <w:rPr>
                <w:sz w:val="42"/>
              </w:rPr>
              <w:t>300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21" w:type="dxa"/>
          </w:tcPr>
          <w:p>
            <w:pPr>
              <w:pStyle w:val="TableParagraph"/>
              <w:spacing w:before="192"/>
              <w:ind w:right="1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2"/>
              <w:ind w:left="265" w:right="225"/>
              <w:jc w:val="center"/>
              <w:rPr>
                <w:sz w:val="42"/>
              </w:rPr>
            </w:pPr>
            <w:r>
              <w:rPr>
                <w:sz w:val="42"/>
              </w:rPr>
              <w:t>直埋螺旋卷焊钢管DN700（回水）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2"/>
              <w:ind w:left="500"/>
              <w:rPr>
                <w:sz w:val="42"/>
              </w:rPr>
            </w:pPr>
            <w:r>
              <w:rPr>
                <w:w w:val="100"/>
                <w:sz w:val="42"/>
              </w:rPr>
              <w:t>m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2"/>
              <w:ind w:left="807"/>
              <w:rPr>
                <w:sz w:val="42"/>
              </w:rPr>
            </w:pPr>
            <w:r>
              <w:rPr>
                <w:sz w:val="42"/>
              </w:rPr>
              <w:t>300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21" w:type="dxa"/>
          </w:tcPr>
          <w:p>
            <w:pPr>
              <w:pStyle w:val="TableParagraph"/>
              <w:spacing w:before="194"/>
              <w:ind w:right="1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4"/>
              <w:ind w:left="208" w:right="225"/>
              <w:jc w:val="center"/>
              <w:rPr>
                <w:sz w:val="42"/>
              </w:rPr>
            </w:pPr>
            <w:r>
              <w:rPr>
                <w:sz w:val="42"/>
              </w:rPr>
              <w:t>固定支架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4"/>
              <w:ind w:left="395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4"/>
              <w:ind w:left="1016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1121" w:type="dxa"/>
          </w:tcPr>
          <w:p>
            <w:pPr>
              <w:pStyle w:val="TableParagraph"/>
              <w:spacing w:before="192"/>
              <w:ind w:right="1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2"/>
              <w:ind w:left="208" w:right="225"/>
              <w:jc w:val="center"/>
              <w:rPr>
                <w:sz w:val="42"/>
              </w:rPr>
            </w:pPr>
            <w:r>
              <w:rPr>
                <w:sz w:val="42"/>
              </w:rPr>
              <w:t>土方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2"/>
              <w:ind w:left="395"/>
              <w:rPr>
                <w:sz w:val="42"/>
              </w:rPr>
            </w:pPr>
            <w:r>
              <w:rPr>
                <w:sz w:val="42"/>
              </w:rPr>
              <w:t>M3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2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11250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1121" w:type="dxa"/>
          </w:tcPr>
          <w:p>
            <w:pPr>
              <w:pStyle w:val="TableParagraph"/>
              <w:spacing w:before="192"/>
              <w:ind w:right="1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2"/>
              <w:ind w:left="204" w:right="225"/>
              <w:jc w:val="center"/>
              <w:rPr>
                <w:sz w:val="42"/>
              </w:rPr>
            </w:pPr>
            <w:r>
              <w:rPr>
                <w:sz w:val="42"/>
              </w:rPr>
              <w:t>检查井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2"/>
              <w:ind w:left="395"/>
              <w:rPr>
                <w:sz w:val="42"/>
              </w:rPr>
            </w:pPr>
            <w:r>
              <w:rPr>
                <w:w w:val="100"/>
                <w:sz w:val="42"/>
              </w:rPr>
              <w:t>座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2"/>
              <w:ind w:left="1016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21" w:type="dxa"/>
          </w:tcPr>
          <w:p>
            <w:pPr>
              <w:pStyle w:val="TableParagraph"/>
              <w:spacing w:before="192"/>
              <w:ind w:right="1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2"/>
              <w:ind w:left="208" w:right="225"/>
              <w:jc w:val="center"/>
              <w:rPr>
                <w:sz w:val="42"/>
              </w:rPr>
            </w:pPr>
            <w:r>
              <w:rPr>
                <w:sz w:val="42"/>
              </w:rPr>
              <w:t>导向支架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2"/>
              <w:ind w:left="395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2"/>
              <w:ind w:left="912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</w:tr>
      <w:tr>
        <w:tblPrEx>
          <w:tblW w:w="0" w:type="auto"/>
          <w:jc w:val="left"/>
          <w:tblInd w:w="3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1121" w:type="dxa"/>
          </w:tcPr>
          <w:p>
            <w:pPr>
              <w:pStyle w:val="TableParagraph"/>
              <w:spacing w:before="194" w:line="459" w:lineRule="exact"/>
              <w:ind w:right="1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6620" w:type="dxa"/>
          </w:tcPr>
          <w:p>
            <w:pPr>
              <w:pStyle w:val="TableParagraph"/>
              <w:spacing w:before="194" w:line="459" w:lineRule="exact"/>
              <w:ind w:left="206" w:right="225"/>
              <w:jc w:val="center"/>
              <w:rPr>
                <w:sz w:val="42"/>
              </w:rPr>
            </w:pPr>
            <w:r>
              <w:rPr>
                <w:sz w:val="42"/>
              </w:rPr>
              <w:t>DN700 弯头</w:t>
            </w:r>
          </w:p>
        </w:tc>
        <w:tc>
          <w:tcPr>
            <w:tcW w:w="1626" w:type="dxa"/>
          </w:tcPr>
          <w:p>
            <w:pPr>
              <w:pStyle w:val="TableParagraph"/>
              <w:spacing w:before="194" w:line="459" w:lineRule="exact"/>
              <w:ind w:left="395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699" w:type="dxa"/>
          </w:tcPr>
          <w:p>
            <w:pPr>
              <w:pStyle w:val="TableParagraph"/>
              <w:spacing w:before="194" w:line="459" w:lineRule="exact"/>
              <w:ind w:left="1016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</w:tr>
    </w:tbl>
    <w:p>
      <w:pPr>
        <w:spacing w:after="0" w:line="459" w:lineRule="exact"/>
        <w:rPr>
          <w:sz w:val="42"/>
        </w:rPr>
        <w:sectPr>
          <w:pgSz w:w="17860" w:h="25260"/>
          <w:pgMar w:top="1960" w:right="140" w:bottom="280" w:left="2420" w:header="708" w:footer="708"/>
          <w:pgNumType w:start="2"/>
          <w:cols w:space="708"/>
        </w:sectPr>
      </w:pPr>
    </w:p>
    <w:p>
      <w:pPr>
        <w:pStyle w:val="BodyText"/>
        <w:spacing w:before="7"/>
        <w:ind w:left="0"/>
        <w:rPr>
          <w:sz w:val="26"/>
        </w:rPr>
      </w:pPr>
    </w:p>
    <w:tbl>
      <w:tblPr>
        <w:tblStyle w:val="TableNormal1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1"/>
        <w:gridCol w:w="6011"/>
        <w:gridCol w:w="2585"/>
        <w:gridCol w:w="1173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1011" w:type="dxa"/>
          </w:tcPr>
          <w:p>
            <w:pPr>
              <w:pStyle w:val="TableParagraph"/>
              <w:spacing w:line="480" w:lineRule="exact"/>
              <w:ind w:right="29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6011" w:type="dxa"/>
          </w:tcPr>
          <w:p>
            <w:pPr>
              <w:pStyle w:val="TableParagraph"/>
              <w:spacing w:line="480" w:lineRule="exact"/>
              <w:ind w:right="1358"/>
              <w:jc w:val="right"/>
              <w:rPr>
                <w:sz w:val="42"/>
              </w:rPr>
            </w:pPr>
            <w:r>
              <w:rPr>
                <w:sz w:val="42"/>
              </w:rPr>
              <w:t>DN50 排气阀</w:t>
            </w:r>
          </w:p>
        </w:tc>
        <w:tc>
          <w:tcPr>
            <w:tcW w:w="2585" w:type="dxa"/>
          </w:tcPr>
          <w:p>
            <w:pPr>
              <w:pStyle w:val="TableParagraph"/>
              <w:spacing w:line="480" w:lineRule="exact"/>
              <w:ind w:right="91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173" w:type="dxa"/>
          </w:tcPr>
          <w:p>
            <w:pPr>
              <w:pStyle w:val="TableParagraph"/>
              <w:spacing w:line="480" w:lineRule="exact"/>
              <w:ind w:right="4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011" w:type="dxa"/>
          </w:tcPr>
          <w:p>
            <w:pPr>
              <w:pStyle w:val="TableParagraph"/>
              <w:spacing w:before="194"/>
              <w:ind w:right="29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6011" w:type="dxa"/>
          </w:tcPr>
          <w:p>
            <w:pPr>
              <w:pStyle w:val="TableParagraph"/>
              <w:spacing w:before="194"/>
              <w:ind w:right="1250"/>
              <w:jc w:val="right"/>
              <w:rPr>
                <w:sz w:val="42"/>
              </w:rPr>
            </w:pPr>
            <w:r>
              <w:rPr>
                <w:sz w:val="42"/>
              </w:rPr>
              <w:t>DN150 泄水阀</w:t>
            </w:r>
          </w:p>
        </w:tc>
        <w:tc>
          <w:tcPr>
            <w:tcW w:w="2585" w:type="dxa"/>
          </w:tcPr>
          <w:p>
            <w:pPr>
              <w:pStyle w:val="TableParagraph"/>
              <w:spacing w:before="194"/>
              <w:ind w:right="91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173" w:type="dxa"/>
          </w:tcPr>
          <w:p>
            <w:pPr>
              <w:pStyle w:val="TableParagraph"/>
              <w:spacing w:before="194"/>
              <w:ind w:right="4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92"/>
          <w:jc w:val="left"/>
        </w:trPr>
        <w:tc>
          <w:tcPr>
            <w:tcW w:w="1011" w:type="dxa"/>
          </w:tcPr>
          <w:p>
            <w:pPr>
              <w:pStyle w:val="TableParagraph"/>
              <w:spacing w:before="192"/>
              <w:ind w:left="395"/>
              <w:rPr>
                <w:sz w:val="42"/>
              </w:rPr>
            </w:pPr>
            <w:r>
              <w:rPr>
                <w:sz w:val="42"/>
              </w:rPr>
              <w:t>10</w:t>
            </w:r>
          </w:p>
          <w:p>
            <w:pPr>
              <w:pStyle w:val="TableParagraph"/>
              <w:spacing w:before="283" w:line="459" w:lineRule="exact"/>
              <w:ind w:left="50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四、</w:t>
            </w:r>
          </w:p>
        </w:tc>
        <w:tc>
          <w:tcPr>
            <w:tcW w:w="6011" w:type="dxa"/>
          </w:tcPr>
          <w:p>
            <w:pPr>
              <w:pStyle w:val="TableParagraph"/>
              <w:spacing w:before="192"/>
              <w:ind w:left="2545"/>
              <w:rPr>
                <w:sz w:val="42"/>
              </w:rPr>
            </w:pPr>
            <w:r>
              <w:rPr>
                <w:sz w:val="42"/>
              </w:rPr>
              <w:t>DN700 套管</w:t>
            </w:r>
          </w:p>
          <w:p>
            <w:pPr>
              <w:pStyle w:val="TableParagraph"/>
              <w:spacing w:before="283" w:line="459" w:lineRule="exact"/>
              <w:ind w:left="118"/>
              <w:rPr>
                <w:sz w:val="42"/>
              </w:rPr>
            </w:pPr>
            <w:r>
              <w:rPr>
                <w:sz w:val="42"/>
              </w:rPr>
              <w:t>施工工艺流程</w:t>
            </w:r>
          </w:p>
        </w:tc>
        <w:tc>
          <w:tcPr>
            <w:tcW w:w="2585" w:type="dxa"/>
          </w:tcPr>
          <w:p>
            <w:pPr>
              <w:pStyle w:val="TableParagraph"/>
              <w:spacing w:before="192"/>
              <w:ind w:right="91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173" w:type="dxa"/>
          </w:tcPr>
          <w:p>
            <w:pPr>
              <w:pStyle w:val="TableParagraph"/>
              <w:spacing w:before="192"/>
              <w:ind w:right="4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00" w:line="417" w:lineRule="auto"/>
        <w:ind w:right="2530" w:firstLine="83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-2339340</wp:posOffset>
            </wp:positionV>
            <wp:extent cx="7752969" cy="1798891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2969" cy="1798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工程测量→确定各管道标高位置、作好标记→管道支架托座加工</w:t>
      </w:r>
      <w:r>
        <w:t xml:space="preserve">安装→管道管件制安→管道安装准备→清扫管膛→干管安装就位→ </w:t>
      </w:r>
      <w:r>
        <w:rPr>
          <w:spacing w:val="-13"/>
        </w:rPr>
        <w:t>确定阀门及有关设备位置、作好标记→设备管件阀门就位→管道除锈</w:t>
      </w:r>
      <w:r>
        <w:t>刷漆→管道保温→管道焊接→水压试验→管道冲洗→管道焊口除锈</w:t>
      </w:r>
      <w:r>
        <w:rPr>
          <w:spacing w:val="-2"/>
        </w:rPr>
        <w:t>刷油→管道焊口保温→验收.</w:t>
      </w:r>
    </w:p>
    <w:p>
      <w:pPr>
        <w:pStyle w:val="BodyText"/>
        <w:spacing w:line="463" w:lineRule="auto"/>
        <w:ind w:right="12255"/>
      </w:pPr>
      <w:r>
        <w:rPr>
          <w:b/>
        </w:rPr>
        <w:t xml:space="preserve">五、 </w:t>
      </w:r>
      <w:r>
        <w:t>施工准备5.1、技术准备</w:t>
      </w:r>
    </w:p>
    <w:p>
      <w:pPr>
        <w:pStyle w:val="ListParagraph"/>
        <w:numPr>
          <w:ilvl w:val="2"/>
          <w:numId w:val="16"/>
        </w:numPr>
        <w:tabs>
          <w:tab w:val="left" w:pos="1332"/>
        </w:tabs>
        <w:spacing w:before="0" w:after="0" w:line="398" w:lineRule="exact"/>
        <w:ind w:left="1331" w:right="0" w:hanging="1055"/>
        <w:jc w:val="left"/>
        <w:rPr>
          <w:sz w:val="42"/>
        </w:rPr>
      </w:pPr>
      <w:r>
        <w:rPr>
          <w:spacing w:val="-2"/>
          <w:sz w:val="42"/>
        </w:rPr>
        <w:t>、及时组织图纸自、会审，设计交底工作.</w:t>
      </w:r>
    </w:p>
    <w:p>
      <w:pPr>
        <w:pStyle w:val="ListParagraph"/>
        <w:numPr>
          <w:ilvl w:val="2"/>
          <w:numId w:val="16"/>
        </w:numPr>
        <w:tabs>
          <w:tab w:val="left" w:pos="1332"/>
        </w:tabs>
        <w:spacing w:before="362" w:after="0" w:line="400" w:lineRule="auto"/>
        <w:ind w:left="277" w:right="2598" w:firstLine="0"/>
        <w:jc w:val="left"/>
        <w:rPr>
          <w:sz w:val="42"/>
        </w:rPr>
      </w:pPr>
      <w:r>
        <w:rPr>
          <w:spacing w:val="-1"/>
          <w:sz w:val="42"/>
        </w:rPr>
        <w:t>、结合现场实际情况，提前编制切实可行的分部分项工程施工</w:t>
      </w:r>
      <w:r>
        <w:rPr>
          <w:spacing w:val="-2"/>
          <w:sz w:val="42"/>
        </w:rPr>
        <w:t>方案和技术交底以便及时指导施工.</w:t>
      </w:r>
    </w:p>
    <w:p>
      <w:pPr>
        <w:pStyle w:val="ListParagraph"/>
        <w:numPr>
          <w:ilvl w:val="2"/>
          <w:numId w:val="16"/>
        </w:numPr>
        <w:tabs>
          <w:tab w:val="left" w:pos="1332"/>
        </w:tabs>
        <w:spacing w:before="2" w:after="0" w:line="240" w:lineRule="auto"/>
        <w:ind w:left="1331" w:right="0" w:hanging="1055"/>
        <w:jc w:val="left"/>
        <w:rPr>
          <w:sz w:val="42"/>
        </w:rPr>
      </w:pPr>
      <w:r>
        <w:rPr>
          <w:spacing w:val="-2"/>
          <w:sz w:val="42"/>
        </w:rPr>
        <w:t>、检试验、测量仪器的准备.</w:t>
      </w:r>
    </w:p>
    <w:p>
      <w:pPr>
        <w:pStyle w:val="ListParagraph"/>
        <w:numPr>
          <w:ilvl w:val="3"/>
          <w:numId w:val="16"/>
        </w:numPr>
        <w:tabs>
          <w:tab w:val="left" w:pos="1753"/>
        </w:tabs>
        <w:spacing w:before="362" w:after="0" w:line="400" w:lineRule="auto"/>
        <w:ind w:left="277" w:right="2598" w:firstLine="0"/>
        <w:jc w:val="left"/>
        <w:rPr>
          <w:sz w:val="42"/>
        </w:rPr>
      </w:pPr>
      <w:r>
        <w:rPr>
          <w:spacing w:val="-1"/>
          <w:sz w:val="42"/>
        </w:rPr>
        <w:t>、及时对工程涉及和应用的检试验，测量仪器到标准部门进</w:t>
      </w:r>
      <w:r>
        <w:rPr>
          <w:spacing w:val="-2"/>
          <w:sz w:val="42"/>
        </w:rPr>
        <w:t>程校核，保证检测以及测量仪器的准确无误.</w:t>
      </w:r>
    </w:p>
    <w:p>
      <w:pPr>
        <w:pStyle w:val="ListParagraph"/>
        <w:numPr>
          <w:ilvl w:val="1"/>
          <w:numId w:val="15"/>
        </w:numPr>
        <w:tabs>
          <w:tab w:val="left" w:pos="911"/>
        </w:tabs>
        <w:spacing w:before="3" w:after="0" w:line="240" w:lineRule="auto"/>
        <w:ind w:left="910" w:right="0" w:hanging="634"/>
        <w:jc w:val="left"/>
        <w:rPr>
          <w:sz w:val="42"/>
        </w:rPr>
      </w:pPr>
      <w:r>
        <w:rPr>
          <w:sz w:val="42"/>
        </w:rPr>
        <w:t>、主要人员、施工机械、材料、五大工具计划</w:t>
      </w:r>
    </w:p>
    <w:p>
      <w:pPr>
        <w:pStyle w:val="ListParagraph"/>
        <w:numPr>
          <w:ilvl w:val="2"/>
          <w:numId w:val="15"/>
        </w:numPr>
        <w:tabs>
          <w:tab w:val="left" w:pos="1332"/>
        </w:tabs>
        <w:spacing w:before="363" w:after="0" w:line="240" w:lineRule="auto"/>
        <w:ind w:left="1331" w:right="0" w:hanging="1055"/>
        <w:jc w:val="left"/>
        <w:rPr>
          <w:sz w:val="42"/>
        </w:rPr>
      </w:pPr>
      <w:r>
        <w:rPr>
          <w:sz w:val="42"/>
        </w:rPr>
        <w:t>、劳动力计划：</w:t>
      </w:r>
    </w:p>
    <w:p>
      <w:pPr>
        <w:pStyle w:val="BodyText"/>
        <w:spacing w:before="362" w:line="400" w:lineRule="auto"/>
        <w:ind w:right="2414" w:firstLine="838"/>
      </w:pPr>
      <w:r>
        <w:rPr>
          <w:spacing w:val="-13"/>
        </w:rPr>
        <w:t xml:space="preserve">管道安装阶段管工 </w:t>
      </w:r>
      <w:r>
        <w:t>60</w:t>
      </w:r>
      <w:r>
        <w:rPr>
          <w:spacing w:val="-36"/>
        </w:rPr>
        <w:t xml:space="preserve"> 人，电工 </w:t>
      </w:r>
      <w:r>
        <w:t>2</w:t>
      </w:r>
      <w:r>
        <w:rPr>
          <w:spacing w:val="-36"/>
        </w:rPr>
        <w:t xml:space="preserve"> 人，壮工 </w:t>
      </w:r>
      <w:r>
        <w:t>30</w:t>
      </w:r>
      <w:r>
        <w:rPr>
          <w:spacing w:val="-31"/>
        </w:rPr>
        <w:t xml:space="preserve"> 人，架子工 </w:t>
      </w:r>
      <w:r>
        <w:t>6</w:t>
      </w:r>
      <w:r>
        <w:rPr>
          <w:spacing w:val="-40"/>
        </w:rPr>
        <w:t xml:space="preserve"> 人， </w:t>
      </w:r>
      <w:r>
        <w:rPr>
          <w:spacing w:val="-26"/>
        </w:rPr>
        <w:t xml:space="preserve">电焊工 </w:t>
      </w:r>
      <w:r>
        <w:t>10</w:t>
      </w:r>
      <w:r>
        <w:rPr>
          <w:spacing w:val="-17"/>
        </w:rPr>
        <w:t xml:space="preserve"> 人为主.管道试压和冲洗工程施工阶段主要以壮工 </w:t>
      </w:r>
      <w:r>
        <w:t>10</w:t>
      </w:r>
      <w:r>
        <w:rPr>
          <w:spacing w:val="-34"/>
        </w:rPr>
        <w:t xml:space="preserve"> 人， </w:t>
      </w:r>
      <w:r>
        <w:rPr>
          <w:spacing w:val="-58"/>
        </w:rPr>
        <w:t xml:space="preserve">管工 </w:t>
      </w:r>
      <w:r>
        <w:t>6</w:t>
      </w:r>
      <w:r>
        <w:rPr>
          <w:spacing w:val="-37"/>
        </w:rPr>
        <w:t xml:space="preserve"> 人，电工 </w:t>
      </w:r>
      <w:r>
        <w:t>2</w:t>
      </w:r>
      <w:r>
        <w:rPr>
          <w:spacing w:val="-22"/>
        </w:rPr>
        <w:t xml:space="preserve"> 人为主.现场配合人员 </w:t>
      </w:r>
      <w:r>
        <w:t>7</w:t>
      </w:r>
      <w:r>
        <w:rPr>
          <w:spacing w:val="-36"/>
        </w:rPr>
        <w:t xml:space="preserve"> 人.</w:t>
      </w:r>
    </w:p>
    <w:p>
      <w:pPr>
        <w:spacing w:after="0" w:line="400" w:lineRule="auto"/>
        <w:sectPr>
          <w:pgSz w:w="17860" w:h="25260"/>
          <w:pgMar w:top="1820" w:right="140" w:bottom="280" w:left="242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15"/>
        </w:numPr>
        <w:tabs>
          <w:tab w:val="left" w:pos="911"/>
        </w:tabs>
        <w:spacing w:before="21" w:after="0" w:line="240" w:lineRule="auto"/>
        <w:ind w:left="910" w:right="0" w:hanging="634"/>
        <w:jc w:val="left"/>
        <w:rPr>
          <w:sz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433196</wp:posOffset>
            </wp:positionV>
            <wp:extent cx="7879651" cy="5852731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5852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、主要施工机械设备、材料、五大工具计划一览表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4"/>
        </w:rPr>
      </w:pPr>
    </w:p>
    <w:tbl>
      <w:tblPr>
        <w:tblStyle w:val="TableNormal2"/>
        <w:tblW w:w="0" w:type="auto"/>
        <w:jc w:val="left"/>
        <w:tblInd w:w="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6"/>
        <w:gridCol w:w="2555"/>
        <w:gridCol w:w="2839"/>
        <w:gridCol w:w="1316"/>
        <w:gridCol w:w="1171"/>
        <w:gridCol w:w="1506"/>
        <w:gridCol w:w="1763"/>
      </w:tblGrid>
      <w:tr>
        <w:tblPrEx>
          <w:tblW w:w="0" w:type="auto"/>
          <w:jc w:val="left"/>
          <w:tblInd w:w="3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5"/>
          <w:jc w:val="left"/>
        </w:trPr>
        <w:tc>
          <w:tcPr>
            <w:tcW w:w="1366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04" w:line="474" w:lineRule="exact"/>
              <w:ind w:left="32" w:right="453"/>
              <w:jc w:val="center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555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04" w:line="474" w:lineRule="exact"/>
              <w:ind w:left="455" w:right="380"/>
              <w:jc w:val="center"/>
              <w:rPr>
                <w:sz w:val="42"/>
              </w:rPr>
            </w:pPr>
            <w:r>
              <w:rPr>
                <w:sz w:val="42"/>
              </w:rPr>
              <w:t>机械名称</w:t>
            </w:r>
          </w:p>
        </w:tc>
        <w:tc>
          <w:tcPr>
            <w:tcW w:w="2839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04" w:line="474" w:lineRule="exact"/>
              <w:ind w:left="1183"/>
              <w:rPr>
                <w:sz w:val="42"/>
              </w:rPr>
            </w:pPr>
            <w:r>
              <w:rPr>
                <w:sz w:val="42"/>
              </w:rPr>
              <w:t>规格</w:t>
            </w:r>
          </w:p>
        </w:tc>
        <w:tc>
          <w:tcPr>
            <w:tcW w:w="1316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04" w:line="474" w:lineRule="exact"/>
              <w:ind w:left="263" w:right="172"/>
              <w:jc w:val="center"/>
              <w:rPr>
                <w:sz w:val="42"/>
              </w:rPr>
            </w:pPr>
            <w:r>
              <w:rPr>
                <w:sz w:val="42"/>
              </w:rPr>
              <w:t>单位</w:t>
            </w:r>
          </w:p>
        </w:tc>
        <w:tc>
          <w:tcPr>
            <w:tcW w:w="117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04" w:line="474" w:lineRule="exact"/>
              <w:ind w:left="168" w:right="123"/>
              <w:jc w:val="center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1506" w:type="dxa"/>
          </w:tcPr>
          <w:p>
            <w:pPr>
              <w:pStyle w:val="TableParagraph"/>
              <w:spacing w:line="480" w:lineRule="exact"/>
              <w:ind w:left="135"/>
              <w:rPr>
                <w:sz w:val="42"/>
              </w:rPr>
            </w:pPr>
            <w:r>
              <w:rPr>
                <w:sz w:val="42"/>
              </w:rPr>
              <w:t>每台耗</w:t>
            </w:r>
          </w:p>
          <w:p>
            <w:pPr>
              <w:pStyle w:val="TableParagraph"/>
              <w:spacing w:before="362" w:line="474" w:lineRule="exact"/>
              <w:ind w:left="344"/>
              <w:rPr>
                <w:sz w:val="42"/>
              </w:rPr>
            </w:pPr>
            <w:r>
              <w:rPr>
                <w:sz w:val="42"/>
              </w:rPr>
              <w:t>电量</w:t>
            </w:r>
          </w:p>
        </w:tc>
        <w:tc>
          <w:tcPr>
            <w:tcW w:w="1763" w:type="dxa"/>
          </w:tcPr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ind w:left="167"/>
              <w:rPr>
                <w:sz w:val="42"/>
              </w:rPr>
            </w:pPr>
            <w:r>
              <w:rPr>
                <w:sz w:val="42"/>
              </w:rPr>
              <w:t>总耗电</w:t>
            </w: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3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line="430" w:lineRule="exact"/>
              <w:ind w:left="99"/>
              <w:rPr>
                <w:sz w:val="42"/>
              </w:rPr>
            </w:pPr>
            <w:r>
              <w:rPr>
                <w:spacing w:val="-72"/>
                <w:sz w:val="42"/>
              </w:rPr>
              <w:t>量</w:t>
            </w:r>
            <w:r>
              <w:rPr>
                <w:sz w:val="42"/>
              </w:rPr>
              <w:t>（KW）</w:t>
            </w: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136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5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06" w:type="dxa"/>
          </w:tcPr>
          <w:p>
            <w:pPr>
              <w:pStyle w:val="TableParagraph"/>
              <w:spacing w:line="494" w:lineRule="exact"/>
              <w:ind w:left="117" w:right="89"/>
              <w:jc w:val="center"/>
              <w:rPr>
                <w:sz w:val="42"/>
              </w:rPr>
            </w:pPr>
            <w:r>
              <w:rPr>
                <w:sz w:val="42"/>
              </w:rPr>
              <w:t>（KW）</w:t>
            </w: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366" w:type="dxa"/>
          </w:tcPr>
          <w:p>
            <w:pPr>
              <w:pStyle w:val="TableParagraph"/>
              <w:spacing w:before="194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4"/>
              <w:ind w:left="452" w:right="380"/>
              <w:jc w:val="center"/>
              <w:rPr>
                <w:sz w:val="42"/>
              </w:rPr>
            </w:pPr>
            <w:r>
              <w:rPr>
                <w:sz w:val="42"/>
              </w:rPr>
              <w:t>电焊机</w:t>
            </w:r>
          </w:p>
        </w:tc>
        <w:tc>
          <w:tcPr>
            <w:tcW w:w="2839" w:type="dxa"/>
          </w:tcPr>
          <w:p>
            <w:pPr>
              <w:pStyle w:val="TableParagraph"/>
              <w:spacing w:before="194"/>
              <w:ind w:left="658"/>
              <w:rPr>
                <w:sz w:val="42"/>
              </w:rPr>
            </w:pPr>
            <w:r>
              <w:rPr>
                <w:sz w:val="42"/>
              </w:rPr>
              <w:t>BX3-500-2</w:t>
            </w:r>
          </w:p>
        </w:tc>
        <w:tc>
          <w:tcPr>
            <w:tcW w:w="1316" w:type="dxa"/>
          </w:tcPr>
          <w:p>
            <w:pPr>
              <w:pStyle w:val="TableParagraph"/>
              <w:spacing w:before="194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4"/>
              <w:ind w:left="3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506" w:type="dxa"/>
          </w:tcPr>
          <w:p>
            <w:pPr>
              <w:pStyle w:val="TableParagraph"/>
              <w:spacing w:before="194"/>
              <w:ind w:left="113" w:right="89"/>
              <w:jc w:val="center"/>
              <w:rPr>
                <w:sz w:val="42"/>
              </w:rPr>
            </w:pPr>
            <w:r>
              <w:rPr>
                <w:sz w:val="42"/>
              </w:rPr>
              <w:t>36.6</w:t>
            </w:r>
          </w:p>
        </w:tc>
        <w:tc>
          <w:tcPr>
            <w:tcW w:w="1763" w:type="dxa"/>
          </w:tcPr>
          <w:p>
            <w:pPr>
              <w:pStyle w:val="TableParagraph"/>
              <w:spacing w:before="194"/>
              <w:ind w:left="272"/>
              <w:rPr>
                <w:sz w:val="42"/>
              </w:rPr>
            </w:pPr>
            <w:r>
              <w:rPr>
                <w:sz w:val="42"/>
              </w:rPr>
              <w:t>219.6</w:t>
            </w: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2"/>
          <w:jc w:val="left"/>
        </w:trPr>
        <w:tc>
          <w:tcPr>
            <w:tcW w:w="1366" w:type="dxa"/>
          </w:tcPr>
          <w:p>
            <w:pPr>
              <w:pStyle w:val="TableParagraph"/>
              <w:spacing w:before="192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2"/>
              <w:ind w:left="455" w:right="380"/>
              <w:jc w:val="center"/>
              <w:rPr>
                <w:sz w:val="42"/>
              </w:rPr>
            </w:pPr>
            <w:r>
              <w:rPr>
                <w:sz w:val="42"/>
              </w:rPr>
              <w:t>电缆</w:t>
            </w: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spacing w:before="192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米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2"/>
              <w:ind w:left="166" w:right="123"/>
              <w:jc w:val="center"/>
              <w:rPr>
                <w:sz w:val="42"/>
              </w:rPr>
            </w:pPr>
            <w:r>
              <w:rPr>
                <w:sz w:val="42"/>
              </w:rPr>
              <w:t>300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2"/>
          <w:jc w:val="left"/>
        </w:trPr>
        <w:tc>
          <w:tcPr>
            <w:tcW w:w="1366" w:type="dxa"/>
          </w:tcPr>
          <w:p>
            <w:pPr>
              <w:pStyle w:val="TableParagraph"/>
              <w:spacing w:before="192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2"/>
              <w:ind w:left="452" w:right="380"/>
              <w:jc w:val="center"/>
              <w:rPr>
                <w:sz w:val="42"/>
              </w:rPr>
            </w:pPr>
            <w:r>
              <w:rPr>
                <w:sz w:val="42"/>
              </w:rPr>
              <w:t>电焊条</w:t>
            </w:r>
          </w:p>
        </w:tc>
        <w:tc>
          <w:tcPr>
            <w:tcW w:w="2839" w:type="dxa"/>
          </w:tcPr>
          <w:p>
            <w:pPr>
              <w:pStyle w:val="TableParagraph"/>
              <w:spacing w:before="192"/>
              <w:ind w:left="395"/>
              <w:rPr>
                <w:sz w:val="42"/>
              </w:rPr>
            </w:pPr>
            <w:r>
              <w:rPr>
                <w:sz w:val="42"/>
              </w:rPr>
              <w:t>3mm-5mm</w:t>
            </w:r>
          </w:p>
        </w:tc>
        <w:tc>
          <w:tcPr>
            <w:tcW w:w="1316" w:type="dxa"/>
          </w:tcPr>
          <w:p>
            <w:pPr>
              <w:pStyle w:val="TableParagraph"/>
              <w:spacing w:before="192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吨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2"/>
              <w:ind w:left="166" w:right="123"/>
              <w:jc w:val="center"/>
              <w:rPr>
                <w:sz w:val="42"/>
              </w:rPr>
            </w:pPr>
            <w:r>
              <w:rPr>
                <w:sz w:val="42"/>
              </w:rPr>
              <w:t>1.3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366" w:type="dxa"/>
          </w:tcPr>
          <w:p>
            <w:pPr>
              <w:pStyle w:val="TableParagraph"/>
              <w:spacing w:before="192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2"/>
              <w:ind w:left="452" w:right="380"/>
              <w:jc w:val="center"/>
              <w:rPr>
                <w:sz w:val="42"/>
              </w:rPr>
            </w:pPr>
            <w:r>
              <w:rPr>
                <w:sz w:val="42"/>
              </w:rPr>
              <w:t>氧气瓶</w:t>
            </w: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spacing w:before="192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2"/>
              <w:ind w:left="3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366" w:type="dxa"/>
          </w:tcPr>
          <w:p>
            <w:pPr>
              <w:pStyle w:val="TableParagraph"/>
              <w:spacing w:before="194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4"/>
              <w:ind w:left="452" w:right="380"/>
              <w:jc w:val="center"/>
              <w:rPr>
                <w:sz w:val="42"/>
              </w:rPr>
            </w:pPr>
            <w:r>
              <w:rPr>
                <w:sz w:val="42"/>
              </w:rPr>
              <w:t>乙炔瓶</w:t>
            </w: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spacing w:before="194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4"/>
              <w:ind w:left="3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1366" w:type="dxa"/>
          </w:tcPr>
          <w:p>
            <w:pPr>
              <w:pStyle w:val="TableParagraph"/>
              <w:spacing w:before="192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2"/>
              <w:ind w:left="452" w:right="380"/>
              <w:jc w:val="center"/>
              <w:rPr>
                <w:sz w:val="42"/>
              </w:rPr>
            </w:pPr>
            <w:r>
              <w:rPr>
                <w:sz w:val="42"/>
              </w:rPr>
              <w:t>二次线</w:t>
            </w: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spacing w:before="192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米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2"/>
              <w:ind w:left="166" w:right="123"/>
              <w:jc w:val="center"/>
              <w:rPr>
                <w:sz w:val="42"/>
              </w:rPr>
            </w:pPr>
            <w:r>
              <w:rPr>
                <w:sz w:val="42"/>
              </w:rPr>
              <w:t>300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1366" w:type="dxa"/>
          </w:tcPr>
          <w:p>
            <w:pPr>
              <w:pStyle w:val="TableParagraph"/>
              <w:spacing w:before="192" w:line="459" w:lineRule="exact"/>
              <w:ind w:right="4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555" w:type="dxa"/>
          </w:tcPr>
          <w:p>
            <w:pPr>
              <w:pStyle w:val="TableParagraph"/>
              <w:spacing w:before="192" w:line="459" w:lineRule="exact"/>
              <w:ind w:left="455" w:right="380"/>
              <w:jc w:val="center"/>
              <w:rPr>
                <w:sz w:val="42"/>
              </w:rPr>
            </w:pPr>
            <w:r>
              <w:rPr>
                <w:sz w:val="42"/>
              </w:rPr>
              <w:t>割枪</w:t>
            </w:r>
          </w:p>
        </w:tc>
        <w:tc>
          <w:tcPr>
            <w:tcW w:w="28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spacing w:before="192" w:line="459" w:lineRule="exact"/>
              <w:ind w:left="8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把</w:t>
            </w:r>
          </w:p>
        </w:tc>
        <w:tc>
          <w:tcPr>
            <w:tcW w:w="1171" w:type="dxa"/>
          </w:tcPr>
          <w:p>
            <w:pPr>
              <w:pStyle w:val="TableParagraph"/>
              <w:spacing w:before="192" w:line="459" w:lineRule="exact"/>
              <w:ind w:left="3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before="341"/>
        <w:ind w:left="277" w:right="0" w:firstLine="0"/>
        <w:jc w:val="left"/>
        <w:rPr>
          <w:sz w:val="42"/>
        </w:rPr>
      </w:pPr>
      <w:r>
        <w:rPr>
          <w:b/>
          <w:sz w:val="42"/>
        </w:rPr>
        <w:t xml:space="preserve">六、 </w:t>
      </w:r>
      <w:r>
        <w:rPr>
          <w:sz w:val="42"/>
        </w:rPr>
        <w:t>主要分项工程施工方法</w:t>
      </w:r>
    </w:p>
    <w:p>
      <w:pPr>
        <w:pStyle w:val="BodyText"/>
        <w:spacing w:before="7" w:line="930" w:lineRule="atLeast"/>
        <w:ind w:right="2568" w:firstLine="1079"/>
      </w:pPr>
      <w:r>
        <w:t>本工程包含管道拆除、安装，土建支架拆除、安装，土建混凝土井室砌筑，各分项工程施工方法如下：</w:t>
      </w:r>
    </w:p>
    <w:p>
      <w:pPr>
        <w:pStyle w:val="ListParagraph"/>
        <w:numPr>
          <w:ilvl w:val="1"/>
          <w:numId w:val="14"/>
        </w:numPr>
        <w:tabs>
          <w:tab w:val="left" w:pos="914"/>
        </w:tabs>
        <w:spacing w:before="144" w:after="0" w:line="240" w:lineRule="auto"/>
        <w:ind w:left="913" w:right="0" w:hanging="637"/>
        <w:jc w:val="left"/>
        <w:rPr>
          <w:rFonts w:ascii="微软雅黑" w:eastAsia="微软雅黑" w:hint="eastAsia"/>
          <w:sz w:val="43"/>
        </w:rPr>
      </w:pPr>
      <w:r>
        <w:rPr>
          <w:rFonts w:ascii="微软雅黑" w:eastAsia="微软雅黑" w:hint="eastAsia"/>
          <w:sz w:val="45"/>
        </w:rPr>
        <w:t>、工程定位测量</w:t>
      </w:r>
    </w:p>
    <w:p>
      <w:pPr>
        <w:pStyle w:val="BodyText"/>
        <w:spacing w:before="366" w:line="417" w:lineRule="auto"/>
        <w:ind w:right="2384" w:firstLine="838"/>
      </w:pPr>
      <w:r>
        <w:t>根据图纸和地方坐标系统 ,将管道的路由和高程控制点放出 ,并钉桩.对管道应将拐点、变坡点、基础、附属设备安装处、中间控制点等重要部位放出，并在管道、基础一侧设置控制桩，画上标高线， 以便在施工中随时进行复核</w:t>
      </w:r>
    </w:p>
    <w:p>
      <w:pPr>
        <w:pStyle w:val="ListParagraph"/>
        <w:numPr>
          <w:ilvl w:val="1"/>
          <w:numId w:val="14"/>
        </w:numPr>
        <w:tabs>
          <w:tab w:val="left" w:pos="911"/>
        </w:tabs>
        <w:spacing w:before="0" w:after="0" w:line="538" w:lineRule="exact"/>
        <w:ind w:left="910" w:right="0" w:hanging="634"/>
        <w:jc w:val="left"/>
        <w:rPr>
          <w:sz w:val="40"/>
        </w:rPr>
      </w:pPr>
      <w:r>
        <w:rPr>
          <w:sz w:val="42"/>
        </w:rPr>
        <w:t>、管道支架及拖座制作、安装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2384" w:firstLine="838"/>
      </w:pPr>
      <w:r>
        <w:t>因系统中存在一些钢结构制作安装，故拟在现场专门一块地方集中进行金属加工制作施工，按照图纸要求尺寸进行角钢、型钢、管道</w:t>
      </w:r>
    </w:p>
    <w:p>
      <w:pPr>
        <w:spacing w:after="0" w:line="417" w:lineRule="auto"/>
        <w:sectPr>
          <w:pgSz w:w="17860" w:h="25260"/>
          <w:pgMar w:top="2060" w:right="140" w:bottom="280" w:left="2420" w:header="708" w:footer="708"/>
          <w:pgNumType w:start="4"/>
          <w:cols w:space="708"/>
        </w:sectPr>
      </w:pPr>
    </w:p>
    <w:p>
      <w:pPr>
        <w:spacing w:before="20" w:line="463" w:lineRule="auto"/>
        <w:ind w:left="277" w:right="7248" w:firstLine="0"/>
        <w:jc w:val="left"/>
        <w:rPr>
          <w:b/>
          <w:sz w:val="42"/>
        </w:rPr>
      </w:pPr>
      <w:r>
        <w:rPr>
          <w:sz w:val="42"/>
        </w:rPr>
        <w:t xml:space="preserve">切割，然后焊接成型，进行表面喷涂处理. </w:t>
      </w:r>
      <w:r>
        <w:rPr>
          <w:b/>
          <w:sz w:val="42"/>
        </w:rPr>
        <w:t>6.2.1、施工艺流程</w:t>
      </w:r>
    </w:p>
    <w:p>
      <w:pPr>
        <w:pStyle w:val="BodyText"/>
        <w:spacing w:line="398" w:lineRule="exact"/>
        <w:ind w:left="698"/>
      </w:pPr>
      <w:r>
        <w:t>6.2.1.1、制作艺流程图：</w:t>
      </w:r>
    </w:p>
    <w:p>
      <w:pPr>
        <w:pStyle w:val="BodyText"/>
        <w:spacing w:before="362"/>
        <w:ind w:left="698"/>
      </w:pPr>
      <w:r>
        <w:t>学习图纸——放样、下料——检查——拼装——点焊——检查验收</w:t>
      </w:r>
    </w:p>
    <w:p>
      <w:pPr>
        <w:pStyle w:val="BodyText"/>
        <w:spacing w:before="362" w:line="400" w:lineRule="auto"/>
        <w:ind w:left="698" w:right="9336" w:hanging="421"/>
      </w:pPr>
      <w:r>
        <w:t>—— 刷 油 —— 运 往 现 场 6.2.1.2、安装工艺流程图：</w:t>
      </w:r>
    </w:p>
    <w:p>
      <w:pPr>
        <w:pStyle w:val="BodyText"/>
        <w:spacing w:before="3" w:line="400" w:lineRule="auto"/>
        <w:ind w:right="2541" w:firstLine="421"/>
      </w:pPr>
      <w:r>
        <w:rPr>
          <w:spacing w:val="-9"/>
        </w:rPr>
        <w:t>熟悉现场——构件验收——校正变形——点焊、拼装——运输进场</w:t>
      </w:r>
      <w:r>
        <w:t>吊装——焊接——管道安装</w:t>
      </w:r>
    </w:p>
    <w:p>
      <w:pPr>
        <w:spacing w:before="3"/>
        <w:ind w:left="698" w:right="0" w:firstLine="0"/>
        <w:jc w:val="left"/>
        <w:rPr>
          <w:sz w:val="42"/>
        </w:rPr>
      </w:pPr>
      <w:r>
        <w:rPr>
          <w:b/>
          <w:sz w:val="42"/>
        </w:rPr>
        <w:t>6.2.2、</w:t>
      </w:r>
      <w:r>
        <w:rPr>
          <w:sz w:val="42"/>
        </w:rPr>
        <w:t>管道支架及托座加工制作</w:t>
      </w: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362" w:after="0" w:line="400" w:lineRule="auto"/>
        <w:ind w:left="277" w:right="5776" w:firstLine="0"/>
        <w:jc w:val="left"/>
        <w:rPr>
          <w:sz w:val="42"/>
        </w:rPr>
      </w:pPr>
      <w:r>
        <w:rPr>
          <w:sz w:val="42"/>
        </w:rPr>
        <w:t>材料采购：                        A</w:t>
      </w:r>
      <w:r>
        <w:rPr>
          <w:spacing w:val="-2"/>
          <w:sz w:val="42"/>
        </w:rPr>
        <w:t>：核对设计图纸指定材料的品种、规格.      B</w:t>
      </w:r>
      <w:r>
        <w:rPr>
          <w:spacing w:val="-5"/>
          <w:sz w:val="42"/>
        </w:rPr>
        <w:t xml:space="preserve">：选用的材料应符合设计要求，具有质量证明书. </w:t>
      </w:r>
      <w:r>
        <w:rPr>
          <w:sz w:val="42"/>
        </w:rPr>
        <w:t>C</w:t>
      </w:r>
      <w:r>
        <w:rPr>
          <w:spacing w:val="-2"/>
          <w:sz w:val="42"/>
        </w:rPr>
        <w:t>：钢材表面质量必须符合国家标准.</w:t>
      </w: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6" w:after="0" w:line="400" w:lineRule="auto"/>
        <w:ind w:left="277" w:right="2589" w:firstLine="0"/>
        <w:jc w:val="left"/>
        <w:rPr>
          <w:sz w:val="42"/>
        </w:rPr>
      </w:pPr>
      <w:r>
        <w:rPr>
          <w:sz w:val="42"/>
        </w:rPr>
        <w:t xml:space="preserve">放样、号料和切割                                 </w:t>
      </w:r>
      <w:r>
        <w:rPr>
          <w:spacing w:val="2"/>
          <w:sz w:val="42"/>
        </w:rPr>
        <w:t>A</w:t>
      </w:r>
      <w:r>
        <w:rPr>
          <w:spacing w:val="-1"/>
          <w:sz w:val="42"/>
        </w:rPr>
        <w:t>：制作时应根据工艺要求预留制作和安装的焊接收缩量、切割、刨</w:t>
      </w:r>
      <w:r>
        <w:rPr>
          <w:spacing w:val="-2"/>
          <w:sz w:val="42"/>
        </w:rPr>
        <w:t>边和铣平等加工余量.</w:t>
      </w:r>
    </w:p>
    <w:p>
      <w:pPr>
        <w:pStyle w:val="BodyText"/>
        <w:spacing w:before="4"/>
      </w:pPr>
      <w:r>
        <w:t>B：清除钢材表面铁锈和污物.</w:t>
      </w:r>
    </w:p>
    <w:p>
      <w:pPr>
        <w:pStyle w:val="BodyText"/>
        <w:spacing w:before="362"/>
      </w:pPr>
      <w:r>
        <w:t>C：标准</w:t>
      </w:r>
    </w:p>
    <w:p>
      <w:pPr>
        <w:pStyle w:val="Heading1"/>
        <w:spacing w:before="363"/>
        <w:ind w:left="3557"/>
      </w:pPr>
      <w:r>
        <w:pict>
          <v:group id="_x0000_s1031" style="width:642.75pt;height:185.95pt;margin-top:50.29pt;margin-left:126pt;mso-position-horizontal-relative:page;mso-wrap-distance-left:0;mso-wrap-distance-right:0;position:absolute;z-index:-251654144" coordorigin="2520,1006" coordsize="12855,3719">
            <v:shape id="_x0000_s1032" type="#_x0000_t75" style="width:12855;height:3719;left:2520;position:absolute;top:1005" stroked="f">
              <v:imagedata r:id="rId8" o:title=""/>
            </v:shape>
            <v:shape id="_x0000_s1033" type="#_x0000_t202" style="width:442;height:422;left:5768;position:absolute;top:13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项</w:t>
                    </w:r>
                  </w:p>
                </w:txbxContent>
              </v:textbox>
            </v:shape>
            <v:shape id="_x0000_s1034" type="#_x0000_t202" style="width:442;height:422;left:7449;position:absolute;top:13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目</w:t>
                    </w:r>
                  </w:p>
                </w:txbxContent>
              </v:textbox>
            </v:shape>
            <v:shape id="_x0000_s1035" type="#_x0000_t202" style="width:1705;height:422;left:11637;position:absolute;top:13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允许偏差</w:t>
                    </w:r>
                  </w:p>
                </w:txbxContent>
              </v:textbox>
            </v:shape>
            <v:shape id="_x0000_s1036" type="#_x0000_t202" style="width:231;height:422;left:3172;position:absolute;top:22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37" type="#_x0000_t202" style="width:4232;height:422;left:4176;position:absolute;top:22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平行线距离和分段尺寸</w:t>
                    </w:r>
                  </w:p>
                </w:txbxContent>
              </v:textbox>
            </v:shape>
            <v:shape id="_x0000_s1038" type="#_x0000_t202" style="width:1495;height:422;left:11745;position:absolute;top:22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±0.5mm</w:t>
                    </w:r>
                  </w:p>
                </w:txbxContent>
              </v:textbox>
            </v:shape>
            <v:shape id="_x0000_s1039" type="#_x0000_t202" style="width:231;height:422;left:3172;position:absolute;top:3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40" type="#_x0000_t202" style="width:1284;height:422;left:4176;position:absolute;top:3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对角线</w:t>
                    </w:r>
                  </w:p>
                </w:txbxContent>
              </v:textbox>
            </v:shape>
            <v:shape id="_x0000_s1041" type="#_x0000_t202" style="width:863;height:422;left:12058;position:absolute;top:3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 mm</w:t>
                    </w:r>
                  </w:p>
                </w:txbxContent>
              </v:textbox>
            </v:shape>
            <v:shape id="_x0000_s1042" type="#_x0000_t202" style="width:231;height:422;left:3172;position:absolute;top:40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43" type="#_x0000_t202" style="width:2126;height:422;left:4176;position:absolute;top:40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宽度、长度</w:t>
                    </w:r>
                  </w:p>
                </w:txbxContent>
              </v:textbox>
            </v:shape>
            <v:shape id="_x0000_s1044" type="#_x0000_t202" style="width:1495;height:422;left:11745;position:absolute;top:40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±0.5mm</w:t>
                    </w:r>
                  </w:p>
                </w:txbxContent>
              </v:textbox>
            </v:shape>
            <w10:wrap type="topAndBottom"/>
          </v:group>
        </w:pict>
      </w:r>
      <w:r>
        <w:t>放样划线和样板加工的允许偏差</w:t>
      </w:r>
    </w:p>
    <w:p>
      <w:pPr>
        <w:spacing w:after="0"/>
        <w:sectPr>
          <w:pgSz w:w="17860" w:h="25260"/>
          <w:pgMar w:top="1960" w:right="140" w:bottom="280" w:left="2420" w:header="708" w:footer="708"/>
          <w:pgNumType w:start="5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5" style="width:642.75pt;height:49pt;mso-position-horizontal-relative:char;mso-position-vertical-relative:line" coordorigin="0,0" coordsize="12855,980">
            <v:shape id="_x0000_s1046" type="#_x0000_t75" style="width:12855;height:980;position:absolute" stroked="f">
              <v:imagedata r:id="rId9" o:title=""/>
            </v:shape>
            <v:shape id="_x0000_s1047" type="#_x0000_t202" style="width:231;height:422;left:652;position:absolute;top:3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48" type="#_x0000_t202" style="width:2969;height:422;left:1656;position:absolute;top:3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加工样板的角度</w:t>
                    </w:r>
                  </w:p>
                </w:txbxContent>
              </v:textbox>
            </v:shape>
            <v:shape id="_x0000_s1049" type="#_x0000_t202" style="width:863;height:422;left:9538;position:absolute;top:3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±20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ind w:left="0"/>
        <w:rPr>
          <w:b/>
          <w:sz w:val="12"/>
        </w:rPr>
      </w:pPr>
    </w:p>
    <w:p>
      <w:pPr>
        <w:spacing w:before="42"/>
        <w:ind w:left="5033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440944</wp:posOffset>
            </wp:positionV>
            <wp:extent cx="8145677" cy="2939033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77" cy="2939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气割的允许偏差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2"/>
        <w:ind w:left="0"/>
        <w:rPr>
          <w:b/>
          <w:sz w:val="14"/>
        </w:rPr>
      </w:pPr>
    </w:p>
    <w:tbl>
      <w:tblPr>
        <w:tblStyle w:val="TableNormal3"/>
        <w:tblW w:w="0" w:type="auto"/>
        <w:jc w:val="left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3"/>
        <w:gridCol w:w="2456"/>
        <w:gridCol w:w="3059"/>
        <w:gridCol w:w="4997"/>
      </w:tblGrid>
      <w:tr>
        <w:tblPrEx>
          <w:tblW w:w="0" w:type="auto"/>
          <w:jc w:val="left"/>
          <w:tblInd w:w="7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3699" w:type="dxa"/>
            <w:gridSpan w:val="2"/>
          </w:tcPr>
          <w:p>
            <w:pPr>
              <w:pStyle w:val="TableParagraph"/>
              <w:spacing w:line="401" w:lineRule="exact"/>
              <w:ind w:right="62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项</w:t>
            </w:r>
          </w:p>
        </w:tc>
        <w:tc>
          <w:tcPr>
            <w:tcW w:w="3059" w:type="dxa"/>
          </w:tcPr>
          <w:p>
            <w:pPr>
              <w:pStyle w:val="TableParagraph"/>
              <w:spacing w:line="401" w:lineRule="exact"/>
              <w:ind w:left="628"/>
              <w:rPr>
                <w:sz w:val="42"/>
              </w:rPr>
            </w:pPr>
            <w:r>
              <w:rPr>
                <w:w w:val="100"/>
                <w:sz w:val="42"/>
              </w:rPr>
              <w:t>目</w:t>
            </w:r>
          </w:p>
        </w:tc>
        <w:tc>
          <w:tcPr>
            <w:tcW w:w="4997" w:type="dxa"/>
          </w:tcPr>
          <w:p>
            <w:pPr>
              <w:pStyle w:val="TableParagraph"/>
              <w:spacing w:line="401" w:lineRule="exact"/>
              <w:ind w:left="1757"/>
              <w:rPr>
                <w:sz w:val="42"/>
              </w:rPr>
            </w:pPr>
            <w:r>
              <w:rPr>
                <w:sz w:val="42"/>
              </w:rPr>
              <w:t>允许偏差</w:t>
            </w:r>
          </w:p>
        </w:tc>
      </w:tr>
      <w:tr>
        <w:tblPrEx>
          <w:tblW w:w="0" w:type="auto"/>
          <w:jc w:val="left"/>
          <w:tblInd w:w="7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0"/>
          <w:jc w:val="left"/>
        </w:trPr>
        <w:tc>
          <w:tcPr>
            <w:tcW w:w="1243" w:type="dxa"/>
          </w:tcPr>
          <w:p>
            <w:pPr>
              <w:pStyle w:val="TableParagraph"/>
              <w:spacing w:before="12"/>
              <w:rPr>
                <w:b/>
                <w:sz w:val="33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5515" w:type="dxa"/>
            <w:gridSpan w:val="2"/>
          </w:tcPr>
          <w:p>
            <w:pPr>
              <w:pStyle w:val="TableParagraph"/>
              <w:spacing w:before="12"/>
              <w:rPr>
                <w:b/>
                <w:sz w:val="33"/>
              </w:rPr>
            </w:pPr>
          </w:p>
          <w:p>
            <w:pPr>
              <w:pStyle w:val="TableParagraph"/>
              <w:ind w:left="981"/>
              <w:rPr>
                <w:sz w:val="42"/>
              </w:rPr>
            </w:pPr>
            <w:r>
              <w:rPr>
                <w:sz w:val="42"/>
              </w:rPr>
              <w:t>零件宽度、长度</w:t>
            </w:r>
          </w:p>
        </w:tc>
        <w:tc>
          <w:tcPr>
            <w:tcW w:w="4997" w:type="dxa"/>
          </w:tcPr>
          <w:p>
            <w:pPr>
              <w:pStyle w:val="TableParagraph"/>
              <w:spacing w:before="12"/>
              <w:rPr>
                <w:b/>
                <w:sz w:val="33"/>
              </w:rPr>
            </w:pPr>
          </w:p>
          <w:p>
            <w:pPr>
              <w:pStyle w:val="TableParagraph"/>
              <w:ind w:left="2055" w:right="1852"/>
              <w:jc w:val="center"/>
              <w:rPr>
                <w:sz w:val="42"/>
              </w:rPr>
            </w:pPr>
            <w:r>
              <w:rPr>
                <w:sz w:val="42"/>
              </w:rPr>
              <w:t>±3mm</w:t>
            </w:r>
          </w:p>
        </w:tc>
      </w:tr>
      <w:tr>
        <w:tblPrEx>
          <w:tblW w:w="0" w:type="auto"/>
          <w:jc w:val="left"/>
          <w:tblInd w:w="7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1243" w:type="dxa"/>
          </w:tcPr>
          <w:p>
            <w:pPr>
              <w:pStyle w:val="TableParagraph"/>
              <w:spacing w:before="188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5515" w:type="dxa"/>
            <w:gridSpan w:val="2"/>
          </w:tcPr>
          <w:p>
            <w:pPr>
              <w:pStyle w:val="TableParagraph"/>
              <w:spacing w:before="188"/>
              <w:ind w:left="1193"/>
              <w:rPr>
                <w:sz w:val="42"/>
              </w:rPr>
            </w:pPr>
            <w:r>
              <w:rPr>
                <w:sz w:val="42"/>
              </w:rPr>
              <w:t>切割面平整度</w:t>
            </w:r>
          </w:p>
        </w:tc>
        <w:tc>
          <w:tcPr>
            <w:tcW w:w="4997" w:type="dxa"/>
          </w:tcPr>
          <w:p>
            <w:pPr>
              <w:pStyle w:val="TableParagraph"/>
              <w:spacing w:before="188"/>
              <w:ind w:left="1580"/>
              <w:rPr>
                <w:sz w:val="42"/>
              </w:rPr>
            </w:pPr>
            <w:r>
              <w:rPr>
                <w:sz w:val="42"/>
              </w:rPr>
              <w:t>0.05T</w:t>
            </w:r>
            <w:r>
              <w:rPr>
                <w:spacing w:val="-36"/>
                <w:sz w:val="42"/>
              </w:rPr>
              <w:t xml:space="preserve"> 且不大于 </w:t>
            </w:r>
            <w:r>
              <w:rPr>
                <w:sz w:val="42"/>
              </w:rPr>
              <w:t>2T</w:t>
            </w:r>
          </w:p>
        </w:tc>
      </w:tr>
      <w:tr>
        <w:tblPrEx>
          <w:tblW w:w="0" w:type="auto"/>
          <w:jc w:val="left"/>
          <w:tblInd w:w="7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1243" w:type="dxa"/>
          </w:tcPr>
          <w:p>
            <w:pPr>
              <w:pStyle w:val="TableParagraph"/>
              <w:spacing w:before="188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5515" w:type="dxa"/>
            <w:gridSpan w:val="2"/>
          </w:tcPr>
          <w:p>
            <w:pPr>
              <w:pStyle w:val="TableParagraph"/>
              <w:spacing w:before="188"/>
              <w:ind w:left="1612"/>
              <w:rPr>
                <w:sz w:val="42"/>
              </w:rPr>
            </w:pPr>
            <w:r>
              <w:rPr>
                <w:sz w:val="42"/>
              </w:rPr>
              <w:t>割纹深度</w:t>
            </w:r>
          </w:p>
        </w:tc>
        <w:tc>
          <w:tcPr>
            <w:tcW w:w="4997" w:type="dxa"/>
          </w:tcPr>
          <w:p>
            <w:pPr>
              <w:pStyle w:val="TableParagraph"/>
              <w:spacing w:before="188"/>
              <w:ind w:left="2052" w:right="1852"/>
              <w:jc w:val="center"/>
              <w:rPr>
                <w:sz w:val="42"/>
              </w:rPr>
            </w:pPr>
            <w:r>
              <w:rPr>
                <w:sz w:val="42"/>
              </w:rPr>
              <w:t>0.2</w:t>
            </w:r>
          </w:p>
        </w:tc>
      </w:tr>
      <w:tr>
        <w:tblPrEx>
          <w:tblW w:w="0" w:type="auto"/>
          <w:jc w:val="left"/>
          <w:tblInd w:w="7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1243" w:type="dxa"/>
          </w:tcPr>
          <w:p>
            <w:pPr>
              <w:pStyle w:val="TableParagraph"/>
              <w:spacing w:before="189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5515" w:type="dxa"/>
            <w:gridSpan w:val="2"/>
          </w:tcPr>
          <w:p>
            <w:pPr>
              <w:pStyle w:val="TableParagraph"/>
              <w:spacing w:before="189" w:line="459" w:lineRule="exact"/>
              <w:ind w:left="1193"/>
              <w:rPr>
                <w:sz w:val="42"/>
              </w:rPr>
            </w:pPr>
            <w:r>
              <w:rPr>
                <w:sz w:val="42"/>
              </w:rPr>
              <w:t>局部缺口深度</w:t>
            </w:r>
          </w:p>
        </w:tc>
        <w:tc>
          <w:tcPr>
            <w:tcW w:w="4997" w:type="dxa"/>
          </w:tcPr>
          <w:p>
            <w:pPr>
              <w:pStyle w:val="TableParagraph"/>
              <w:spacing w:before="189" w:line="459" w:lineRule="exact"/>
              <w:ind w:left="2052" w:right="1852"/>
              <w:jc w:val="center"/>
              <w:rPr>
                <w:sz w:val="42"/>
              </w:rPr>
            </w:pPr>
            <w:r>
              <w:rPr>
                <w:sz w:val="42"/>
              </w:rPr>
              <w:t>1.0</w:t>
            </w:r>
          </w:p>
        </w:tc>
      </w:tr>
    </w:tbl>
    <w:p>
      <w:pPr>
        <w:pStyle w:val="BodyText"/>
        <w:spacing w:before="12"/>
        <w:ind w:left="0"/>
        <w:rPr>
          <w:b/>
          <w:sz w:val="33"/>
        </w:rPr>
      </w:pP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0" w:after="0" w:line="240" w:lineRule="auto"/>
        <w:ind w:left="1853" w:right="0" w:hanging="1577"/>
        <w:jc w:val="left"/>
        <w:rPr>
          <w:sz w:val="42"/>
        </w:rPr>
      </w:pPr>
      <w:r>
        <w:rPr>
          <w:sz w:val="42"/>
        </w:rPr>
        <w:t>矫正和成型：零件加工完成后要进行矫正</w:t>
      </w:r>
    </w:p>
    <w:p>
      <w:pPr>
        <w:pStyle w:val="Heading1"/>
        <w:spacing w:before="362"/>
      </w:pPr>
      <w:r>
        <w:pict>
          <v:group id="_x0000_s1050" style="width:642.75pt;height:185.95pt;margin-top:50.43pt;margin-left:126pt;mso-position-horizontal-relative:page;mso-wrap-distance-left:0;mso-wrap-distance-right:0;position:absolute;z-index:-251652096" coordorigin="2520,1009" coordsize="12855,3719">
            <v:shape id="_x0000_s1051" type="#_x0000_t75" style="width:12855;height:3719;left:2520;position:absolute;top:1008" stroked="f">
              <v:imagedata r:id="rId11" o:title=""/>
            </v:shape>
            <v:shape id="_x0000_s1052" type="#_x0000_t202" style="width:863;height:422;left:7118;position:absolute;top:13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</w:t>
                    </w:r>
                  </w:p>
                </w:txbxContent>
              </v:textbox>
            </v:shape>
            <v:shape id="_x0000_s1053" type="#_x0000_t202" style="width:1705;height:422;left:12357;position:absolute;top:13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允许偏差</w:t>
                    </w:r>
                  </w:p>
                </w:txbxContent>
              </v:textbox>
            </v:shape>
            <v:shape id="_x0000_s1054" type="#_x0000_t202" style="width:231;height:422;left:3172;position:absolute;top:22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55" type="#_x0000_t202" style="width:3390;height:422;left:4176;position:absolute;top:22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钢板的局部平整度</w:t>
                    </w:r>
                  </w:p>
                </w:txbxContent>
              </v:textbox>
            </v:shape>
            <v:shape id="_x0000_s1056" type="#_x0000_t202" style="width:652;height:422;left:9383;position:absolute;top:22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T14</w:t>
                    </w:r>
                  </w:p>
                </w:txbxContent>
              </v:textbox>
            </v:shape>
            <v:shape id="_x0000_s1057" type="#_x0000_t202" style="width:652;height:422;left:11226;position:absolute;top:22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1.5</w:t>
                    </w:r>
                  </w:p>
                </w:txbxContent>
              </v:textbox>
            </v:shape>
            <v:shape id="_x0000_s1058" type="#_x0000_t202" style="width:652;height:422;left:9383;position:absolute;top:31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T14</w:t>
                    </w:r>
                  </w:p>
                </w:txbxContent>
              </v:textbox>
            </v:shape>
            <v:shape id="_x0000_s1059" type="#_x0000_t202" style="width:231;height:422;left:11226;position:absolute;top:31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60" type="#_x0000_t202" style="width:231;height:422;left:3172;position:absolute;top:40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61" type="#_x0000_t202" style="width:2969;height:422;left:4176;position:absolute;top:40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角钢肢的垂直度</w:t>
                    </w:r>
                  </w:p>
                </w:txbxContent>
              </v:textbox>
            </v:shape>
            <v:shape id="_x0000_s1062" type="#_x0000_t202" style="width:1073;height:422;left:11226;position:absolute;top:40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B/100</w:t>
                    </w:r>
                  </w:p>
                </w:txbxContent>
              </v:textbox>
            </v:shape>
            <w10:wrap type="topAndBottom"/>
          </v:group>
        </w:pict>
      </w:r>
      <w:r>
        <w:t>矫正后的允许偏差</w:t>
      </w:r>
    </w:p>
    <w:p>
      <w:pPr>
        <w:pStyle w:val="BodyText"/>
        <w:spacing w:before="11"/>
        <w:ind w:left="0"/>
        <w:rPr>
          <w:b/>
          <w:sz w:val="10"/>
        </w:rPr>
      </w:pP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43" w:after="0" w:line="400" w:lineRule="auto"/>
        <w:ind w:left="277" w:right="4097" w:firstLine="0"/>
        <w:jc w:val="left"/>
        <w:rPr>
          <w:sz w:val="42"/>
        </w:rPr>
      </w:pPr>
      <w:r>
        <w:rPr>
          <w:sz w:val="42"/>
        </w:rPr>
        <w:t>组 装                                     A</w:t>
      </w:r>
      <w:r>
        <w:rPr>
          <w:spacing w:val="-3"/>
          <w:sz w:val="42"/>
        </w:rPr>
        <w:t xml:space="preserve">：组装前零件、部件应检查合格，清除铁锈、毛边、污垢. </w:t>
      </w:r>
      <w:r>
        <w:rPr>
          <w:sz w:val="42"/>
        </w:rPr>
        <w:t>B</w:t>
      </w:r>
      <w:r>
        <w:rPr>
          <w:spacing w:val="-2"/>
          <w:sz w:val="42"/>
        </w:rPr>
        <w:t>：组装顺序应根据结构形式、焊接方法等因素确定.    C</w:t>
      </w:r>
      <w:r>
        <w:rPr>
          <w:spacing w:val="-4"/>
          <w:sz w:val="42"/>
        </w:rPr>
        <w:t>：封闭部位检查合格后方可组装.</w:t>
      </w: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5" w:after="0" w:line="400" w:lineRule="auto"/>
        <w:ind w:left="277" w:right="8719" w:firstLine="0"/>
        <w:jc w:val="left"/>
        <w:rPr>
          <w:sz w:val="42"/>
        </w:rPr>
      </w:pPr>
      <w:r>
        <w:rPr>
          <w:spacing w:val="-1"/>
          <w:sz w:val="42"/>
        </w:rPr>
        <w:t>焊接：焊工应持证上岗. A</w:t>
      </w:r>
      <w:r>
        <w:rPr>
          <w:spacing w:val="-4"/>
          <w:sz w:val="42"/>
        </w:rPr>
        <w:t>：根据设计要求选择合适的焊条.</w:t>
      </w:r>
    </w:p>
    <w:p>
      <w:pPr>
        <w:pStyle w:val="BodyText"/>
        <w:spacing w:before="4" w:line="400" w:lineRule="auto"/>
        <w:ind w:right="2545"/>
      </w:pPr>
      <w:r>
        <w:rPr>
          <w:spacing w:val="-34"/>
        </w:rPr>
        <w:t>B</w:t>
      </w:r>
      <w:r>
        <w:rPr>
          <w:spacing w:val="-12"/>
        </w:rPr>
        <w:t xml:space="preserve">：焊接材料使用前应按产品说明进行加温，保证正确的时间和温度. </w:t>
      </w:r>
      <w:r>
        <w:t>C</w:t>
      </w:r>
      <w:r>
        <w:rPr>
          <w:spacing w:val="-2"/>
        </w:rPr>
        <w:t>：施焊前应复查接头质量和焊区处理情况.</w:t>
      </w:r>
    </w:p>
    <w:p>
      <w:pPr>
        <w:pStyle w:val="BodyText"/>
        <w:spacing w:before="2" w:line="400" w:lineRule="auto"/>
        <w:ind w:right="2589"/>
      </w:pPr>
      <w:r>
        <w:t>D</w:t>
      </w:r>
      <w:r>
        <w:rPr>
          <w:spacing w:val="-2"/>
        </w:rPr>
        <w:t xml:space="preserve">：施焊时应遵循焊接工艺.                                 </w:t>
      </w:r>
      <w:r>
        <w:rPr>
          <w:spacing w:val="2"/>
        </w:rPr>
        <w:t>E</w:t>
      </w:r>
      <w:r>
        <w:rPr>
          <w:spacing w:val="-1"/>
        </w:rPr>
        <w:t>：多层焊接要连续施焊，每一层焊道焊完后应及时清理检查，清除</w:t>
      </w:r>
    </w:p>
    <w:p>
      <w:pPr>
        <w:spacing w:after="0" w:line="400" w:lineRule="auto"/>
        <w:sectPr>
          <w:pgSz w:w="17860" w:h="25260"/>
          <w:pgMar w:top="1820" w:right="140" w:bottom="280" w:left="2420" w:header="708" w:footer="708"/>
          <w:pgNumType w:start="6"/>
          <w:cols w:space="708"/>
        </w:sectPr>
      </w:pPr>
    </w:p>
    <w:p>
      <w:pPr>
        <w:pStyle w:val="BodyText"/>
        <w:spacing w:before="21" w:line="400" w:lineRule="auto"/>
        <w:ind w:right="3258"/>
      </w:pPr>
      <w:r>
        <w:rPr>
          <w:spacing w:val="-1"/>
        </w:rPr>
        <w:t>缺陷后再焊.                                           F</w:t>
      </w:r>
      <w:r>
        <w:rPr>
          <w:spacing w:val="-4"/>
        </w:rPr>
        <w:t>：焊接完毕，焊工应清理焊缝表面的熔渣，检查焊缝外观质量.</w:t>
      </w: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3" w:after="0" w:line="240" w:lineRule="auto"/>
        <w:ind w:left="1853" w:right="0" w:hanging="1577"/>
        <w:jc w:val="left"/>
        <w:rPr>
          <w:sz w:val="42"/>
        </w:rPr>
      </w:pPr>
      <w:r>
        <w:rPr>
          <w:sz w:val="42"/>
        </w:rPr>
        <w:t>涂装、编号</w:t>
      </w:r>
    </w:p>
    <w:p>
      <w:pPr>
        <w:pStyle w:val="BodyText"/>
        <w:spacing w:before="361" w:line="400" w:lineRule="auto"/>
        <w:ind w:right="2541" w:firstLine="899"/>
        <w:jc w:val="both"/>
      </w:pPr>
      <w:r>
        <w:t>管道支架、托座制作检验合格后进行除锈和涂装.除锈可采用人工方法；涂装应均匀，无明显起皱、流挂.涂装完毕应在构件上标明编号、重量、重心位置和定位标记等.涂装防锈漆两遍,面漆两遍,面漆采用银灰(B04)颜色.</w:t>
      </w: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7" w:after="0" w:line="400" w:lineRule="auto"/>
        <w:ind w:left="277" w:right="2492" w:firstLine="0"/>
        <w:jc w:val="left"/>
        <w:rPr>
          <w:sz w:val="42"/>
        </w:rPr>
      </w:pPr>
      <w:r>
        <w:rPr>
          <w:spacing w:val="-1"/>
          <w:sz w:val="42"/>
        </w:rPr>
        <w:t>管道支架、托座验收：管道支架、托座制作完成后应按照施</w:t>
      </w:r>
      <w:r>
        <w:rPr>
          <w:spacing w:val="-2"/>
          <w:sz w:val="42"/>
        </w:rPr>
        <w:t>工图纸和规范进行验收.</w:t>
      </w:r>
    </w:p>
    <w:p>
      <w:pPr>
        <w:pStyle w:val="ListParagraph"/>
        <w:numPr>
          <w:ilvl w:val="3"/>
          <w:numId w:val="13"/>
        </w:numPr>
        <w:tabs>
          <w:tab w:val="left" w:pos="1854"/>
        </w:tabs>
        <w:spacing w:before="2" w:after="0" w:line="240" w:lineRule="auto"/>
        <w:ind w:left="1853" w:right="0" w:hanging="1577"/>
        <w:jc w:val="left"/>
        <w:rPr>
          <w:sz w:val="42"/>
        </w:rPr>
      </w:pPr>
      <w:r>
        <w:rPr>
          <w:sz w:val="42"/>
        </w:rPr>
        <w:t>施工要求</w:t>
      </w:r>
    </w:p>
    <w:p>
      <w:pPr>
        <w:pStyle w:val="ListParagraph"/>
        <w:numPr>
          <w:ilvl w:val="4"/>
          <w:numId w:val="13"/>
        </w:numPr>
        <w:tabs>
          <w:tab w:val="left" w:pos="2275"/>
        </w:tabs>
        <w:spacing w:before="362" w:after="0" w:line="240" w:lineRule="auto"/>
        <w:ind w:left="2275" w:right="0" w:hanging="1998"/>
        <w:jc w:val="left"/>
        <w:rPr>
          <w:sz w:val="42"/>
        </w:rPr>
      </w:pPr>
      <w:r>
        <w:rPr>
          <w:spacing w:val="-18"/>
          <w:sz w:val="42"/>
        </w:rPr>
        <w:t>管道支架、托座施工应符合《钢结构工程施工及验收规程》</w:t>
      </w:r>
    </w:p>
    <w:p>
      <w:pPr>
        <w:pStyle w:val="BodyText"/>
        <w:spacing w:before="362" w:line="400" w:lineRule="auto"/>
        <w:ind w:right="2556"/>
      </w:pPr>
      <w:r>
        <w:rPr>
          <w:spacing w:val="3"/>
          <w:w w:val="100"/>
        </w:rPr>
        <w:t>（</w:t>
      </w:r>
      <w:r>
        <w:rPr>
          <w:w w:val="100"/>
        </w:rPr>
        <w:t>GB50205-9</w:t>
      </w:r>
      <w:r>
        <w:rPr>
          <w:spacing w:val="-4"/>
          <w:w w:val="100"/>
        </w:rPr>
        <w:t>5</w:t>
      </w:r>
      <w:r>
        <w:rPr>
          <w:spacing w:val="3"/>
          <w:w w:val="100"/>
        </w:rPr>
        <w:t>、</w:t>
      </w:r>
      <w:r>
        <w:rPr>
          <w:w w:val="100"/>
        </w:rPr>
        <w:t>97</w:t>
      </w:r>
      <w:r>
        <w:rPr>
          <w:spacing w:val="-209"/>
          <w:w w:val="100"/>
        </w:rPr>
        <w:t>）</w:t>
      </w:r>
      <w:r>
        <w:rPr>
          <w:spacing w:val="-35"/>
          <w:w w:val="100"/>
        </w:rPr>
        <w:t>、《建筑钢结构焊接规程》</w:t>
      </w:r>
      <w:r>
        <w:rPr>
          <w:spacing w:val="1"/>
          <w:w w:val="100"/>
        </w:rPr>
        <w:t>（</w:t>
      </w:r>
      <w:r>
        <w:rPr>
          <w:w w:val="100"/>
        </w:rPr>
        <w:t>JGJ81-91</w:t>
      </w:r>
      <w:r>
        <w:rPr>
          <w:spacing w:val="-209"/>
          <w:w w:val="100"/>
        </w:rPr>
        <w:t>）</w:t>
      </w:r>
      <w:r>
        <w:rPr>
          <w:spacing w:val="-45"/>
          <w:w w:val="100"/>
        </w:rPr>
        <w:t>、《钢结构</w:t>
      </w:r>
      <w:r>
        <w:rPr>
          <w:spacing w:val="-21"/>
        </w:rPr>
        <w:t>工程质量检验评定标准》</w:t>
      </w:r>
      <w:r>
        <w:t>（GB50221-95、97）</w:t>
      </w:r>
      <w:r>
        <w:rPr>
          <w:spacing w:val="-3"/>
        </w:rPr>
        <w:t>的要求.</w:t>
      </w:r>
    </w:p>
    <w:p>
      <w:pPr>
        <w:pStyle w:val="ListParagraph"/>
        <w:numPr>
          <w:ilvl w:val="4"/>
          <w:numId w:val="13"/>
        </w:numPr>
        <w:tabs>
          <w:tab w:val="left" w:pos="2275"/>
        </w:tabs>
        <w:spacing w:before="3" w:after="0" w:line="240" w:lineRule="auto"/>
        <w:ind w:left="2275" w:right="0" w:hanging="1998"/>
        <w:jc w:val="left"/>
        <w:rPr>
          <w:sz w:val="42"/>
        </w:rPr>
      </w:pPr>
      <w:r>
        <w:rPr>
          <w:spacing w:val="-2"/>
          <w:sz w:val="42"/>
        </w:rPr>
        <w:t>管道支架、托座焊接质量的检验等级要求均为三级标准.</w:t>
      </w:r>
    </w:p>
    <w:p>
      <w:pPr>
        <w:pStyle w:val="ListParagraph"/>
        <w:numPr>
          <w:ilvl w:val="4"/>
          <w:numId w:val="13"/>
        </w:numPr>
        <w:tabs>
          <w:tab w:val="left" w:pos="2275"/>
        </w:tabs>
        <w:spacing w:before="362" w:after="0" w:line="400" w:lineRule="auto"/>
        <w:ind w:left="277" w:right="2492" w:firstLine="0"/>
        <w:jc w:val="left"/>
        <w:rPr>
          <w:sz w:val="42"/>
        </w:rPr>
      </w:pPr>
      <w:r>
        <w:rPr>
          <w:spacing w:val="-1"/>
          <w:sz w:val="42"/>
        </w:rPr>
        <w:t>在制作前钢材表面应进行除锈处理，除锈质量等级要求达</w:t>
      </w:r>
      <w:r>
        <w:rPr>
          <w:sz w:val="42"/>
        </w:rPr>
        <w:t>到（GB8923-88）</w:t>
      </w:r>
      <w:r>
        <w:rPr>
          <w:spacing w:val="50"/>
          <w:sz w:val="42"/>
        </w:rPr>
        <w:t>中的</w:t>
      </w:r>
      <w:r>
        <w:rPr>
          <w:sz w:val="42"/>
        </w:rPr>
        <w:t>St2</w:t>
      </w:r>
      <w:r>
        <w:rPr>
          <w:spacing w:val="-24"/>
          <w:sz w:val="42"/>
        </w:rPr>
        <w:t xml:space="preserve"> 级标准.</w:t>
      </w:r>
    </w:p>
    <w:p>
      <w:pPr>
        <w:pStyle w:val="ListParagraph"/>
        <w:numPr>
          <w:ilvl w:val="1"/>
          <w:numId w:val="14"/>
        </w:numPr>
        <w:tabs>
          <w:tab w:val="left" w:pos="911"/>
        </w:tabs>
        <w:spacing w:before="0" w:after="0" w:line="440" w:lineRule="exact"/>
        <w:ind w:left="910" w:right="0" w:hanging="634"/>
        <w:jc w:val="left"/>
        <w:rPr>
          <w:sz w:val="40"/>
        </w:rPr>
      </w:pPr>
      <w:r>
        <w:rPr>
          <w:sz w:val="42"/>
        </w:rPr>
        <w:t>、管道安装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根据施工工艺流程，按顺序进行施工，方法如下：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2060" w:right="140" w:bottom="280" w:left="2420" w:header="708" w:footer="708"/>
          <w:pgNumType w:start="7"/>
          <w:cols w:space="708"/>
        </w:sectPr>
      </w:pPr>
    </w:p>
    <w:p>
      <w:pPr>
        <w:spacing w:before="242"/>
        <w:ind w:left="906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6.3.</w:t>
      </w:r>
      <w:r>
        <w:rPr>
          <w:spacing w:val="-314"/>
          <w:sz w:val="31"/>
        </w:rPr>
        <w:t>、</w:t>
      </w:r>
      <w:r>
        <w:rPr>
          <w:rFonts w:ascii="幼圆" w:eastAsia="幼圆" w:hint="eastAsia"/>
          <w:spacing w:val="-18"/>
          <w:sz w:val="31"/>
        </w:rPr>
        <w:t>1</w:t>
      </w:r>
    </w:p>
    <w:p>
      <w:pPr>
        <w:pStyle w:val="BodyText"/>
        <w:spacing w:before="42"/>
        <w:ind w:left="89"/>
      </w:pPr>
      <w:r>
        <w:br w:type="column"/>
      </w:r>
      <w:r>
        <w:t>采暖管道采用螺旋卷焊钢管.螺旋卷焊钢管之间:直线部分焊</w:t>
      </w:r>
    </w:p>
    <w:p>
      <w:pPr>
        <w:spacing w:after="0"/>
        <w:sectPr>
          <w:type w:val="continuous"/>
          <w:pgSz w:w="17860" w:h="25260"/>
          <w:pgMar w:top="1960" w:right="140" w:bottom="280" w:left="2420" w:header="708" w:footer="708"/>
          <w:pgNumType w:start="8"/>
          <w:cols w:num="2" w:space="708" w:equalWidth="0">
            <w:col w:w="1700" w:space="40"/>
            <w:col w:w="13560" w:space="0"/>
          </w:cols>
        </w:sectPr>
      </w:pPr>
    </w:p>
    <w:p>
      <w:pPr>
        <w:pStyle w:val="BodyText"/>
        <w:spacing w:before="4"/>
        <w:ind w:left="0"/>
        <w:rPr>
          <w:sz w:val="20"/>
        </w:rPr>
      </w:pPr>
    </w:p>
    <w:p>
      <w:pPr>
        <w:pStyle w:val="BodyText"/>
        <w:spacing w:before="43" w:line="400" w:lineRule="auto"/>
        <w:ind w:right="2545"/>
        <w:jc w:val="both"/>
      </w:pPr>
      <w:r>
        <w:rPr>
          <w:spacing w:val="-14"/>
        </w:rPr>
        <w:t>接，转弯处利用弯头连接,连接方式为焊接;管道与阀门、设备之间采</w:t>
      </w:r>
      <w:r>
        <w:t>用法兰连接,法兰与管道间焊接.所有的管道焊接处均需按要求打坡</w:t>
      </w:r>
      <w:r>
        <w:rPr>
          <w:spacing w:val="-1"/>
        </w:rPr>
        <w:t>口，然后电焊满焊.</w:t>
      </w:r>
    </w:p>
    <w:p>
      <w:pPr>
        <w:pStyle w:val="ListParagraph"/>
        <w:numPr>
          <w:ilvl w:val="2"/>
          <w:numId w:val="12"/>
        </w:numPr>
        <w:tabs>
          <w:tab w:val="left" w:pos="2170"/>
        </w:tabs>
        <w:spacing w:before="3" w:after="0" w:line="240" w:lineRule="auto"/>
        <w:ind w:left="2169" w:right="0" w:hanging="1055"/>
        <w:jc w:val="left"/>
        <w:rPr>
          <w:sz w:val="42"/>
        </w:rPr>
      </w:pPr>
      <w:r>
        <w:rPr>
          <w:spacing w:val="-8"/>
          <w:sz w:val="42"/>
        </w:rPr>
        <w:t>、管道安装时，利用土建预埋件,在上焊接支架，管道安装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60"/>
          <w:pgMar w:top="1960" w:right="140" w:bottom="280" w:left="2420" w:header="708" w:footer="708"/>
          <w:pgNumType w:start="9"/>
          <w:cols w:space="708"/>
        </w:sectPr>
      </w:pPr>
    </w:p>
    <w:p>
      <w:pPr>
        <w:pStyle w:val="BodyText"/>
        <w:spacing w:before="21" w:line="400" w:lineRule="auto"/>
        <w:ind w:right="2544"/>
      </w:pPr>
      <w:r>
        <w:rPr>
          <w:spacing w:val="-14"/>
        </w:rPr>
        <w:t>在支架上，管道安装用大绳配合倒链将管道运输，有条件处采用吊车</w:t>
      </w:r>
      <w:r>
        <w:rPr>
          <w:spacing w:val="-2"/>
        </w:rPr>
        <w:t>运输，将主干管安装就位.</w:t>
      </w:r>
    </w:p>
    <w:p>
      <w:pPr>
        <w:pStyle w:val="ListParagraph"/>
        <w:numPr>
          <w:ilvl w:val="3"/>
          <w:numId w:val="19"/>
        </w:numPr>
        <w:tabs>
          <w:tab w:val="left" w:pos="2592"/>
        </w:tabs>
        <w:spacing w:before="3" w:after="0" w:line="400" w:lineRule="auto"/>
        <w:ind w:left="277" w:right="2598" w:firstLine="838"/>
        <w:jc w:val="left"/>
        <w:rPr>
          <w:sz w:val="42"/>
        </w:rPr>
      </w:pPr>
      <w:r>
        <w:rPr>
          <w:spacing w:val="-1"/>
          <w:sz w:val="42"/>
        </w:rPr>
        <w:t>、在主干管道及支管道就位的情况下，把阀门、补偿器</w:t>
      </w:r>
      <w:r>
        <w:rPr>
          <w:spacing w:val="-2"/>
          <w:sz w:val="42"/>
        </w:rPr>
        <w:t>等设备安装就位.</w:t>
      </w:r>
    </w:p>
    <w:p>
      <w:pPr>
        <w:pStyle w:val="ListParagraph"/>
        <w:numPr>
          <w:ilvl w:val="3"/>
          <w:numId w:val="19"/>
        </w:numPr>
        <w:tabs>
          <w:tab w:val="left" w:pos="2592"/>
        </w:tabs>
        <w:spacing w:before="2" w:after="0" w:line="400" w:lineRule="auto"/>
        <w:ind w:left="277" w:right="2384" w:firstLine="838"/>
        <w:jc w:val="left"/>
        <w:rPr>
          <w:sz w:val="42"/>
        </w:rPr>
      </w:pPr>
      <w:r>
        <w:rPr>
          <w:sz w:val="42"/>
        </w:rPr>
        <w:t>、在安装之前首先进行测量确定各管道及设备、阀门的</w:t>
      </w:r>
      <w:r>
        <w:rPr>
          <w:spacing w:val="-1"/>
          <w:sz w:val="42"/>
        </w:rPr>
        <w:t>位置，并作好标记，设专人进行坐标及标高、管径管位、设备阀门型</w:t>
      </w:r>
      <w:r>
        <w:rPr>
          <w:spacing w:val="-2"/>
          <w:sz w:val="42"/>
        </w:rPr>
        <w:t>号及对应位置的控制及检查核对.</w:t>
      </w:r>
    </w:p>
    <w:p>
      <w:pPr>
        <w:pStyle w:val="ListParagraph"/>
        <w:numPr>
          <w:ilvl w:val="3"/>
          <w:numId w:val="19"/>
        </w:numPr>
        <w:tabs>
          <w:tab w:val="left" w:pos="2591"/>
        </w:tabs>
        <w:spacing w:before="5" w:after="0" w:line="400" w:lineRule="auto"/>
        <w:ind w:left="277" w:right="2322" w:firstLine="838"/>
        <w:jc w:val="left"/>
        <w:rPr>
          <w:sz w:val="42"/>
        </w:rPr>
      </w:pPr>
      <w:r>
        <w:rPr>
          <w:spacing w:val="-14"/>
          <w:sz w:val="42"/>
        </w:rPr>
        <w:t xml:space="preserve">、对于管道在安装前应进行除锈工作，为保证工程质量， </w:t>
      </w:r>
      <w:r>
        <w:rPr>
          <w:spacing w:val="-12"/>
          <w:sz w:val="42"/>
        </w:rPr>
        <w:t>专设一除锈、喷涂加工区域.除锈采用人工配合机具，并用道木或废</w:t>
      </w:r>
      <w:r>
        <w:rPr>
          <w:spacing w:val="-18"/>
          <w:sz w:val="42"/>
        </w:rPr>
        <w:t xml:space="preserve">管头搭设除锈平台，处于下风向口.在除锈合格达规范规定的前提下， </w:t>
      </w:r>
      <w:r>
        <w:rPr>
          <w:spacing w:val="-2"/>
          <w:sz w:val="42"/>
        </w:rPr>
        <w:t>进行喷涂刷漆.刷漆在专用的区域进行，远离办公区</w:t>
      </w:r>
    </w:p>
    <w:p>
      <w:pPr>
        <w:pStyle w:val="ListParagraph"/>
        <w:numPr>
          <w:ilvl w:val="3"/>
          <w:numId w:val="19"/>
        </w:numPr>
        <w:tabs>
          <w:tab w:val="left" w:pos="2592"/>
        </w:tabs>
        <w:spacing w:before="5" w:after="0" w:line="400" w:lineRule="auto"/>
        <w:ind w:left="277" w:right="2589" w:firstLine="838"/>
        <w:jc w:val="left"/>
        <w:rPr>
          <w:sz w:val="42"/>
        </w:rPr>
      </w:pPr>
      <w:r>
        <w:rPr>
          <w:sz w:val="42"/>
        </w:rPr>
        <w:t>、管道就位时应对管道采取保护措施，以免破坏管道表</w:t>
      </w:r>
      <w:r>
        <w:rPr>
          <w:spacing w:val="-1"/>
          <w:sz w:val="42"/>
        </w:rPr>
        <w:t>面.对钢管应事先进行刷防锈漆和面漆处理，达到规定的防锈漆和面</w:t>
      </w:r>
      <w:r>
        <w:rPr>
          <w:sz w:val="42"/>
        </w:rPr>
        <w:t>漆等级和厚度，待管道安装完毕后在对接口处进行补刷防锈漆及面</w:t>
      </w:r>
      <w:r>
        <w:rPr>
          <w:spacing w:val="-2"/>
          <w:sz w:val="42"/>
        </w:rPr>
        <w:t>漆，要求同管道本身.</w:t>
      </w:r>
    </w:p>
    <w:p>
      <w:pPr>
        <w:pStyle w:val="ListParagraph"/>
        <w:numPr>
          <w:ilvl w:val="2"/>
          <w:numId w:val="19"/>
        </w:numPr>
        <w:tabs>
          <w:tab w:val="left" w:pos="2170"/>
        </w:tabs>
        <w:spacing w:before="6" w:after="0" w:line="240" w:lineRule="auto"/>
        <w:ind w:left="2169" w:right="0" w:hanging="1055"/>
        <w:jc w:val="left"/>
        <w:rPr>
          <w:sz w:val="42"/>
        </w:rPr>
      </w:pPr>
      <w:r>
        <w:rPr>
          <w:sz w:val="42"/>
        </w:rPr>
        <w:t>、对于钢管，焊接，焊接时，管道应打坡口，形式如图：</w:t>
      </w:r>
    </w:p>
    <w:p>
      <w:pPr>
        <w:pStyle w:val="BodyText"/>
        <w:spacing w:before="362"/>
        <w:ind w:left="0" w:right="4443"/>
        <w:jc w:val="center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217042</wp:posOffset>
            </wp:positionV>
            <wp:extent cx="2184400" cy="11176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3" style="width:165.6pt;height:87.8pt;margin-top:17.09pt;margin-left:403.44pt;mso-position-horizontal-relative:page;position:absolute;z-index:251666432" coordorigin="8069,342" coordsize="3312,1756">
            <v:shape id="_x0000_s1064" type="#_x0000_t75" style="width:3312;height:1756;left:8068;position:absolute;top:341" stroked="f">
              <v:imagedata r:id="rId13" o:title=""/>
            </v:shape>
            <v:shape id="_x0000_s1065" type="#_x0000_t202" style="width:231;height:422;left:8487;position:absolute;top:13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〆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"/>
        <w:ind w:left="0"/>
      </w:pPr>
    </w:p>
    <w:p>
      <w:pPr>
        <w:pStyle w:val="BodyText"/>
        <w:spacing w:before="1" w:line="400" w:lineRule="auto"/>
        <w:ind w:left="3327" w:right="9443" w:firstLine="1898"/>
      </w:pPr>
      <w:r>
        <w:pict>
          <v:group id="_x0000_s1066" style="width:538.75pt;height:95pt;margin-top:77.24pt;margin-left:126pt;mso-position-horizontal-relative:page;position:absolute;z-index:-251649024" coordorigin="2520,1545" coordsize="10775,1900">
            <v:shape id="_x0000_s1067" type="#_x0000_t75" style="width:10775;height:1900;left:2520;position:absolute;top:1544" stroked="f">
              <v:imagedata r:id="rId14" o:title=""/>
            </v:shape>
            <v:shape id="_x0000_s1068" type="#_x0000_t202" style="width:2020;height:422;left:3643;position:absolute;top:18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间隙</w:t>
                    </w:r>
                    <w:r>
                      <w:rPr>
                        <w:sz w:val="42"/>
                      </w:rPr>
                      <w:t>b(mm)</w:t>
                    </w:r>
                  </w:p>
                </w:txbxContent>
              </v:textbox>
            </v:shape>
            <v:shape id="_x0000_s1069" type="#_x0000_t202" style="width:2020;height:422;left:7212;position:absolute;top:18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钝边</w:t>
                    </w:r>
                    <w:r>
                      <w:rPr>
                        <w:sz w:val="42"/>
                      </w:rPr>
                      <w:t>p(mm)</w:t>
                    </w:r>
                  </w:p>
                </w:txbxContent>
              </v:textbox>
            </v:shape>
            <v:shape id="_x0000_s1070" type="#_x0000_t202" style="width:2126;height:422;left:10784;position:absolute;top:18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坡口角度〆</w:t>
                    </w:r>
                  </w:p>
                </w:txbxContent>
              </v:textbox>
            </v:shape>
            <v:shape id="_x0000_s1071" type="#_x0000_t202" style="width:863;height:422;left:3643;position:absolute;top:27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0--2</w:t>
                    </w:r>
                  </w:p>
                </w:txbxContent>
              </v:textbox>
            </v:shape>
            <v:shape id="_x0000_s1072" type="#_x0000_t202" style="width:861;height:422;left:7212;position:absolute;top:27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0—2</w:t>
                    </w:r>
                  </w:p>
                </w:txbxContent>
              </v:textbox>
            </v:shape>
            <v:shape id="_x0000_s1073" type="#_x0000_t202" style="width:1073;height:422;left:10784;position:absolute;top:27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65-75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4780788</wp:posOffset>
            </wp:positionH>
            <wp:positionV relativeFrom="paragraph">
              <wp:posOffset>-165226</wp:posOffset>
            </wp:positionV>
            <wp:extent cx="39750" cy="224916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224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5123688</wp:posOffset>
            </wp:positionH>
            <wp:positionV relativeFrom="paragraph">
              <wp:posOffset>-165226</wp:posOffset>
            </wp:positionV>
            <wp:extent cx="39750" cy="224916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224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b </w:t>
      </w:r>
      <w:r>
        <w:rPr>
          <w:spacing w:val="-4"/>
        </w:rPr>
        <w:t>坡口各部尺寸</w:t>
      </w:r>
    </w:p>
    <w:p>
      <w:pPr>
        <w:spacing w:after="0" w:line="400" w:lineRule="auto"/>
        <w:sectPr>
          <w:pgSz w:w="17860" w:h="25260"/>
          <w:pgMar w:top="2060" w:right="140" w:bottom="280" w:left="2420" w:header="708" w:footer="708"/>
          <w:pgNumType w:start="10"/>
          <w:cols w:space="708"/>
        </w:sectPr>
      </w:pPr>
    </w:p>
    <w:p>
      <w:pPr>
        <w:pStyle w:val="BodyText"/>
        <w:spacing w:before="21" w:line="400" w:lineRule="auto"/>
        <w:ind w:right="2544" w:firstLine="838"/>
        <w:jc w:val="both"/>
      </w:pPr>
      <w:r>
        <w:rPr>
          <w:spacing w:val="-4"/>
        </w:rPr>
        <w:t xml:space="preserve">管道焊接时应焊出坡的边缘 </w:t>
      </w:r>
      <w:r>
        <w:t>2—3mm</w:t>
      </w:r>
      <w:r>
        <w:rPr>
          <w:spacing w:val="-6"/>
        </w:rPr>
        <w:t xml:space="preserve">，表面余口小于 </w:t>
      </w:r>
      <w:r>
        <w:t>1+0.2</w:t>
      </w:r>
      <w:r>
        <w:rPr>
          <w:spacing w:val="-17"/>
        </w:rPr>
        <w:t xml:space="preserve"> 倍坡</w:t>
      </w:r>
      <w:r>
        <w:rPr>
          <w:spacing w:val="-12"/>
        </w:rPr>
        <w:t xml:space="preserve">口边缘宽度且应大于 </w:t>
      </w:r>
      <w:r>
        <w:t>4mm.</w:t>
      </w:r>
    </w:p>
    <w:p>
      <w:pPr>
        <w:pStyle w:val="BodyText"/>
        <w:spacing w:before="3" w:line="400" w:lineRule="auto"/>
        <w:ind w:right="2544" w:firstLine="838"/>
        <w:jc w:val="both"/>
      </w:pPr>
      <w:r>
        <w:t>6.3.5、安装好后检查坐标、标高，进行压力试验，合格后进行</w:t>
      </w:r>
      <w:r>
        <w:rPr>
          <w:spacing w:val="-9"/>
        </w:rPr>
        <w:t>焊口处管道补刷防锈漆及面漆.所有的立管安装应牢固、垂直.系统进</w:t>
      </w:r>
      <w:r>
        <w:rPr>
          <w:spacing w:val="-11"/>
        </w:rPr>
        <w:t>行管道时,要积极与土建相配合、协调一致,避免发生冲突与返工、窝</w:t>
      </w:r>
      <w:r>
        <w:rPr>
          <w:spacing w:val="-4"/>
        </w:rPr>
        <w:t>工现象;更要与生产协调好,不能影响生产.</w:t>
      </w:r>
    </w:p>
    <w:p>
      <w:pPr>
        <w:pStyle w:val="BodyText"/>
        <w:spacing w:before="6" w:line="400" w:lineRule="auto"/>
        <w:ind w:right="2384" w:firstLine="838"/>
      </w:pPr>
      <w:r>
        <w:t>6.6.3.6、 管道安装完毕，压力管道应进行打压和冲洗试验.在</w:t>
      </w:r>
      <w:r>
        <w:rPr>
          <w:spacing w:val="-1"/>
        </w:rPr>
        <w:t xml:space="preserve">水压试验前将管道和设备分开，将阀门打开，管的两端用盲板封上， </w:t>
      </w:r>
      <w:r>
        <w:t>并做好后背将管端顶在后背上.在管道拐弯转角处做好支撑，固定牢固.在管的最低点，注水加压，在管的最高留一个放风阀，弹簧压力</w:t>
      </w:r>
      <w:r>
        <w:rPr>
          <w:spacing w:val="-13"/>
        </w:rPr>
        <w:t xml:space="preserve">计精度不低于 </w:t>
      </w:r>
      <w:r>
        <w:t>1.5</w:t>
      </w:r>
      <w:r>
        <w:rPr>
          <w:spacing w:val="-16"/>
        </w:rPr>
        <w:t xml:space="preserve"> 级，最大量程为试验压力的 </w:t>
      </w:r>
      <w:r>
        <w:t>1.3—1.5</w:t>
      </w:r>
      <w:r>
        <w:rPr>
          <w:spacing w:val="-15"/>
        </w:rPr>
        <w:t xml:space="preserve"> 倍，表壳的</w:t>
      </w:r>
      <w:r>
        <w:rPr>
          <w:spacing w:val="-28"/>
        </w:rPr>
        <w:t xml:space="preserve">公称直径不小于 </w:t>
      </w:r>
      <w:r>
        <w:t>150mm,</w:t>
      </w:r>
      <w:r>
        <w:rPr>
          <w:spacing w:val="-2"/>
        </w:rPr>
        <w:t>使用前应校正.</w:t>
      </w:r>
    </w:p>
    <w:p>
      <w:pPr>
        <w:pStyle w:val="BodyText"/>
        <w:spacing w:before="8" w:line="400" w:lineRule="auto"/>
        <w:ind w:right="3000" w:firstLine="838"/>
      </w:pPr>
      <w:r>
        <w:rPr>
          <w:spacing w:val="2"/>
        </w:rPr>
        <w:t>6.3.6.1</w:t>
      </w:r>
      <w:r>
        <w:rPr>
          <w:spacing w:val="-1"/>
        </w:rPr>
        <w:t>、试压：每两个阀门井间的管道为一段。试验压力为</w:t>
      </w:r>
      <w:r>
        <w:t>1.6mpa.</w:t>
      </w:r>
    </w:p>
    <w:p>
      <w:pPr>
        <w:pStyle w:val="ListParagraph"/>
        <w:numPr>
          <w:ilvl w:val="3"/>
          <w:numId w:val="20"/>
        </w:numPr>
        <w:tabs>
          <w:tab w:val="left" w:pos="2699"/>
        </w:tabs>
        <w:spacing w:before="3" w:after="0" w:line="400" w:lineRule="auto"/>
        <w:ind w:left="277" w:right="2492" w:firstLine="946"/>
        <w:jc w:val="both"/>
        <w:rPr>
          <w:sz w:val="42"/>
        </w:rPr>
      </w:pPr>
      <w:r>
        <w:rPr>
          <w:spacing w:val="-1"/>
          <w:sz w:val="42"/>
        </w:rPr>
        <w:t>、加压泵、压力计应装在试验段下游的端部与管道轴线</w:t>
      </w:r>
      <w:r>
        <w:rPr>
          <w:sz w:val="42"/>
        </w:rPr>
        <w:t>相垂直的支管上.在试验前，在不大于工作压力的条件下，试验管段</w:t>
      </w:r>
      <w:r>
        <w:rPr>
          <w:spacing w:val="-19"/>
          <w:sz w:val="42"/>
        </w:rPr>
        <w:t xml:space="preserve">注满水浸泡 </w:t>
      </w:r>
      <w:r>
        <w:rPr>
          <w:sz w:val="42"/>
        </w:rPr>
        <w:t>24</w:t>
      </w:r>
      <w:r>
        <w:rPr>
          <w:spacing w:val="-15"/>
          <w:sz w:val="42"/>
        </w:rPr>
        <w:t xml:space="preserve"> 小时后方可试验.</w:t>
      </w:r>
    </w:p>
    <w:p>
      <w:pPr>
        <w:pStyle w:val="ListParagraph"/>
        <w:numPr>
          <w:ilvl w:val="3"/>
          <w:numId w:val="20"/>
        </w:numPr>
        <w:tabs>
          <w:tab w:val="left" w:pos="2699"/>
        </w:tabs>
        <w:spacing w:before="4" w:after="0" w:line="400" w:lineRule="auto"/>
        <w:ind w:left="277" w:right="2334" w:firstLine="946"/>
        <w:jc w:val="both"/>
        <w:rPr>
          <w:sz w:val="42"/>
        </w:rPr>
      </w:pPr>
      <w:r>
        <w:rPr>
          <w:sz w:val="42"/>
        </w:rPr>
        <w:t>、管道升压时，管道的气体应排除，升压过程中，当发</w:t>
      </w:r>
      <w:r>
        <w:rPr>
          <w:spacing w:val="-21"/>
          <w:sz w:val="42"/>
        </w:rPr>
        <w:t>现弹簧压力计表针摆、不稳，直升压较慢时，应重新与排气后再升压. 分级升压，每升一级应检查后背、支墩、管身及接口，当无常时，再</w:t>
      </w:r>
      <w:r>
        <w:rPr>
          <w:spacing w:val="-22"/>
          <w:sz w:val="42"/>
        </w:rPr>
        <w:t xml:space="preserve">继续升压.水压升压至试验压力后，保护 </w:t>
      </w:r>
      <w:r>
        <w:rPr>
          <w:sz w:val="42"/>
        </w:rPr>
        <w:t>10</w:t>
      </w:r>
      <w:r>
        <w:rPr>
          <w:spacing w:val="-25"/>
          <w:sz w:val="42"/>
        </w:rPr>
        <w:t xml:space="preserve"> 分钟所有接口，管身无损， </w:t>
      </w:r>
      <w:r>
        <w:rPr>
          <w:spacing w:val="-14"/>
          <w:sz w:val="42"/>
        </w:rPr>
        <w:t>然后将压力降至设计压力，停压 30min</w:t>
      </w:r>
      <w:r>
        <w:rPr>
          <w:spacing w:val="-11"/>
          <w:sz w:val="42"/>
        </w:rPr>
        <w:t>，压力无降，不渗不漏为合格.</w:t>
      </w:r>
    </w:p>
    <w:p>
      <w:pPr>
        <w:pStyle w:val="BodyText"/>
        <w:spacing w:before="7"/>
        <w:ind w:left="1115"/>
        <w:jc w:val="both"/>
      </w:pPr>
      <w:r>
        <w:t>6.3.7、在水压试验合格后，对管道进行 X 射线探伤，探伤焊口</w:t>
      </w:r>
    </w:p>
    <w:p>
      <w:pPr>
        <w:spacing w:after="0"/>
        <w:jc w:val="both"/>
        <w:sectPr>
          <w:pgSz w:w="17860" w:h="25260"/>
          <w:pgMar w:top="2060" w:right="140" w:bottom="280" w:left="2420" w:header="708" w:footer="708"/>
          <w:pgNumType w:start="11"/>
          <w:cols w:space="708"/>
        </w:sectPr>
      </w:pPr>
    </w:p>
    <w:p>
      <w:pPr>
        <w:pStyle w:val="BodyText"/>
        <w:spacing w:before="21"/>
      </w:pPr>
      <w:r>
        <w:t>占总焊口数 30%，探伤合格后对管道进行补漆、保温.</w:t>
      </w:r>
    </w:p>
    <w:p>
      <w:pPr>
        <w:pStyle w:val="BodyText"/>
        <w:spacing w:before="362" w:line="400" w:lineRule="auto"/>
        <w:ind w:right="2333" w:firstLine="838"/>
      </w:pPr>
      <w:r>
        <w:t>6.3.7、在刷漆之前，应清除管道及设备表面的铁锈、焊渣，毛</w:t>
      </w:r>
      <w:r>
        <w:rPr>
          <w:spacing w:val="-9"/>
        </w:rPr>
        <w:t xml:space="preserve">刺和油腻等.并且油漆宜在 </w:t>
      </w:r>
      <w:r>
        <w:t>5-40</w:t>
      </w:r>
      <w:r>
        <w:rPr>
          <w:spacing w:val="-31"/>
        </w:rPr>
        <w:t xml:space="preserve"> 度的环境下施工，施工时有防火、雨、</w:t>
      </w:r>
      <w:r>
        <w:rPr>
          <w:spacing w:val="-2"/>
        </w:rPr>
        <w:t>冻的施工措施.</w:t>
      </w:r>
    </w:p>
    <w:p>
      <w:pPr>
        <w:pStyle w:val="BodyText"/>
        <w:spacing w:before="4" w:line="400" w:lineRule="auto"/>
        <w:ind w:left="1447" w:right="2573" w:hanging="332"/>
      </w:pPr>
      <w:r>
        <w:rPr>
          <w:spacing w:val="2"/>
        </w:rPr>
        <w:t>6.3.7.2</w:t>
      </w:r>
      <w:r>
        <w:t xml:space="preserve">、施工时，樟丹漆刷两遍，调和漆两遍，施工完后， </w:t>
      </w:r>
      <w:r>
        <w:rPr>
          <w:spacing w:val="-5"/>
        </w:rPr>
        <w:t>漆层要附着牢固，无脱落，皱纹和气泡等缺陷 .并且厚度颜色</w:t>
      </w:r>
    </w:p>
    <w:p>
      <w:pPr>
        <w:pStyle w:val="BodyText"/>
        <w:spacing w:before="3"/>
      </w:pPr>
      <w:r>
        <w:t>统一均匀.</w:t>
      </w:r>
    </w:p>
    <w:p>
      <w:pPr>
        <w:pStyle w:val="BodyText"/>
        <w:spacing w:before="362" w:line="400" w:lineRule="auto"/>
        <w:ind w:right="2670" w:firstLine="961"/>
      </w:pPr>
      <w:r>
        <w:t>6.3.7、 管道安装合格，各项试验均无问题后，进行验收交付使用.管道，即可进行最后的补充刷漆和保温.</w:t>
      </w:r>
    </w:p>
    <w:p>
      <w:pPr>
        <w:pStyle w:val="ListParagraph"/>
        <w:numPr>
          <w:ilvl w:val="1"/>
          <w:numId w:val="10"/>
        </w:numPr>
        <w:tabs>
          <w:tab w:val="left" w:pos="1872"/>
        </w:tabs>
        <w:spacing w:before="3" w:after="0" w:line="240" w:lineRule="auto"/>
        <w:ind w:left="1871" w:right="0" w:hanging="634"/>
        <w:jc w:val="left"/>
        <w:rPr>
          <w:sz w:val="40"/>
        </w:rPr>
      </w:pPr>
      <w:r>
        <w:rPr>
          <w:sz w:val="42"/>
        </w:rPr>
        <w:t>、设备安装方案</w:t>
      </w:r>
    </w:p>
    <w:p>
      <w:pPr>
        <w:pStyle w:val="ListParagraph"/>
        <w:numPr>
          <w:ilvl w:val="2"/>
          <w:numId w:val="10"/>
        </w:numPr>
        <w:tabs>
          <w:tab w:val="left" w:pos="2293"/>
        </w:tabs>
        <w:spacing w:before="362" w:after="0" w:line="240" w:lineRule="auto"/>
        <w:ind w:left="2292" w:right="0" w:hanging="1055"/>
        <w:jc w:val="left"/>
        <w:rPr>
          <w:sz w:val="40"/>
        </w:rPr>
      </w:pPr>
      <w:r>
        <w:rPr>
          <w:sz w:val="42"/>
        </w:rPr>
        <w:t>、验收及设备开箱检查</w:t>
      </w:r>
    </w:p>
    <w:p>
      <w:pPr>
        <w:pStyle w:val="ListParagraph"/>
        <w:numPr>
          <w:ilvl w:val="3"/>
          <w:numId w:val="10"/>
        </w:numPr>
        <w:tabs>
          <w:tab w:val="left" w:pos="2725"/>
        </w:tabs>
        <w:spacing w:before="362" w:after="0" w:line="400" w:lineRule="auto"/>
        <w:ind w:left="277" w:right="2886" w:firstLine="961"/>
        <w:jc w:val="left"/>
        <w:rPr>
          <w:sz w:val="40"/>
        </w:rPr>
      </w:pPr>
      <w:r>
        <w:rPr>
          <w:spacing w:val="-1"/>
          <w:sz w:val="42"/>
        </w:rPr>
        <w:t>、应按设备计较技术文件的规定清点设备的零件和部</w:t>
      </w:r>
      <w:r>
        <w:rPr>
          <w:spacing w:val="-2"/>
          <w:sz w:val="42"/>
        </w:rPr>
        <w:t>件，并应无缺损、损坏和锈蚀等，管口保护物和堵板应完好.</w:t>
      </w:r>
    </w:p>
    <w:p>
      <w:pPr>
        <w:pStyle w:val="ListParagraph"/>
        <w:numPr>
          <w:ilvl w:val="2"/>
          <w:numId w:val="10"/>
        </w:numPr>
        <w:tabs>
          <w:tab w:val="left" w:pos="2293"/>
        </w:tabs>
        <w:spacing w:before="3" w:after="0" w:line="240" w:lineRule="auto"/>
        <w:ind w:left="2292" w:right="0" w:hanging="1055"/>
        <w:jc w:val="left"/>
        <w:rPr>
          <w:sz w:val="40"/>
        </w:rPr>
      </w:pPr>
      <w:r>
        <w:rPr>
          <w:sz w:val="42"/>
        </w:rPr>
        <w:t>、设备安装</w:t>
      </w:r>
    </w:p>
    <w:p>
      <w:pPr>
        <w:pStyle w:val="ListParagraph"/>
        <w:numPr>
          <w:ilvl w:val="3"/>
          <w:numId w:val="10"/>
        </w:numPr>
        <w:tabs>
          <w:tab w:val="left" w:pos="2714"/>
        </w:tabs>
        <w:spacing w:before="362" w:after="0" w:line="400" w:lineRule="auto"/>
        <w:ind w:left="277" w:right="2478" w:firstLine="961"/>
        <w:jc w:val="left"/>
        <w:rPr>
          <w:sz w:val="40"/>
        </w:rPr>
      </w:pPr>
      <w:r>
        <w:rPr>
          <w:spacing w:val="-1"/>
          <w:sz w:val="42"/>
        </w:rPr>
        <w:t xml:space="preserve">、储气罐设备安装采用倒链和三步搭、大绳吊装到位， </w:t>
      </w:r>
      <w:r>
        <w:rPr>
          <w:spacing w:val="-2"/>
          <w:sz w:val="42"/>
        </w:rPr>
        <w:t>然后在底座上安装，进行找正.</w:t>
      </w:r>
    </w:p>
    <w:p>
      <w:pPr>
        <w:pStyle w:val="ListParagraph"/>
        <w:numPr>
          <w:ilvl w:val="1"/>
          <w:numId w:val="10"/>
        </w:numPr>
        <w:tabs>
          <w:tab w:val="left" w:pos="807"/>
        </w:tabs>
        <w:spacing w:before="0" w:after="0" w:line="440" w:lineRule="exact"/>
        <w:ind w:left="806" w:right="0" w:hanging="530"/>
        <w:jc w:val="left"/>
        <w:rPr>
          <w:rFonts w:ascii="Arial" w:eastAsia="Arial"/>
          <w:sz w:val="40"/>
        </w:rPr>
      </w:pPr>
      <w:r>
        <w:rPr>
          <w:sz w:val="42"/>
        </w:rPr>
        <w:t>、管道土方工程</w:t>
      </w:r>
    </w:p>
    <w:p>
      <w:pPr>
        <w:pStyle w:val="BodyText"/>
        <w:spacing w:before="380" w:line="333" w:lineRule="auto"/>
        <w:ind w:right="2322"/>
      </w:pPr>
      <w:r>
        <w:t>6.7.11.1</w:t>
      </w:r>
      <w:r>
        <w:rPr>
          <w:spacing w:val="-9"/>
        </w:rPr>
        <w:t xml:space="preserve">、管道土方开挖采用 </w:t>
      </w:r>
      <w:r>
        <w:t>WY100</w:t>
      </w:r>
      <w:r>
        <w:rPr>
          <w:spacing w:val="-18"/>
        </w:rPr>
        <w:t xml:space="preserve"> 反铲挖土机配合推土机、</w:t>
      </w:r>
      <w:r>
        <w:t>815</w:t>
      </w:r>
      <w:r>
        <w:rPr>
          <w:spacing w:val="-50"/>
        </w:rPr>
        <w:t xml:space="preserve"> 自</w:t>
      </w:r>
      <w:r>
        <w:rPr>
          <w:spacing w:val="-48"/>
        </w:rPr>
        <w:t>卸汽车、铁锹、手推车、小白线、</w:t>
      </w:r>
      <w:r>
        <w:t>20#铅丝和钢卷尺及坡度尺等。6.7.2、挖至设计标高时停止开挖，留20cm</w:t>
      </w:r>
      <w:r>
        <w:rPr>
          <w:spacing w:val="-11"/>
        </w:rPr>
        <w:t xml:space="preserve"> 人工清基，利用人工及时</w:t>
      </w:r>
      <w:r>
        <w:rPr>
          <w:spacing w:val="-25"/>
        </w:rPr>
        <w:t xml:space="preserve">清理预留厚 </w:t>
      </w:r>
      <w:r>
        <w:t>20cm</w:t>
      </w:r>
      <w:r>
        <w:rPr>
          <w:spacing w:val="-17"/>
        </w:rPr>
        <w:t xml:space="preserve"> 的土方，修平基底，清基土方及时运到反铲下排走。</w:t>
      </w:r>
      <w:r>
        <w:rPr>
          <w:spacing w:val="3"/>
        </w:rPr>
        <w:t xml:space="preserve">基坑边坡放坡坡度为 </w:t>
      </w:r>
      <w:r>
        <w:t>1：0.5，考虑放坡跟基底明沟的设置管沟两放</w:t>
      </w:r>
      <w:r>
        <w:rPr>
          <w:spacing w:val="8"/>
        </w:rPr>
        <w:t xml:space="preserve">大 </w:t>
      </w:r>
      <w:r>
        <w:t>1.5m，做为施工操作面和明沟排水设置，挖土的起步方向沿公路沿线开挖。</w:t>
      </w:r>
    </w:p>
    <w:p>
      <w:pPr>
        <w:spacing w:after="0" w:line="333" w:lineRule="auto"/>
        <w:sectPr>
          <w:pgSz w:w="17860" w:h="25260"/>
          <w:pgMar w:top="2060" w:right="140" w:bottom="280" w:left="2420" w:header="708" w:footer="708"/>
          <w:pgNumType w:start="12"/>
          <w:cols w:space="708"/>
        </w:sectPr>
      </w:pPr>
    </w:p>
    <w:p>
      <w:pPr>
        <w:pStyle w:val="ListParagraph"/>
        <w:numPr>
          <w:ilvl w:val="2"/>
          <w:numId w:val="9"/>
        </w:numPr>
        <w:tabs>
          <w:tab w:val="left" w:pos="1332"/>
        </w:tabs>
        <w:spacing w:before="22" w:after="0" w:line="333" w:lineRule="auto"/>
        <w:ind w:left="277" w:right="2593" w:firstLine="0"/>
        <w:jc w:val="left"/>
        <w:rPr>
          <w:sz w:val="42"/>
        </w:rPr>
      </w:pPr>
      <w:r>
        <w:rPr>
          <w:spacing w:val="-1"/>
          <w:sz w:val="42"/>
        </w:rPr>
        <w:t>、土方开挖前，应根据施工方案要求将施工区域内的地下、地</w:t>
      </w:r>
      <w:r>
        <w:rPr>
          <w:sz w:val="42"/>
        </w:rPr>
        <w:t>上障碍物清除和处理完毕。</w:t>
      </w:r>
    </w:p>
    <w:p>
      <w:pPr>
        <w:pStyle w:val="ListParagraph"/>
        <w:numPr>
          <w:ilvl w:val="2"/>
          <w:numId w:val="9"/>
        </w:numPr>
        <w:tabs>
          <w:tab w:val="left" w:pos="1332"/>
        </w:tabs>
        <w:spacing w:before="5" w:after="0" w:line="333" w:lineRule="auto"/>
        <w:ind w:left="277" w:right="2593" w:firstLine="0"/>
        <w:jc w:val="left"/>
        <w:rPr>
          <w:sz w:val="42"/>
        </w:rPr>
      </w:pPr>
      <w:r>
        <w:rPr>
          <w:spacing w:val="-1"/>
          <w:sz w:val="42"/>
        </w:rPr>
        <w:t>、夜间施工有足够的照明设施，在危险地段应设明显标志，并</w:t>
      </w:r>
      <w:r>
        <w:rPr>
          <w:sz w:val="42"/>
        </w:rPr>
        <w:t>按照施工组织设计合理安排开挖顺序，防止挖错或超挖。</w:t>
      </w:r>
    </w:p>
    <w:p>
      <w:pPr>
        <w:pStyle w:val="ListParagraph"/>
        <w:numPr>
          <w:ilvl w:val="2"/>
          <w:numId w:val="9"/>
        </w:numPr>
        <w:tabs>
          <w:tab w:val="left" w:pos="1332"/>
        </w:tabs>
        <w:spacing w:before="2" w:after="0" w:line="336" w:lineRule="auto"/>
        <w:ind w:left="277" w:right="2337" w:firstLine="0"/>
        <w:jc w:val="left"/>
        <w:rPr>
          <w:sz w:val="42"/>
        </w:rPr>
      </w:pPr>
      <w:r>
        <w:rPr>
          <w:spacing w:val="-14"/>
          <w:sz w:val="42"/>
        </w:rPr>
        <w:t xml:space="preserve">、施工机械进入现场所经过的道路和卸车设施等，应经过检查， </w:t>
      </w:r>
      <w:r>
        <w:rPr>
          <w:sz w:val="42"/>
        </w:rPr>
        <w:t>必要时要进行加固和加宽等准备工作。</w:t>
      </w:r>
    </w:p>
    <w:p>
      <w:pPr>
        <w:pStyle w:val="ListParagraph"/>
        <w:numPr>
          <w:ilvl w:val="2"/>
          <w:numId w:val="9"/>
        </w:numPr>
        <w:tabs>
          <w:tab w:val="left" w:pos="1332"/>
        </w:tabs>
        <w:spacing w:before="0" w:after="0" w:line="333" w:lineRule="auto"/>
        <w:ind w:left="277" w:right="2544" w:firstLine="0"/>
        <w:jc w:val="left"/>
        <w:rPr>
          <w:sz w:val="42"/>
        </w:rPr>
      </w:pPr>
      <w:r>
        <w:rPr>
          <w:spacing w:val="1"/>
          <w:sz w:val="42"/>
        </w:rPr>
        <w:t>、开挖过程中，应随时检查槽壁和边坡的状态。深度大于</w:t>
      </w:r>
      <w:r>
        <w:rPr>
          <w:spacing w:val="-5"/>
          <w:sz w:val="42"/>
        </w:rPr>
        <w:t xml:space="preserve">1.5m </w:t>
      </w:r>
      <w:r>
        <w:rPr>
          <w:sz w:val="42"/>
        </w:rPr>
        <w:t>时，根据土质变化情况，应做好基坑的支撑准备，以防塌陷。 6.7.7、开挖基坑的土方留足回填需用的好土，多余的土方应一次运走，避免二次搬运。</w:t>
      </w:r>
    </w:p>
    <w:p>
      <w:pPr>
        <w:pStyle w:val="ListParagraph"/>
        <w:numPr>
          <w:ilvl w:val="2"/>
          <w:numId w:val="8"/>
        </w:numPr>
        <w:tabs>
          <w:tab w:val="left" w:pos="1332"/>
        </w:tabs>
        <w:spacing w:before="2" w:after="0" w:line="336" w:lineRule="auto"/>
        <w:ind w:left="277" w:right="2593" w:firstLine="0"/>
        <w:jc w:val="left"/>
        <w:rPr>
          <w:sz w:val="42"/>
        </w:rPr>
      </w:pPr>
      <w:r>
        <w:rPr>
          <w:spacing w:val="-1"/>
          <w:sz w:val="42"/>
        </w:rPr>
        <w:t>、发生异常情况时，应立即停止挖土，并应立即查清原因和采</w:t>
      </w:r>
      <w:r>
        <w:rPr>
          <w:sz w:val="42"/>
        </w:rPr>
        <w:t>取措施，方能继续挖土。</w:t>
      </w:r>
    </w:p>
    <w:p>
      <w:pPr>
        <w:pStyle w:val="ListParagraph"/>
        <w:numPr>
          <w:ilvl w:val="2"/>
          <w:numId w:val="8"/>
        </w:numPr>
        <w:tabs>
          <w:tab w:val="left" w:pos="1332"/>
        </w:tabs>
        <w:spacing w:before="0" w:after="0" w:line="533" w:lineRule="exact"/>
        <w:ind w:left="1331" w:right="0" w:hanging="1055"/>
        <w:jc w:val="left"/>
        <w:rPr>
          <w:sz w:val="42"/>
        </w:rPr>
      </w:pPr>
      <w:r>
        <w:rPr>
          <w:sz w:val="42"/>
        </w:rPr>
        <w:t>、质量要求：</w:t>
      </w:r>
    </w:p>
    <w:p>
      <w:pPr>
        <w:pStyle w:val="ListParagraph"/>
        <w:numPr>
          <w:ilvl w:val="3"/>
          <w:numId w:val="8"/>
        </w:numPr>
        <w:tabs>
          <w:tab w:val="left" w:pos="1963"/>
        </w:tabs>
        <w:spacing w:before="211" w:after="0" w:line="333" w:lineRule="auto"/>
        <w:ind w:left="277" w:right="2321" w:firstLine="0"/>
        <w:jc w:val="left"/>
        <w:rPr>
          <w:sz w:val="42"/>
        </w:rPr>
      </w:pPr>
      <w:r>
        <w:rPr>
          <w:sz w:val="42"/>
        </w:rPr>
        <w:t>对定位标准桩、轴线引桩、标准水准点龙门板等，挖运土时</w:t>
      </w:r>
      <w:r>
        <w:rPr>
          <w:spacing w:val="-20"/>
          <w:sz w:val="42"/>
        </w:rPr>
        <w:t>不得碰撞，也不得在龙门板上休息。并应经常测量和校核其平面位置、</w:t>
      </w:r>
      <w:r>
        <w:rPr>
          <w:spacing w:val="-9"/>
          <w:sz w:val="42"/>
        </w:rPr>
        <w:t>水平标高和边坡坡度是否符合设计要求，定位标准桩和标准水准点也应定期复测和检查是否正确。</w:t>
      </w:r>
    </w:p>
    <w:p>
      <w:pPr>
        <w:pStyle w:val="ListParagraph"/>
        <w:numPr>
          <w:ilvl w:val="3"/>
          <w:numId w:val="8"/>
        </w:numPr>
        <w:tabs>
          <w:tab w:val="left" w:pos="1963"/>
        </w:tabs>
        <w:spacing w:before="11" w:after="0" w:line="333" w:lineRule="auto"/>
        <w:ind w:left="277" w:right="2331" w:firstLine="0"/>
        <w:jc w:val="left"/>
        <w:rPr>
          <w:sz w:val="42"/>
        </w:rPr>
      </w:pPr>
      <w:r>
        <w:rPr>
          <w:spacing w:val="-11"/>
          <w:sz w:val="42"/>
        </w:rPr>
        <w:t>在敷设有地上或地下管线、电缆的地段进行土方施工时，应</w:t>
      </w:r>
      <w:r>
        <w:rPr>
          <w:spacing w:val="-25"/>
          <w:sz w:val="42"/>
        </w:rPr>
        <w:t xml:space="preserve">事先取得有关部门的书面同意，施工中应采取措施，以防止损坏管线， </w:t>
      </w:r>
      <w:r>
        <w:rPr>
          <w:sz w:val="42"/>
        </w:rPr>
        <w:t>造成严重事故。</w:t>
      </w:r>
    </w:p>
    <w:p>
      <w:pPr>
        <w:pStyle w:val="ListParagraph"/>
        <w:numPr>
          <w:ilvl w:val="3"/>
          <w:numId w:val="8"/>
        </w:numPr>
        <w:tabs>
          <w:tab w:val="left" w:pos="1963"/>
        </w:tabs>
        <w:spacing w:before="6" w:after="0" w:line="333" w:lineRule="auto"/>
        <w:ind w:left="277" w:right="2540" w:firstLine="0"/>
        <w:jc w:val="left"/>
        <w:rPr>
          <w:sz w:val="42"/>
        </w:rPr>
      </w:pPr>
      <w:r>
        <w:rPr>
          <w:spacing w:val="-12"/>
          <w:sz w:val="42"/>
        </w:rPr>
        <w:t>开挖基坑管沟不得超过基底标高，如个别地方超挖时其处理</w:t>
      </w:r>
      <w:r>
        <w:rPr>
          <w:sz w:val="42"/>
        </w:rPr>
        <w:t>方法应取得设计单位的同意，不得私自处理。</w:t>
      </w:r>
    </w:p>
    <w:p>
      <w:pPr>
        <w:pStyle w:val="ListParagraph"/>
        <w:numPr>
          <w:ilvl w:val="3"/>
          <w:numId w:val="8"/>
        </w:numPr>
        <w:tabs>
          <w:tab w:val="left" w:pos="1963"/>
        </w:tabs>
        <w:spacing w:before="2" w:after="0" w:line="333" w:lineRule="auto"/>
        <w:ind w:left="277" w:right="2540" w:firstLine="0"/>
        <w:jc w:val="left"/>
        <w:rPr>
          <w:sz w:val="42"/>
        </w:rPr>
      </w:pPr>
      <w:r>
        <w:rPr>
          <w:spacing w:val="-11"/>
          <w:sz w:val="42"/>
        </w:rPr>
        <w:t>基坑开挖后应尽量减少对基土的扰动，如遇管道不能及时施</w:t>
      </w:r>
      <w:r>
        <w:rPr>
          <w:spacing w:val="-9"/>
          <w:sz w:val="42"/>
        </w:rPr>
        <w:t xml:space="preserve">工时，可在基底标高以上预留 </w:t>
      </w:r>
      <w:r>
        <w:rPr>
          <w:sz w:val="42"/>
        </w:rPr>
        <w:t>300mm</w:t>
      </w:r>
      <w:r>
        <w:rPr>
          <w:spacing w:val="-11"/>
          <w:sz w:val="42"/>
        </w:rPr>
        <w:t xml:space="preserve"> 土层不挖，待做管道时再挖。6.7.9.5</w:t>
      </w:r>
      <w:r>
        <w:rPr>
          <w:spacing w:val="-18"/>
          <w:sz w:val="42"/>
        </w:rPr>
        <w:t>.应严格按施工方案规定的施工顺序进行土方开挖施工，应注意宜先从低处开挖。分层、分段进行，形成一定坡度，以利排水。6.7.9.6</w:t>
      </w:r>
      <w:r>
        <w:rPr>
          <w:spacing w:val="-21"/>
          <w:sz w:val="42"/>
        </w:rPr>
        <w:t>.基坑或管沟底部的开挖宽度和坡度，除应考虑结构尺寸要求</w:t>
      </w:r>
    </w:p>
    <w:p>
      <w:pPr>
        <w:spacing w:after="0" w:line="333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https://d.book118.com/148077020010006023</w:t>
        </w:r>
      </w:hyperlink>
    </w:p>
    <w:p>
      <w:pPr>
        <w:spacing w:after="0" w:line="333" w:lineRule="auto"/>
        <w:jc w:val="left"/>
        <w:rPr>
          <w:sz w:val="42"/>
        </w:rPr>
      </w:pPr>
    </w:p>
    <w:sectPr>
      <w:pgSz w:w="17860" w:h="25260"/>
      <w:pgMar w:top="1940" w:right="140" w:bottom="280" w:left="242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C1DA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2236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277" w:hanging="2236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77" w:hanging="2236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77" w:hanging="2236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7" w:hanging="2236"/>
        <w:jc w:val="left"/>
      </w:pPr>
      <w:rPr>
        <w:rFonts w:hint="default"/>
        <w:b/>
        <w:bCs/>
        <w:w w:val="99"/>
      </w:rPr>
    </w:lvl>
    <w:lvl w:ilvl="5">
      <w:start w:val="0"/>
      <w:numFmt w:val="bullet"/>
      <w:lvlText w:val="•"/>
      <w:lvlJc w:val="left"/>
      <w:pPr>
        <w:ind w:left="7789" w:hanging="2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2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2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2236"/>
      </w:pPr>
      <w:rPr>
        <w:rFonts w:hint="default"/>
      </w:rPr>
    </w:lvl>
  </w:abstractNum>
  <w:abstractNum w:abstractNumId="1">
    <w:nsid w:val="015B882D"/>
    <w:multiLevelType w:val="hybridMultilevel"/>
    <w:tmpl w:val="00000000"/>
    <w:lvl w:ilvl="0">
      <w:start w:val="7"/>
      <w:numFmt w:val="decimal"/>
      <w:lvlText w:val="%1"/>
      <w:lvlJc w:val="left"/>
      <w:pPr>
        <w:ind w:left="1963" w:hanging="10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63" w:hanging="10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63" w:hanging="1054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277" w:hanging="168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406" w:hanging="1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8" w:hanging="1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0" w:hanging="1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3" w:hanging="1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1680"/>
      </w:pPr>
      <w:rPr>
        <w:rFonts w:hint="default"/>
      </w:rPr>
    </w:lvl>
  </w:abstractNum>
  <w:abstractNum w:abstractNumId="2">
    <w:nsid w:val="03FB91D9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0"/>
      </w:pPr>
      <w:rPr>
        <w:rFonts w:hint="default"/>
      </w:rPr>
    </w:lvl>
  </w:abstractNum>
  <w:abstractNum w:abstractNumId="3">
    <w:nsid w:val="095C2D30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14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77" w:hanging="1476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277" w:hanging="147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" w:hanging="147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287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1476"/>
      </w:pPr>
      <w:rPr>
        <w:rFonts w:hint="default"/>
      </w:rPr>
    </w:lvl>
  </w:abstractNum>
  <w:abstractNum w:abstractNumId="4">
    <w:nsid w:val="10162FBA"/>
    <w:multiLevelType w:val="hybridMultilevel"/>
    <w:tmpl w:val="00000000"/>
    <w:lvl w:ilvl="0">
      <w:start w:val="5"/>
      <w:numFmt w:val="decimal"/>
      <w:lvlText w:val="%1"/>
      <w:lvlJc w:val="left"/>
      <w:pPr>
        <w:ind w:left="910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1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1331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442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3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4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6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7" w:hanging="1054"/>
      </w:pPr>
      <w:rPr>
        <w:rFonts w:hint="default"/>
      </w:rPr>
    </w:lvl>
  </w:abstractNum>
  <w:abstractNum w:abstractNumId="5">
    <w:nsid w:val="1C37F2E1"/>
    <w:multiLevelType w:val="hybridMultilevel"/>
    <w:tmpl w:val="00000000"/>
    <w:lvl w:ilvl="0">
      <w:start w:val="7"/>
      <w:numFmt w:val="decimal"/>
      <w:lvlText w:val="%1"/>
      <w:lvlJc w:val="left"/>
      <w:pPr>
        <w:ind w:left="277" w:hanging="10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7" w:hanging="1054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277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277" w:hanging="1487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4">
      <w:start w:val="1"/>
      <w:numFmt w:val="decimal"/>
      <w:lvlText w:val="%1.%2.%3.%4.%5"/>
      <w:lvlJc w:val="left"/>
      <w:pPr>
        <w:ind w:left="277" w:hanging="1908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5">
      <w:start w:val="0"/>
      <w:numFmt w:val="bullet"/>
      <w:lvlText w:val="•"/>
      <w:lvlJc w:val="left"/>
      <w:pPr>
        <w:ind w:left="8010" w:hanging="1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1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1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4" w:hanging="1908"/>
      </w:pPr>
      <w:rPr>
        <w:rFonts w:hint="default"/>
      </w:rPr>
    </w:lvl>
  </w:abstractNum>
  <w:abstractNum w:abstractNumId="6">
    <w:nsid w:val="34AE6275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0"/>
      </w:pPr>
      <w:rPr>
        <w:rFonts w:hint="default"/>
      </w:rPr>
    </w:lvl>
  </w:abstractNum>
  <w:abstractNum w:abstractNumId="7">
    <w:nsid w:val="3AA834B2"/>
    <w:multiLevelType w:val="hybridMultilevel"/>
    <w:tmpl w:val="00000000"/>
    <w:lvl w:ilvl="0">
      <w:start w:val="7"/>
      <w:numFmt w:val="decimal"/>
      <w:lvlText w:val="%1"/>
      <w:lvlJc w:val="left"/>
      <w:pPr>
        <w:ind w:left="910" w:hanging="63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1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77" w:hanging="1062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4115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3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0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6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4" w:hanging="1062"/>
      </w:pPr>
      <w:rPr>
        <w:rFonts w:hint="default"/>
      </w:rPr>
    </w:lvl>
  </w:abstractNum>
  <w:abstractNum w:abstractNumId="8">
    <w:nsid w:val="45714EE2"/>
    <w:multiLevelType w:val="hybridMultilevel"/>
    <w:tmpl w:val="00000000"/>
    <w:lvl w:ilvl="0">
      <w:start w:val="6"/>
      <w:numFmt w:val="decimal"/>
      <w:lvlText w:val="%1"/>
      <w:lvlJc w:val="left"/>
      <w:pPr>
        <w:ind w:left="1871" w:hanging="634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871" w:hanging="634"/>
        <w:jc w:val="right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655" w:hanging="1379"/>
        <w:jc w:val="left"/>
      </w:pPr>
      <w:rPr>
        <w:rFonts w:hint="default"/>
        <w:b/>
        <w:bCs/>
        <w:w w:val="99"/>
      </w:rPr>
    </w:lvl>
    <w:lvl w:ilvl="3">
      <w:start w:val="1"/>
      <w:numFmt w:val="decimal"/>
      <w:lvlText w:val="%1.%2.%3.%4"/>
      <w:lvlJc w:val="left"/>
      <w:pPr>
        <w:ind w:left="2336" w:hanging="2059"/>
        <w:jc w:val="left"/>
      </w:pPr>
      <w:rPr>
        <w:rFonts w:hint="default"/>
        <w:b/>
        <w:bCs/>
        <w:w w:val="98"/>
      </w:rPr>
    </w:lvl>
    <w:lvl w:ilvl="4">
      <w:start w:val="1"/>
      <w:numFmt w:val="decimal"/>
      <w:lvlText w:val="%1.%2.%3.%4.%5."/>
      <w:lvlJc w:val="left"/>
      <w:pPr>
        <w:ind w:left="277" w:hanging="2059"/>
        <w:jc w:val="left"/>
      </w:pPr>
      <w:rPr>
        <w:rFonts w:ascii="宋体" w:eastAsia="宋体" w:hAnsi="宋体" w:cs="宋体" w:hint="default"/>
        <w:b/>
        <w:bCs/>
        <w:spacing w:val="-2"/>
        <w:w w:val="99"/>
        <w:sz w:val="40"/>
        <w:szCs w:val="40"/>
      </w:rPr>
    </w:lvl>
    <w:lvl w:ilvl="5">
      <w:start w:val="0"/>
      <w:numFmt w:val="bullet"/>
      <w:lvlText w:val="•"/>
      <w:lvlJc w:val="left"/>
      <w:pPr>
        <w:ind w:left="2300" w:hanging="2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0" w:hanging="2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79" w:hanging="2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19" w:hanging="2059"/>
      </w:pPr>
      <w:rPr>
        <w:rFonts w:hint="default"/>
      </w:rPr>
    </w:lvl>
  </w:abstractNum>
  <w:abstractNum w:abstractNumId="9">
    <w:nsid w:val="4D2926A8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2013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77" w:hanging="201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77" w:hanging="2013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77" w:hanging="2013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7" w:hanging="2013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5">
      <w:start w:val="0"/>
      <w:numFmt w:val="bullet"/>
      <w:lvlText w:val="•"/>
      <w:lvlJc w:val="left"/>
      <w:pPr>
        <w:ind w:left="7789" w:hanging="2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2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2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2013"/>
      </w:pPr>
      <w:rPr>
        <w:rFonts w:hint="default"/>
      </w:rPr>
    </w:lvl>
  </w:abstractNum>
  <w:abstractNum w:abstractNumId="10">
    <w:nsid w:val="522DBC55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105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77" w:hanging="1055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77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85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7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1055"/>
      </w:pPr>
      <w:rPr>
        <w:rFonts w:hint="default"/>
      </w:rPr>
    </w:lvl>
  </w:abstractNum>
  <w:abstractNum w:abstractNumId="11">
    <w:nsid w:val="650D78BA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15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7" w:hanging="157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77" w:hanging="157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" w:hanging="157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2275" w:hanging="199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8066" w:hanging="1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3" w:hanging="1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1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6" w:hanging="1998"/>
      </w:pPr>
      <w:rPr>
        <w:rFonts w:hint="default"/>
      </w:rPr>
    </w:lvl>
  </w:abstractNum>
  <w:abstractNum w:abstractNumId="12">
    <w:nsid w:val="67768885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2529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77" w:hanging="2529"/>
        <w:jc w:val="left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277" w:hanging="2529"/>
        <w:jc w:val="left"/>
      </w:pPr>
      <w:rPr>
        <w:rFonts w:hint="default"/>
      </w:rPr>
    </w:lvl>
    <w:lvl w:ilvl="3">
      <w:start w:val="10"/>
      <w:numFmt w:val="decimal"/>
      <w:lvlText w:val="%1.%2.%3.%4"/>
      <w:lvlJc w:val="left"/>
      <w:pPr>
        <w:ind w:left="277" w:hanging="2529"/>
        <w:jc w:val="left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7" w:hanging="2529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789" w:hanging="2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2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2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2529"/>
      </w:pPr>
      <w:rPr>
        <w:rFonts w:hint="default"/>
      </w:rPr>
    </w:lvl>
  </w:abstractNum>
  <w:abstractNum w:abstractNumId="13">
    <w:nsid w:val="6EE97482"/>
    <w:multiLevelType w:val="hybridMultilevel"/>
    <w:tmpl w:val="00000000"/>
    <w:lvl w:ilvl="0">
      <w:start w:val="6"/>
      <w:numFmt w:val="decimal"/>
      <w:lvlText w:val="%1"/>
      <w:lvlJc w:val="left"/>
      <w:pPr>
        <w:ind w:left="913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3" w:hanging="637"/>
        <w:jc w:val="left"/>
      </w:pPr>
      <w:rPr>
        <w:rFonts w:hint="default"/>
        <w:spacing w:val="-3"/>
        <w:w w:val="100"/>
      </w:rPr>
    </w:lvl>
    <w:lvl w:ilvl="2">
      <w:start w:val="0"/>
      <w:numFmt w:val="bullet"/>
      <w:lvlText w:val="•"/>
      <w:lvlJc w:val="left"/>
      <w:pPr>
        <w:ind w:left="379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5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637"/>
      </w:pPr>
      <w:rPr>
        <w:rFonts w:hint="default"/>
      </w:rPr>
    </w:lvl>
  </w:abstractNum>
  <w:abstractNum w:abstractNumId="14">
    <w:nsid w:val="710CBA15"/>
    <w:multiLevelType w:val="hybridMultilevel"/>
    <w:tmpl w:val="00000000"/>
    <w:lvl w:ilvl="0">
      <w:start w:val="6"/>
      <w:numFmt w:val="decimal"/>
      <w:lvlText w:val="%1"/>
      <w:lvlJc w:val="left"/>
      <w:pPr>
        <w:ind w:left="2169" w:hanging="10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69" w:hanging="105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69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277" w:hanging="147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9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1476"/>
      </w:pPr>
      <w:rPr>
        <w:rFonts w:hint="default"/>
      </w:rPr>
    </w:lvl>
  </w:abstractNum>
  <w:abstractNum w:abstractNumId="15">
    <w:nsid w:val="7148D693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14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77" w:hanging="1476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277" w:hanging="147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" w:hanging="147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287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1476"/>
      </w:pPr>
      <w:rPr>
        <w:rFonts w:hint="default"/>
      </w:rPr>
    </w:lvl>
  </w:abstractNum>
  <w:abstractNum w:abstractNumId="16">
    <w:nsid w:val="7343618D"/>
    <w:multiLevelType w:val="hybridMultilevel"/>
    <w:tmpl w:val="00000000"/>
    <w:lvl w:ilvl="0">
      <w:start w:val="6"/>
      <w:numFmt w:val="decimal"/>
      <w:lvlText w:val="%1"/>
      <w:lvlJc w:val="left"/>
      <w:pPr>
        <w:ind w:left="2169" w:hanging="10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69" w:hanging="105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69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277" w:hanging="147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9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1476"/>
      </w:pPr>
      <w:rPr>
        <w:rFonts w:hint="default"/>
      </w:rPr>
    </w:lvl>
  </w:abstractNum>
  <w:abstractNum w:abstractNumId="17">
    <w:nsid w:val="76CA6471"/>
    <w:multiLevelType w:val="hybridMultilevel"/>
    <w:tmpl w:val="00000000"/>
    <w:lvl w:ilvl="0">
      <w:start w:val="6"/>
      <w:numFmt w:val="decimal"/>
      <w:lvlText w:val="%1"/>
      <w:lvlJc w:val="left"/>
      <w:pPr>
        <w:ind w:left="277" w:hanging="105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77" w:hanging="1055"/>
        <w:jc w:val="left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277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1"/>
      <w:numFmt w:val="decimal"/>
      <w:lvlText w:val="%1.%2.%3.%4."/>
      <w:lvlJc w:val="left"/>
      <w:pPr>
        <w:ind w:left="277" w:hanging="1686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287" w:hanging="16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6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16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6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1686"/>
      </w:pPr>
      <w:rPr>
        <w:rFonts w:hint="default"/>
      </w:rPr>
    </w:lvl>
  </w:abstractNum>
  <w:abstractNum w:abstractNumId="18">
    <w:nsid w:val="78EFF6B7"/>
    <w:multiLevelType w:val="hybridMultilevel"/>
    <w:tmpl w:val="00000000"/>
    <w:lvl w:ilvl="0">
      <w:start w:val="6"/>
      <w:numFmt w:val="decimal"/>
      <w:lvlText w:val="%1"/>
      <w:lvlJc w:val="left"/>
      <w:pPr>
        <w:ind w:left="1541" w:hanging="126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541" w:hanging="1265"/>
        <w:jc w:val="left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1541" w:hanging="1265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1963" w:hanging="1686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4">
      <w:start w:val="1"/>
      <w:numFmt w:val="decimal"/>
      <w:lvlText w:val="%1.%2.%3.%4.%5"/>
      <w:lvlJc w:val="left"/>
      <w:pPr>
        <w:ind w:left="277" w:hanging="2107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962" w:hanging="21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9" w:hanging="21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7" w:hanging="21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2107"/>
      </w:pPr>
      <w:rPr>
        <w:rFonts w:hint="default"/>
      </w:rPr>
    </w:lvl>
  </w:abstractNum>
  <w:abstractNum w:abstractNumId="19">
    <w:nsid w:val="7D7C8A43"/>
    <w:multiLevelType w:val="hybridMultilevel"/>
    <w:tmpl w:val="00000000"/>
    <w:lvl w:ilvl="0">
      <w:start w:val="5"/>
      <w:numFmt w:val="decimal"/>
      <w:lvlText w:val="%1"/>
      <w:lvlJc w:val="left"/>
      <w:pPr>
        <w:ind w:left="1331" w:hanging="10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1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277" w:hanging="147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993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4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6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7" w:hanging="1476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9"/>
  </w:num>
  <w:num w:numId="6">
    <w:abstractNumId w:val="18"/>
  </w:num>
  <w:num w:numId="7">
    <w:abstractNumId w:val="12"/>
  </w:num>
  <w:num w:numId="8">
    <w:abstractNumId w:val="17"/>
  </w:num>
  <w:num w:numId="9">
    <w:abstractNumId w:val="10"/>
  </w:num>
  <w:num w:numId="10">
    <w:abstractNumId w:val="8"/>
  </w:num>
  <w:num w:numId="11">
    <w:abstractNumId w:val="3"/>
  </w:num>
  <w:num w:numId="12">
    <w:abstractNumId w:val="16"/>
  </w:num>
  <w:num w:numId="13">
    <w:abstractNumId w:val="11"/>
  </w:num>
  <w:num w:numId="14">
    <w:abstractNumId w:val="13"/>
  </w:num>
  <w:num w:numId="15">
    <w:abstractNumId w:val="4"/>
  </w:num>
  <w:num w:numId="16">
    <w:abstractNumId w:val="19"/>
  </w:num>
  <w:num w:numId="17">
    <w:abstractNumId w:val="2"/>
  </w:num>
  <w:num w:numId="18">
    <w:abstractNumId w:val="6"/>
  </w:num>
  <w:num w:numId="19">
    <w:abstractNumId w:val="14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2"/>
      <w:ind w:left="4824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77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148077020010006023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2023-12-20T13:30:57Z</dcterms:created>
  <dcterms:modified xsi:type="dcterms:W3CDTF">2023-12-20T13:30:57Z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2023-12-20T00:00:00Z</vt:filetime>
  </property>
</Properties>
</file>