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化肥农药项目计划设计方案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7" w:history="1">
        <w:r>
          <w:rPr>
            <w:rFonts w:ascii="仿宋" w:eastAsia="仿宋" w:hAnsi="仿宋" w:cs="仿宋" w:hint="eastAsia"/>
            <w:lang w:eastAsia="zh-CN"/>
          </w:rPr>
          <w:t>前言</w:t>
        </w:r>
        <w:r>
          <w:tab/>
        </w:r>
        <w:r>
          <w:fldChar w:fldCharType="begin"/>
        </w:r>
        <w:r>
          <w:instrText xml:space="preserve"> PAGEREF _Toc23507 \h </w:instrText>
        </w:r>
        <w:r>
          <w:fldChar w:fldCharType="separate"/>
        </w:r>
        <w:r>
          <w:t>3</w:t>
        </w:r>
        <w:r>
          <w:fldChar w:fldCharType="end"/>
        </w:r>
      </w:hyperlink>
    </w:p>
    <w:p>
      <w:pPr>
        <w:pStyle w:val="TOC1"/>
        <w:tabs>
          <w:tab w:val="right" w:leader="dot" w:pos="8306"/>
        </w:tabs>
      </w:pPr>
      <w:hyperlink w:anchor="_Toc20273" w:history="1">
        <w:r>
          <w:rPr>
            <w:rFonts w:ascii="仿宋" w:eastAsia="仿宋" w:hAnsi="仿宋" w:cs="仿宋" w:hint="eastAsia"/>
            <w:lang w:eastAsia="zh-CN"/>
          </w:rPr>
          <w:t>一、化肥农药项目建设单位说明</w:t>
        </w:r>
        <w:r>
          <w:tab/>
        </w:r>
        <w:r>
          <w:fldChar w:fldCharType="begin"/>
        </w:r>
        <w:r>
          <w:instrText xml:space="preserve"> PAGEREF _Toc20273 \h </w:instrText>
        </w:r>
        <w:r>
          <w:fldChar w:fldCharType="separate"/>
        </w:r>
        <w:r>
          <w:t>3</w:t>
        </w:r>
        <w:r>
          <w:fldChar w:fldCharType="end"/>
        </w:r>
      </w:hyperlink>
    </w:p>
    <w:p>
      <w:pPr>
        <w:pStyle w:val="TOC2"/>
        <w:tabs>
          <w:tab w:val="right" w:leader="dot" w:pos="8306"/>
        </w:tabs>
      </w:pPr>
      <w:hyperlink w:anchor="_Toc29971" w:history="1">
        <w:r>
          <w:rPr>
            <w:rFonts w:ascii="仿宋" w:eastAsia="仿宋" w:hAnsi="仿宋" w:cs="仿宋" w:hint="eastAsia"/>
            <w:lang w:eastAsia="zh-CN"/>
          </w:rPr>
          <w:t>(一)、化肥农药项目承办单位基本情况</w:t>
        </w:r>
        <w:r>
          <w:tab/>
        </w:r>
        <w:r>
          <w:fldChar w:fldCharType="begin"/>
        </w:r>
        <w:r>
          <w:instrText xml:space="preserve"> PAGEREF _Toc29971 \h </w:instrText>
        </w:r>
        <w:r>
          <w:fldChar w:fldCharType="separate"/>
        </w:r>
        <w:r>
          <w:t>3</w:t>
        </w:r>
        <w:r>
          <w:fldChar w:fldCharType="end"/>
        </w:r>
      </w:hyperlink>
    </w:p>
    <w:p>
      <w:pPr>
        <w:pStyle w:val="TOC2"/>
        <w:tabs>
          <w:tab w:val="right" w:leader="dot" w:pos="8306"/>
        </w:tabs>
      </w:pPr>
      <w:hyperlink w:anchor="_Toc16170" w:history="1">
        <w:r>
          <w:rPr>
            <w:rFonts w:ascii="仿宋" w:eastAsia="仿宋" w:hAnsi="仿宋" w:cs="仿宋" w:hint="eastAsia"/>
            <w:lang w:eastAsia="zh-CN"/>
          </w:rPr>
          <w:t>(二)、公司经济效益分析</w:t>
        </w:r>
        <w:r>
          <w:tab/>
        </w:r>
        <w:r>
          <w:fldChar w:fldCharType="begin"/>
        </w:r>
        <w:r>
          <w:instrText xml:space="preserve"> PAGEREF _Toc16170 \h </w:instrText>
        </w:r>
        <w:r>
          <w:fldChar w:fldCharType="separate"/>
        </w:r>
        <w:r>
          <w:t>4</w:t>
        </w:r>
        <w:r>
          <w:fldChar w:fldCharType="end"/>
        </w:r>
      </w:hyperlink>
    </w:p>
    <w:p>
      <w:pPr>
        <w:pStyle w:val="TOC1"/>
        <w:tabs>
          <w:tab w:val="right" w:leader="dot" w:pos="8306"/>
        </w:tabs>
      </w:pPr>
      <w:hyperlink w:anchor="_Toc15002" w:history="1">
        <w:r>
          <w:rPr>
            <w:rFonts w:ascii="仿宋" w:eastAsia="仿宋" w:hAnsi="仿宋" w:cs="仿宋" w:hint="eastAsia"/>
            <w:lang w:eastAsia="zh-CN"/>
          </w:rPr>
          <w:t>二、化肥农药项目土建工程</w:t>
        </w:r>
        <w:r>
          <w:tab/>
        </w:r>
        <w:r>
          <w:fldChar w:fldCharType="begin"/>
        </w:r>
        <w:r>
          <w:instrText xml:space="preserve"> PAGEREF _Toc15002 \h </w:instrText>
        </w:r>
        <w:r>
          <w:fldChar w:fldCharType="separate"/>
        </w:r>
        <w:r>
          <w:t>5</w:t>
        </w:r>
        <w:r>
          <w:fldChar w:fldCharType="end"/>
        </w:r>
      </w:hyperlink>
    </w:p>
    <w:p>
      <w:pPr>
        <w:pStyle w:val="TOC2"/>
        <w:tabs>
          <w:tab w:val="right" w:leader="dot" w:pos="8306"/>
        </w:tabs>
      </w:pPr>
      <w:hyperlink w:anchor="_Toc21597" w:history="1">
        <w:r>
          <w:rPr>
            <w:rFonts w:ascii="仿宋" w:eastAsia="仿宋" w:hAnsi="仿宋" w:cs="仿宋" w:hint="eastAsia"/>
            <w:lang w:eastAsia="zh-CN"/>
          </w:rPr>
          <w:t>(一)、建筑工程设计原则</w:t>
        </w:r>
        <w:r>
          <w:tab/>
        </w:r>
        <w:r>
          <w:fldChar w:fldCharType="begin"/>
        </w:r>
        <w:r>
          <w:instrText xml:space="preserve"> PAGEREF _Toc21597 \h </w:instrText>
        </w:r>
        <w:r>
          <w:fldChar w:fldCharType="separate"/>
        </w:r>
        <w:r>
          <w:t>5</w:t>
        </w:r>
        <w:r>
          <w:fldChar w:fldCharType="end"/>
        </w:r>
      </w:hyperlink>
    </w:p>
    <w:p>
      <w:pPr>
        <w:pStyle w:val="TOC2"/>
        <w:tabs>
          <w:tab w:val="right" w:leader="dot" w:pos="8306"/>
        </w:tabs>
      </w:pPr>
      <w:hyperlink w:anchor="_Toc22349" w:history="1">
        <w:r>
          <w:rPr>
            <w:rFonts w:ascii="仿宋" w:eastAsia="仿宋" w:hAnsi="仿宋" w:cs="仿宋" w:hint="eastAsia"/>
            <w:lang w:eastAsia="zh-CN"/>
          </w:rPr>
          <w:t>(二)、土建工程设计年限及安全等级</w:t>
        </w:r>
        <w:r>
          <w:tab/>
        </w:r>
        <w:r>
          <w:fldChar w:fldCharType="begin"/>
        </w:r>
        <w:r>
          <w:instrText xml:space="preserve"> PAGEREF _Toc22349 \h </w:instrText>
        </w:r>
        <w:r>
          <w:fldChar w:fldCharType="separate"/>
        </w:r>
        <w:r>
          <w:t>6</w:t>
        </w:r>
        <w:r>
          <w:fldChar w:fldCharType="end"/>
        </w:r>
      </w:hyperlink>
    </w:p>
    <w:p>
      <w:pPr>
        <w:pStyle w:val="TOC2"/>
        <w:tabs>
          <w:tab w:val="right" w:leader="dot" w:pos="8306"/>
        </w:tabs>
      </w:pPr>
      <w:hyperlink w:anchor="_Toc16515" w:history="1">
        <w:r>
          <w:rPr>
            <w:rFonts w:ascii="仿宋" w:eastAsia="仿宋" w:hAnsi="仿宋" w:cs="仿宋" w:hint="eastAsia"/>
            <w:lang w:eastAsia="zh-CN"/>
          </w:rPr>
          <w:t>(三)、建筑工程设计总体要求</w:t>
        </w:r>
        <w:r>
          <w:tab/>
        </w:r>
        <w:r>
          <w:fldChar w:fldCharType="begin"/>
        </w:r>
        <w:r>
          <w:instrText xml:space="preserve"> PAGEREF _Toc16515 \h </w:instrText>
        </w:r>
        <w:r>
          <w:fldChar w:fldCharType="separate"/>
        </w:r>
        <w:r>
          <w:t>7</w:t>
        </w:r>
        <w:r>
          <w:fldChar w:fldCharType="end"/>
        </w:r>
      </w:hyperlink>
    </w:p>
    <w:p>
      <w:pPr>
        <w:pStyle w:val="TOC2"/>
        <w:tabs>
          <w:tab w:val="right" w:leader="dot" w:pos="8306"/>
        </w:tabs>
      </w:pPr>
      <w:hyperlink w:anchor="_Toc18114" w:history="1">
        <w:r>
          <w:rPr>
            <w:rFonts w:ascii="仿宋" w:eastAsia="仿宋" w:hAnsi="仿宋" w:cs="仿宋" w:hint="eastAsia"/>
            <w:lang w:eastAsia="zh-CN"/>
          </w:rPr>
          <w:t>(四)、土建工程建设指标</w:t>
        </w:r>
        <w:r>
          <w:tab/>
        </w:r>
        <w:r>
          <w:fldChar w:fldCharType="begin"/>
        </w:r>
        <w:r>
          <w:instrText xml:space="preserve"> PAGEREF _Toc18114 \h </w:instrText>
        </w:r>
        <w:r>
          <w:fldChar w:fldCharType="separate"/>
        </w:r>
        <w:r>
          <w:t>8</w:t>
        </w:r>
        <w:r>
          <w:fldChar w:fldCharType="end"/>
        </w:r>
      </w:hyperlink>
    </w:p>
    <w:p>
      <w:pPr>
        <w:pStyle w:val="TOC1"/>
        <w:tabs>
          <w:tab w:val="right" w:leader="dot" w:pos="8306"/>
        </w:tabs>
      </w:pPr>
      <w:hyperlink w:anchor="_Toc26258" w:history="1">
        <w:r>
          <w:rPr>
            <w:rFonts w:ascii="仿宋" w:eastAsia="仿宋" w:hAnsi="仿宋" w:cs="仿宋" w:hint="eastAsia"/>
            <w:lang w:eastAsia="zh-CN"/>
          </w:rPr>
          <w:t>三、化肥农药项目绩效评估</w:t>
        </w:r>
        <w:r>
          <w:tab/>
        </w:r>
        <w:r>
          <w:fldChar w:fldCharType="begin"/>
        </w:r>
        <w:r>
          <w:instrText xml:space="preserve"> PAGEREF _Toc26258 \h </w:instrText>
        </w:r>
        <w:r>
          <w:fldChar w:fldCharType="separate"/>
        </w:r>
        <w:r>
          <w:t>8</w:t>
        </w:r>
        <w:r>
          <w:fldChar w:fldCharType="end"/>
        </w:r>
      </w:hyperlink>
    </w:p>
    <w:p>
      <w:pPr>
        <w:pStyle w:val="TOC2"/>
        <w:tabs>
          <w:tab w:val="right" w:leader="dot" w:pos="8306"/>
        </w:tabs>
      </w:pPr>
      <w:hyperlink w:anchor="_Toc18149" w:history="1">
        <w:r>
          <w:rPr>
            <w:rFonts w:ascii="仿宋" w:eastAsia="仿宋" w:hAnsi="仿宋" w:cs="仿宋" w:hint="eastAsia"/>
            <w:lang w:eastAsia="zh-CN"/>
          </w:rPr>
          <w:t>(一)、绩效评估指标</w:t>
        </w:r>
        <w:r>
          <w:tab/>
        </w:r>
        <w:r>
          <w:fldChar w:fldCharType="begin"/>
        </w:r>
        <w:r>
          <w:instrText xml:space="preserve"> PAGEREF _Toc18149 \h </w:instrText>
        </w:r>
        <w:r>
          <w:fldChar w:fldCharType="separate"/>
        </w:r>
        <w:r>
          <w:t>8</w:t>
        </w:r>
        <w:r>
          <w:fldChar w:fldCharType="end"/>
        </w:r>
      </w:hyperlink>
    </w:p>
    <w:p>
      <w:pPr>
        <w:pStyle w:val="TOC2"/>
        <w:tabs>
          <w:tab w:val="right" w:leader="dot" w:pos="8306"/>
        </w:tabs>
      </w:pPr>
      <w:hyperlink w:anchor="_Toc8276" w:history="1">
        <w:r>
          <w:rPr>
            <w:rFonts w:ascii="仿宋" w:eastAsia="仿宋" w:hAnsi="仿宋" w:cs="仿宋" w:hint="eastAsia"/>
            <w:lang w:eastAsia="zh-CN"/>
          </w:rPr>
          <w:t>(二)、绩效评估方法</w:t>
        </w:r>
        <w:r>
          <w:tab/>
        </w:r>
        <w:r>
          <w:fldChar w:fldCharType="begin"/>
        </w:r>
        <w:r>
          <w:instrText xml:space="preserve"> PAGEREF _Toc8276 \h </w:instrText>
        </w:r>
        <w:r>
          <w:fldChar w:fldCharType="separate"/>
        </w:r>
        <w:r>
          <w:t>9</w:t>
        </w:r>
        <w:r>
          <w:fldChar w:fldCharType="end"/>
        </w:r>
      </w:hyperlink>
    </w:p>
    <w:p>
      <w:pPr>
        <w:pStyle w:val="TOC2"/>
        <w:tabs>
          <w:tab w:val="right" w:leader="dot" w:pos="8306"/>
        </w:tabs>
      </w:pPr>
      <w:hyperlink w:anchor="_Toc14272" w:history="1">
        <w:r>
          <w:rPr>
            <w:rFonts w:ascii="仿宋" w:eastAsia="仿宋" w:hAnsi="仿宋" w:cs="仿宋" w:hint="eastAsia"/>
            <w:lang w:eastAsia="zh-CN"/>
          </w:rPr>
          <w:t>(三)、绩效评估周期</w:t>
        </w:r>
        <w:r>
          <w:tab/>
        </w:r>
        <w:r>
          <w:fldChar w:fldCharType="begin"/>
        </w:r>
        <w:r>
          <w:instrText xml:space="preserve"> PAGEREF _Toc14272 \h </w:instrText>
        </w:r>
        <w:r>
          <w:fldChar w:fldCharType="separate"/>
        </w:r>
        <w:r>
          <w:t>10</w:t>
        </w:r>
        <w:r>
          <w:fldChar w:fldCharType="end"/>
        </w:r>
      </w:hyperlink>
    </w:p>
    <w:p>
      <w:pPr>
        <w:pStyle w:val="TOC1"/>
        <w:tabs>
          <w:tab w:val="right" w:leader="dot" w:pos="8306"/>
        </w:tabs>
      </w:pPr>
      <w:hyperlink w:anchor="_Toc3459" w:history="1">
        <w:r>
          <w:rPr>
            <w:rFonts w:ascii="仿宋" w:eastAsia="仿宋" w:hAnsi="仿宋" w:cs="仿宋" w:hint="eastAsia"/>
            <w:lang w:eastAsia="zh-CN"/>
          </w:rPr>
          <w:t>四、化肥农药项目建设背景及必要性分析</w:t>
        </w:r>
        <w:r>
          <w:tab/>
        </w:r>
        <w:r>
          <w:fldChar w:fldCharType="begin"/>
        </w:r>
        <w:r>
          <w:instrText xml:space="preserve"> PAGEREF _Toc3459 \h </w:instrText>
        </w:r>
        <w:r>
          <w:fldChar w:fldCharType="separate"/>
        </w:r>
        <w:r>
          <w:t>11</w:t>
        </w:r>
        <w:r>
          <w:fldChar w:fldCharType="end"/>
        </w:r>
      </w:hyperlink>
    </w:p>
    <w:p>
      <w:pPr>
        <w:pStyle w:val="TOC2"/>
        <w:tabs>
          <w:tab w:val="right" w:leader="dot" w:pos="8306"/>
        </w:tabs>
      </w:pPr>
      <w:hyperlink w:anchor="_Toc25235" w:history="1">
        <w:r>
          <w:rPr>
            <w:rFonts w:ascii="仿宋" w:eastAsia="仿宋" w:hAnsi="仿宋" w:cs="仿宋" w:hint="eastAsia"/>
            <w:lang w:eastAsia="zh-CN"/>
          </w:rPr>
          <w:t>(一)、化肥农药项目背景分析</w:t>
        </w:r>
        <w:r>
          <w:tab/>
        </w:r>
        <w:r>
          <w:fldChar w:fldCharType="begin"/>
        </w:r>
        <w:r>
          <w:instrText xml:space="preserve"> PAGEREF _Toc25235 \h </w:instrText>
        </w:r>
        <w:r>
          <w:fldChar w:fldCharType="separate"/>
        </w:r>
        <w:r>
          <w:t>11</w:t>
        </w:r>
        <w:r>
          <w:fldChar w:fldCharType="end"/>
        </w:r>
      </w:hyperlink>
    </w:p>
    <w:p>
      <w:pPr>
        <w:pStyle w:val="TOC2"/>
        <w:tabs>
          <w:tab w:val="right" w:leader="dot" w:pos="8306"/>
        </w:tabs>
      </w:pPr>
      <w:hyperlink w:anchor="_Toc8459" w:history="1">
        <w:r>
          <w:rPr>
            <w:rFonts w:ascii="仿宋" w:eastAsia="仿宋" w:hAnsi="仿宋" w:cs="仿宋" w:hint="eastAsia"/>
            <w:lang w:eastAsia="zh-CN"/>
          </w:rPr>
          <w:t>(二)、化肥农药项目建设必要性分析</w:t>
        </w:r>
        <w:r>
          <w:tab/>
        </w:r>
        <w:r>
          <w:fldChar w:fldCharType="begin"/>
        </w:r>
        <w:r>
          <w:instrText xml:space="preserve"> PAGEREF _Toc8459 \h </w:instrText>
        </w:r>
        <w:r>
          <w:fldChar w:fldCharType="separate"/>
        </w:r>
        <w:r>
          <w:t>13</w:t>
        </w:r>
        <w:r>
          <w:fldChar w:fldCharType="end"/>
        </w:r>
      </w:hyperlink>
    </w:p>
    <w:p>
      <w:pPr>
        <w:pStyle w:val="TOC1"/>
        <w:tabs>
          <w:tab w:val="right" w:leader="dot" w:pos="8306"/>
        </w:tabs>
      </w:pPr>
      <w:hyperlink w:anchor="_Toc10909" w:history="1">
        <w:r>
          <w:rPr>
            <w:rFonts w:ascii="仿宋" w:eastAsia="仿宋" w:hAnsi="仿宋" w:cs="仿宋" w:hint="eastAsia"/>
            <w:lang w:eastAsia="zh-CN"/>
          </w:rPr>
          <w:t>五、市场分析、调研</w:t>
        </w:r>
        <w:r>
          <w:tab/>
        </w:r>
        <w:r>
          <w:fldChar w:fldCharType="begin"/>
        </w:r>
        <w:r>
          <w:instrText xml:space="preserve"> PAGEREF _Toc10909 \h </w:instrText>
        </w:r>
        <w:r>
          <w:fldChar w:fldCharType="separate"/>
        </w:r>
        <w:r>
          <w:t>14</w:t>
        </w:r>
        <w:r>
          <w:fldChar w:fldCharType="end"/>
        </w:r>
      </w:hyperlink>
    </w:p>
    <w:p>
      <w:pPr>
        <w:pStyle w:val="TOC2"/>
        <w:tabs>
          <w:tab w:val="right" w:leader="dot" w:pos="8306"/>
        </w:tabs>
      </w:pPr>
      <w:hyperlink w:anchor="_Toc1316" w:history="1">
        <w:r>
          <w:rPr>
            <w:rFonts w:ascii="仿宋" w:eastAsia="仿宋" w:hAnsi="仿宋" w:cs="仿宋" w:hint="eastAsia"/>
            <w:lang w:eastAsia="zh-CN"/>
          </w:rPr>
          <w:t>(一)、化肥农药行业分析</w:t>
        </w:r>
        <w:r>
          <w:tab/>
        </w:r>
        <w:r>
          <w:fldChar w:fldCharType="begin"/>
        </w:r>
        <w:r>
          <w:instrText xml:space="preserve"> PAGEREF _Toc1316 \h </w:instrText>
        </w:r>
        <w:r>
          <w:fldChar w:fldCharType="separate"/>
        </w:r>
        <w:r>
          <w:t>14</w:t>
        </w:r>
        <w:r>
          <w:fldChar w:fldCharType="end"/>
        </w:r>
      </w:hyperlink>
    </w:p>
    <w:p>
      <w:pPr>
        <w:pStyle w:val="TOC2"/>
        <w:tabs>
          <w:tab w:val="right" w:leader="dot" w:pos="8306"/>
        </w:tabs>
      </w:pPr>
      <w:hyperlink w:anchor="_Toc32075" w:history="1">
        <w:r>
          <w:rPr>
            <w:rFonts w:ascii="仿宋" w:eastAsia="仿宋" w:hAnsi="仿宋" w:cs="仿宋" w:hint="eastAsia"/>
            <w:lang w:eastAsia="zh-CN"/>
          </w:rPr>
          <w:t>(二)、化肥农药市场分析预测</w:t>
        </w:r>
        <w:r>
          <w:tab/>
        </w:r>
        <w:r>
          <w:fldChar w:fldCharType="begin"/>
        </w:r>
        <w:r>
          <w:instrText xml:space="preserve"> PAGEREF _Toc32075 \h </w:instrText>
        </w:r>
        <w:r>
          <w:fldChar w:fldCharType="separate"/>
        </w:r>
        <w:r>
          <w:t>15</w:t>
        </w:r>
        <w:r>
          <w:fldChar w:fldCharType="end"/>
        </w:r>
      </w:hyperlink>
    </w:p>
    <w:p>
      <w:pPr>
        <w:pStyle w:val="TOC1"/>
        <w:tabs>
          <w:tab w:val="right" w:leader="dot" w:pos="8306"/>
        </w:tabs>
      </w:pPr>
      <w:hyperlink w:anchor="_Toc30039" w:history="1">
        <w:r>
          <w:rPr>
            <w:rFonts w:ascii="仿宋" w:eastAsia="仿宋" w:hAnsi="仿宋" w:cs="仿宋" w:hint="eastAsia"/>
            <w:lang w:eastAsia="zh-CN"/>
          </w:rPr>
          <w:t>六、化肥农药项目概论</w:t>
        </w:r>
        <w:r>
          <w:tab/>
        </w:r>
        <w:r>
          <w:fldChar w:fldCharType="begin"/>
        </w:r>
        <w:r>
          <w:instrText xml:space="preserve"> PAGEREF _Toc30039 \h </w:instrText>
        </w:r>
        <w:r>
          <w:fldChar w:fldCharType="separate"/>
        </w:r>
        <w:r>
          <w:t>16</w:t>
        </w:r>
        <w:r>
          <w:fldChar w:fldCharType="end"/>
        </w:r>
      </w:hyperlink>
    </w:p>
    <w:p>
      <w:pPr>
        <w:pStyle w:val="TOC2"/>
        <w:tabs>
          <w:tab w:val="right" w:leader="dot" w:pos="8306"/>
        </w:tabs>
      </w:pPr>
      <w:hyperlink w:anchor="_Toc17564" w:history="1">
        <w:r>
          <w:rPr>
            <w:rFonts w:ascii="仿宋" w:eastAsia="仿宋" w:hAnsi="仿宋" w:cs="仿宋" w:hint="eastAsia"/>
            <w:lang w:eastAsia="zh-CN"/>
          </w:rPr>
          <w:t>(一)、化肥农药项目概况</w:t>
        </w:r>
        <w:r>
          <w:tab/>
        </w:r>
        <w:r>
          <w:fldChar w:fldCharType="begin"/>
        </w:r>
        <w:r>
          <w:instrText xml:space="preserve"> PAGEREF _Toc17564 \h </w:instrText>
        </w:r>
        <w:r>
          <w:fldChar w:fldCharType="separate"/>
        </w:r>
        <w:r>
          <w:t>16</w:t>
        </w:r>
        <w:r>
          <w:fldChar w:fldCharType="end"/>
        </w:r>
      </w:hyperlink>
    </w:p>
    <w:p>
      <w:pPr>
        <w:pStyle w:val="TOC2"/>
        <w:tabs>
          <w:tab w:val="right" w:leader="dot" w:pos="8306"/>
        </w:tabs>
      </w:pPr>
      <w:hyperlink w:anchor="_Toc26043" w:history="1">
        <w:r>
          <w:rPr>
            <w:rFonts w:ascii="仿宋" w:eastAsia="仿宋" w:hAnsi="仿宋" w:cs="仿宋" w:hint="eastAsia"/>
            <w:lang w:eastAsia="zh-CN"/>
          </w:rPr>
          <w:t>(二)、化肥农药项目目标</w:t>
        </w:r>
        <w:r>
          <w:tab/>
        </w:r>
        <w:r>
          <w:fldChar w:fldCharType="begin"/>
        </w:r>
        <w:r>
          <w:instrText xml:space="preserve"> PAGEREF _Toc26043 \h </w:instrText>
        </w:r>
        <w:r>
          <w:fldChar w:fldCharType="separate"/>
        </w:r>
        <w:r>
          <w:t>18</w:t>
        </w:r>
        <w:r>
          <w:fldChar w:fldCharType="end"/>
        </w:r>
      </w:hyperlink>
    </w:p>
    <w:p>
      <w:pPr>
        <w:pStyle w:val="TOC2"/>
        <w:tabs>
          <w:tab w:val="right" w:leader="dot" w:pos="8306"/>
        </w:tabs>
      </w:pPr>
      <w:hyperlink w:anchor="_Toc30214" w:history="1">
        <w:r>
          <w:rPr>
            <w:rFonts w:ascii="仿宋" w:eastAsia="仿宋" w:hAnsi="仿宋" w:cs="仿宋" w:hint="eastAsia"/>
            <w:lang w:eastAsia="zh-CN"/>
          </w:rPr>
          <w:t>(三)、化肥农药项目提出的理由</w:t>
        </w:r>
        <w:r>
          <w:tab/>
        </w:r>
        <w:r>
          <w:fldChar w:fldCharType="begin"/>
        </w:r>
        <w:r>
          <w:instrText xml:space="preserve"> PAGEREF _Toc30214 \h </w:instrText>
        </w:r>
        <w:r>
          <w:fldChar w:fldCharType="separate"/>
        </w:r>
        <w:r>
          <w:t>19</w:t>
        </w:r>
        <w:r>
          <w:fldChar w:fldCharType="end"/>
        </w:r>
      </w:hyperlink>
    </w:p>
    <w:p>
      <w:pPr>
        <w:pStyle w:val="TOC2"/>
        <w:tabs>
          <w:tab w:val="right" w:leader="dot" w:pos="8306"/>
        </w:tabs>
      </w:pPr>
      <w:hyperlink w:anchor="_Toc18654" w:history="1">
        <w:r>
          <w:rPr>
            <w:rFonts w:ascii="仿宋" w:eastAsia="仿宋" w:hAnsi="仿宋" w:cs="仿宋" w:hint="eastAsia"/>
            <w:lang w:eastAsia="zh-CN"/>
          </w:rPr>
          <w:t>(四)、化肥农药项目意义</w:t>
        </w:r>
        <w:r>
          <w:tab/>
        </w:r>
        <w:r>
          <w:fldChar w:fldCharType="begin"/>
        </w:r>
        <w:r>
          <w:instrText xml:space="preserve"> PAGEREF _Toc18654 \h </w:instrText>
        </w:r>
        <w:r>
          <w:fldChar w:fldCharType="separate"/>
        </w:r>
        <w:r>
          <w:t>20</w:t>
        </w:r>
        <w:r>
          <w:fldChar w:fldCharType="end"/>
        </w:r>
      </w:hyperlink>
    </w:p>
    <w:p>
      <w:pPr>
        <w:pStyle w:val="TOC2"/>
        <w:tabs>
          <w:tab w:val="right" w:leader="dot" w:pos="8306"/>
        </w:tabs>
      </w:pPr>
      <w:hyperlink w:anchor="_Toc26909" w:history="1">
        <w:r>
          <w:rPr>
            <w:rFonts w:ascii="仿宋" w:eastAsia="仿宋" w:hAnsi="仿宋" w:cs="仿宋" w:hint="eastAsia"/>
            <w:lang w:eastAsia="zh-CN"/>
          </w:rPr>
          <w:t>(五)、化肥农药项目背景</w:t>
        </w:r>
        <w:r>
          <w:tab/>
        </w:r>
        <w:r>
          <w:fldChar w:fldCharType="begin"/>
        </w:r>
        <w:r>
          <w:instrText xml:space="preserve"> PAGEREF _Toc26909 \h </w:instrText>
        </w:r>
        <w:r>
          <w:fldChar w:fldCharType="separate"/>
        </w:r>
        <w:r>
          <w:t>21</w:t>
        </w:r>
        <w:r>
          <w:fldChar w:fldCharType="end"/>
        </w:r>
      </w:hyperlink>
    </w:p>
    <w:p>
      <w:pPr>
        <w:pStyle w:val="TOC1"/>
        <w:tabs>
          <w:tab w:val="right" w:leader="dot" w:pos="8306"/>
        </w:tabs>
      </w:pPr>
      <w:hyperlink w:anchor="_Toc4666" w:history="1">
        <w:r>
          <w:rPr>
            <w:rFonts w:ascii="仿宋" w:eastAsia="仿宋" w:hAnsi="仿宋" w:cs="仿宋" w:hint="eastAsia"/>
            <w:lang w:eastAsia="zh-CN"/>
          </w:rPr>
          <w:t>七、化肥农药项目经营效益</w:t>
        </w:r>
        <w:r>
          <w:tab/>
        </w:r>
        <w:r>
          <w:fldChar w:fldCharType="begin"/>
        </w:r>
        <w:r>
          <w:instrText xml:space="preserve"> PAGEREF _Toc4666 \h </w:instrText>
        </w:r>
        <w:r>
          <w:fldChar w:fldCharType="separate"/>
        </w:r>
        <w:r>
          <w:t>22</w:t>
        </w:r>
        <w:r>
          <w:fldChar w:fldCharType="end"/>
        </w:r>
      </w:hyperlink>
    </w:p>
    <w:p>
      <w:pPr>
        <w:pStyle w:val="TOC2"/>
        <w:tabs>
          <w:tab w:val="right" w:leader="dot" w:pos="8306"/>
        </w:tabs>
      </w:pPr>
      <w:hyperlink w:anchor="_Toc15557" w:history="1">
        <w:r>
          <w:rPr>
            <w:rFonts w:ascii="仿宋" w:eastAsia="仿宋" w:hAnsi="仿宋" w:cs="仿宋" w:hint="eastAsia"/>
            <w:lang w:eastAsia="zh-CN"/>
          </w:rPr>
          <w:t>(一)、经济评价财务测算</w:t>
        </w:r>
        <w:r>
          <w:tab/>
        </w:r>
        <w:r>
          <w:fldChar w:fldCharType="begin"/>
        </w:r>
        <w:r>
          <w:instrText xml:space="preserve"> PAGEREF _Toc15557 \h </w:instrText>
        </w:r>
        <w:r>
          <w:fldChar w:fldCharType="separate"/>
        </w:r>
        <w:r>
          <w:t>22</w:t>
        </w:r>
        <w:r>
          <w:fldChar w:fldCharType="end"/>
        </w:r>
      </w:hyperlink>
    </w:p>
    <w:p>
      <w:pPr>
        <w:pStyle w:val="TOC2"/>
        <w:tabs>
          <w:tab w:val="right" w:leader="dot" w:pos="8306"/>
        </w:tabs>
      </w:pPr>
      <w:hyperlink w:anchor="_Toc16687" w:history="1">
        <w:r>
          <w:rPr>
            <w:rFonts w:ascii="仿宋" w:eastAsia="仿宋" w:hAnsi="仿宋" w:cs="仿宋" w:hint="eastAsia"/>
            <w:lang w:eastAsia="zh-CN"/>
          </w:rPr>
          <w:t>(二)、化肥农药项目盈利能力分析</w:t>
        </w:r>
        <w:r>
          <w:tab/>
        </w:r>
        <w:r>
          <w:fldChar w:fldCharType="begin"/>
        </w:r>
        <w:r>
          <w:instrText xml:space="preserve"> PAGEREF _Toc16687 \h </w:instrText>
        </w:r>
        <w:r>
          <w:fldChar w:fldCharType="separate"/>
        </w:r>
        <w:r>
          <w:t>23</w:t>
        </w:r>
        <w:r>
          <w:fldChar w:fldCharType="end"/>
        </w:r>
      </w:hyperlink>
    </w:p>
    <w:p>
      <w:pPr>
        <w:pStyle w:val="TOC1"/>
        <w:tabs>
          <w:tab w:val="right" w:leader="dot" w:pos="8306"/>
        </w:tabs>
      </w:pPr>
      <w:hyperlink w:anchor="_Toc1729" w:history="1">
        <w:r>
          <w:rPr>
            <w:rFonts w:ascii="仿宋" w:eastAsia="仿宋" w:hAnsi="仿宋" w:cs="仿宋" w:hint="eastAsia"/>
            <w:lang w:eastAsia="zh-CN"/>
          </w:rPr>
          <w:t>八、化肥农药项目财务管理</w:t>
        </w:r>
        <w:r>
          <w:tab/>
        </w:r>
        <w:r>
          <w:fldChar w:fldCharType="begin"/>
        </w:r>
        <w:r>
          <w:instrText xml:space="preserve"> PAGEREF _Toc1729 \h </w:instrText>
        </w:r>
        <w:r>
          <w:fldChar w:fldCharType="separate"/>
        </w:r>
        <w:r>
          <w:t>24</w:t>
        </w:r>
        <w:r>
          <w:fldChar w:fldCharType="end"/>
        </w:r>
      </w:hyperlink>
    </w:p>
    <w:p>
      <w:pPr>
        <w:pStyle w:val="TOC2"/>
        <w:tabs>
          <w:tab w:val="right" w:leader="dot" w:pos="8306"/>
        </w:tabs>
      </w:pPr>
      <w:hyperlink w:anchor="_Toc24780" w:history="1">
        <w:r>
          <w:rPr>
            <w:rFonts w:ascii="仿宋" w:eastAsia="仿宋" w:hAnsi="仿宋" w:cs="仿宋" w:hint="eastAsia"/>
            <w:lang w:eastAsia="zh-CN"/>
          </w:rPr>
          <w:t>(一)、资金需求大</w:t>
        </w:r>
        <w:r>
          <w:tab/>
        </w:r>
        <w:r>
          <w:fldChar w:fldCharType="begin"/>
        </w:r>
        <w:r>
          <w:instrText xml:space="preserve"> PAGEREF _Toc24780 \h </w:instrText>
        </w:r>
        <w:r>
          <w:fldChar w:fldCharType="separate"/>
        </w:r>
        <w:r>
          <w:t>24</w:t>
        </w:r>
        <w:r>
          <w:fldChar w:fldCharType="end"/>
        </w:r>
      </w:hyperlink>
    </w:p>
    <w:p>
      <w:pPr>
        <w:pStyle w:val="TOC2"/>
        <w:tabs>
          <w:tab w:val="right" w:leader="dot" w:pos="8306"/>
        </w:tabs>
      </w:pPr>
      <w:hyperlink w:anchor="_Toc10451" w:history="1">
        <w:r>
          <w:rPr>
            <w:rFonts w:ascii="仿宋" w:eastAsia="仿宋" w:hAnsi="仿宋" w:cs="仿宋" w:hint="eastAsia"/>
            <w:lang w:eastAsia="zh-CN"/>
          </w:rPr>
          <w:t>(二)、研发周期长</w:t>
        </w:r>
        <w:r>
          <w:tab/>
        </w:r>
        <w:r>
          <w:fldChar w:fldCharType="begin"/>
        </w:r>
        <w:r>
          <w:instrText xml:space="preserve"> PAGEREF _Toc10451 \h </w:instrText>
        </w:r>
        <w:r>
          <w:fldChar w:fldCharType="separate"/>
        </w:r>
        <w:r>
          <w:t>25</w:t>
        </w:r>
        <w:r>
          <w:fldChar w:fldCharType="end"/>
        </w:r>
      </w:hyperlink>
    </w:p>
    <w:p>
      <w:pPr>
        <w:pStyle w:val="TOC2"/>
        <w:tabs>
          <w:tab w:val="right" w:leader="dot" w:pos="8306"/>
        </w:tabs>
      </w:pPr>
      <w:hyperlink w:anchor="_Toc2807" w:history="1">
        <w:r>
          <w:rPr>
            <w:rFonts w:ascii="仿宋" w:eastAsia="仿宋" w:hAnsi="仿宋" w:cs="仿宋" w:hint="eastAsia"/>
            <w:lang w:eastAsia="zh-CN"/>
          </w:rPr>
          <w:t>(三)、市场风险大</w:t>
        </w:r>
        <w:r>
          <w:tab/>
        </w:r>
        <w:r>
          <w:fldChar w:fldCharType="begin"/>
        </w:r>
        <w:r>
          <w:instrText xml:space="preserve"> PAGEREF _Toc2807 \h </w:instrText>
        </w:r>
        <w:r>
          <w:fldChar w:fldCharType="separate"/>
        </w:r>
        <w:r>
          <w:t>26</w:t>
        </w:r>
        <w:r>
          <w:fldChar w:fldCharType="end"/>
        </w:r>
      </w:hyperlink>
    </w:p>
    <w:p>
      <w:pPr>
        <w:pStyle w:val="TOC2"/>
        <w:tabs>
          <w:tab w:val="right" w:leader="dot" w:pos="8306"/>
        </w:tabs>
      </w:pPr>
      <w:hyperlink w:anchor="_Toc16335" w:history="1">
        <w:r>
          <w:rPr>
            <w:rFonts w:ascii="仿宋" w:eastAsia="仿宋" w:hAnsi="仿宋" w:cs="仿宋" w:hint="eastAsia"/>
            <w:lang w:eastAsia="zh-CN"/>
          </w:rPr>
          <w:t>(四)、利润率高</w:t>
        </w:r>
        <w:r>
          <w:tab/>
        </w:r>
        <w:r>
          <w:fldChar w:fldCharType="begin"/>
        </w:r>
        <w:r>
          <w:instrText xml:space="preserve"> PAGEREF _Toc16335 \h </w:instrText>
        </w:r>
        <w:r>
          <w:fldChar w:fldCharType="separate"/>
        </w:r>
        <w:r>
          <w:t>29</w:t>
        </w:r>
        <w:r>
          <w:fldChar w:fldCharType="end"/>
        </w:r>
      </w:hyperlink>
    </w:p>
    <w:p>
      <w:pPr>
        <w:pStyle w:val="TOC1"/>
        <w:tabs>
          <w:tab w:val="right" w:leader="dot" w:pos="8306"/>
        </w:tabs>
      </w:pPr>
      <w:hyperlink w:anchor="_Toc12718" w:history="1">
        <w:r>
          <w:rPr>
            <w:rFonts w:ascii="仿宋" w:eastAsia="仿宋" w:hAnsi="仿宋" w:cs="仿宋" w:hint="eastAsia"/>
            <w:lang w:eastAsia="zh-CN"/>
          </w:rPr>
          <w:t>九、化肥农药项目人力资源管理</w:t>
        </w:r>
        <w:r>
          <w:tab/>
        </w:r>
        <w:r>
          <w:fldChar w:fldCharType="begin"/>
        </w:r>
        <w:r>
          <w:instrText xml:space="preserve"> PAGEREF _Toc12718 \h </w:instrText>
        </w:r>
        <w:r>
          <w:fldChar w:fldCharType="separate"/>
        </w:r>
        <w:r>
          <w:t>31</w:t>
        </w:r>
        <w:r>
          <w:fldChar w:fldCharType="end"/>
        </w:r>
      </w:hyperlink>
    </w:p>
    <w:p>
      <w:pPr>
        <w:pStyle w:val="TOC2"/>
        <w:tabs>
          <w:tab w:val="right" w:leader="dot" w:pos="8306"/>
        </w:tabs>
      </w:pPr>
      <w:hyperlink w:anchor="_Toc1099" w:history="1">
        <w:r>
          <w:rPr>
            <w:rFonts w:ascii="仿宋" w:eastAsia="仿宋" w:hAnsi="仿宋" w:cs="仿宋" w:hint="eastAsia"/>
            <w:lang w:eastAsia="zh-CN"/>
          </w:rPr>
          <w:t>(一)、建立健全的预算管理制度</w:t>
        </w:r>
        <w:r>
          <w:tab/>
        </w:r>
        <w:r>
          <w:fldChar w:fldCharType="begin"/>
        </w:r>
        <w:r>
          <w:instrText xml:space="preserve"> PAGEREF _Toc1099 \h </w:instrText>
        </w:r>
        <w:r>
          <w:fldChar w:fldCharType="separate"/>
        </w:r>
        <w:r>
          <w:t>31</w:t>
        </w:r>
        <w:r>
          <w:fldChar w:fldCharType="end"/>
        </w:r>
      </w:hyperlink>
    </w:p>
    <w:p>
      <w:pPr>
        <w:pStyle w:val="TOC2"/>
        <w:tabs>
          <w:tab w:val="right" w:leader="dot" w:pos="8306"/>
        </w:tabs>
      </w:pPr>
      <w:hyperlink w:anchor="_Toc18295" w:history="1">
        <w:r>
          <w:rPr>
            <w:rFonts w:ascii="仿宋" w:eastAsia="仿宋" w:hAnsi="仿宋" w:cs="仿宋" w:hint="eastAsia"/>
            <w:lang w:eastAsia="zh-CN"/>
          </w:rPr>
          <w:t>(二)、加强资金流动监控</w:t>
        </w:r>
        <w:r>
          <w:tab/>
        </w:r>
        <w:r>
          <w:fldChar w:fldCharType="begin"/>
        </w:r>
        <w:r>
          <w:instrText xml:space="preserve"> PAGEREF _Toc18295 \h </w:instrText>
        </w:r>
        <w:r>
          <w:fldChar w:fldCharType="separate"/>
        </w:r>
        <w:r>
          <w:t>33</w:t>
        </w:r>
        <w:r>
          <w:fldChar w:fldCharType="end"/>
        </w:r>
      </w:hyperlink>
    </w:p>
    <w:p>
      <w:pPr>
        <w:pStyle w:val="TOC2"/>
        <w:tabs>
          <w:tab w:val="right" w:leader="dot" w:pos="8306"/>
        </w:tabs>
      </w:pPr>
      <w:hyperlink w:anchor="_Toc29143" w:history="1">
        <w:r>
          <w:rPr>
            <w:rFonts w:ascii="仿宋" w:eastAsia="仿宋" w:hAnsi="仿宋" w:cs="仿宋" w:hint="eastAsia"/>
            <w:lang w:eastAsia="zh-CN"/>
          </w:rPr>
          <w:t>(三)、制定完善的风险控制机制</w:t>
        </w:r>
        <w:r>
          <w:tab/>
        </w:r>
        <w:r>
          <w:fldChar w:fldCharType="begin"/>
        </w:r>
        <w:r>
          <w:instrText xml:space="preserve"> PAGEREF _Toc29143 \h </w:instrText>
        </w:r>
        <w:r>
          <w:fldChar w:fldCharType="separate"/>
        </w:r>
        <w:r>
          <w:t>34</w:t>
        </w:r>
        <w:r>
          <w:fldChar w:fldCharType="end"/>
        </w:r>
      </w:hyperlink>
    </w:p>
    <w:p>
      <w:pPr>
        <w:pStyle w:val="TOC2"/>
        <w:tabs>
          <w:tab w:val="right" w:leader="dot" w:pos="8306"/>
        </w:tabs>
      </w:pPr>
      <w:hyperlink w:anchor="_Toc26688" w:history="1">
        <w:r>
          <w:rPr>
            <w:rFonts w:ascii="仿宋" w:eastAsia="仿宋" w:hAnsi="仿宋" w:cs="仿宋" w:hint="eastAsia"/>
            <w:lang w:eastAsia="zh-CN"/>
          </w:rPr>
          <w:t>(四)、优化成本管理</w:t>
        </w:r>
        <w:r>
          <w:tab/>
        </w:r>
        <w:r>
          <w:fldChar w:fldCharType="begin"/>
        </w:r>
        <w:r>
          <w:instrText xml:space="preserve"> PAGEREF _Toc26688 \h </w:instrText>
        </w:r>
        <w:r>
          <w:fldChar w:fldCharType="separate"/>
        </w:r>
        <w:r>
          <w:t>35</w:t>
        </w:r>
        <w:r>
          <w:fldChar w:fldCharType="end"/>
        </w:r>
      </w:hyperlink>
    </w:p>
    <w:p>
      <w:pPr>
        <w:pStyle w:val="TOC1"/>
        <w:tabs>
          <w:tab w:val="right" w:leader="dot" w:pos="8306"/>
        </w:tabs>
      </w:pPr>
      <w:hyperlink w:anchor="_Toc28891" w:history="1">
        <w:r>
          <w:rPr>
            <w:rFonts w:ascii="仿宋" w:eastAsia="仿宋" w:hAnsi="仿宋" w:cs="仿宋" w:hint="eastAsia"/>
            <w:lang w:eastAsia="zh-CN"/>
          </w:rPr>
          <w:t>十、化肥农药项目社会影响</w:t>
        </w:r>
        <w:r>
          <w:tab/>
        </w:r>
        <w:r>
          <w:fldChar w:fldCharType="begin"/>
        </w:r>
        <w:r>
          <w:instrText xml:space="preserve"> PAGEREF _Toc28891 \h </w:instrText>
        </w:r>
        <w:r>
          <w:fldChar w:fldCharType="separate"/>
        </w:r>
        <w:r>
          <w:t>37</w:t>
        </w:r>
        <w:r>
          <w:fldChar w:fldCharType="end"/>
        </w:r>
      </w:hyperlink>
    </w:p>
    <w:p>
      <w:pPr>
        <w:pStyle w:val="TOC2"/>
        <w:tabs>
          <w:tab w:val="right" w:leader="dot" w:pos="8306"/>
        </w:tabs>
      </w:pPr>
      <w:hyperlink w:anchor="_Toc28213" w:history="1">
        <w:r>
          <w:rPr>
            <w:rFonts w:ascii="仿宋" w:eastAsia="仿宋" w:hAnsi="仿宋" w:cs="仿宋" w:hint="eastAsia"/>
            <w:lang w:eastAsia="zh-CN"/>
          </w:rPr>
          <w:t>(一)、社会责任与义务</w:t>
        </w:r>
        <w:r>
          <w:tab/>
        </w:r>
        <w:r>
          <w:fldChar w:fldCharType="begin"/>
        </w:r>
        <w:r>
          <w:instrText xml:space="preserve"> PAGEREF _Toc28213 \h </w:instrText>
        </w:r>
        <w:r>
          <w:fldChar w:fldCharType="separate"/>
        </w:r>
        <w:r>
          <w:t>37</w:t>
        </w:r>
        <w:r>
          <w:fldChar w:fldCharType="end"/>
        </w:r>
      </w:hyperlink>
    </w:p>
    <w:p>
      <w:pPr>
        <w:pStyle w:val="TOC2"/>
        <w:tabs>
          <w:tab w:val="right" w:leader="dot" w:pos="8306"/>
        </w:tabs>
      </w:pPr>
      <w:hyperlink w:anchor="_Toc24725" w:history="1">
        <w:r>
          <w:rPr>
            <w:rFonts w:ascii="仿宋" w:eastAsia="仿宋" w:hAnsi="仿宋" w:cs="仿宋" w:hint="eastAsia"/>
            <w:lang w:eastAsia="zh-CN"/>
          </w:rPr>
          <w:t>(二)、社会参与与沟通</w:t>
        </w:r>
        <w:r>
          <w:tab/>
        </w:r>
        <w:r>
          <w:fldChar w:fldCharType="begin"/>
        </w:r>
        <w:r>
          <w:instrText xml:space="preserve"> PAGEREF _Toc24725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24" w:history="1">
        <w:r>
          <w:rPr>
            <w:rFonts w:ascii="仿宋" w:eastAsia="仿宋" w:hAnsi="仿宋" w:cs="仿宋" w:hint="eastAsia"/>
            <w:lang w:eastAsia="zh-CN"/>
          </w:rPr>
          <w:t>十一、化肥农药项目风险管理</w:t>
        </w:r>
        <w:r>
          <w:tab/>
        </w:r>
        <w:r>
          <w:fldChar w:fldCharType="begin"/>
        </w:r>
        <w:r>
          <w:instrText xml:space="preserve"> PAGEREF _Toc31324 \h </w:instrText>
        </w:r>
        <w:r>
          <w:fldChar w:fldCharType="separate"/>
        </w:r>
        <w:r>
          <w:t>38</w:t>
        </w:r>
        <w:r>
          <w:fldChar w:fldCharType="end"/>
        </w:r>
      </w:hyperlink>
    </w:p>
    <w:p>
      <w:pPr>
        <w:pStyle w:val="TOC2"/>
        <w:tabs>
          <w:tab w:val="right" w:leader="dot" w:pos="8306"/>
        </w:tabs>
      </w:pPr>
      <w:hyperlink w:anchor="_Toc2503" w:history="1">
        <w:r>
          <w:rPr>
            <w:rFonts w:ascii="仿宋" w:eastAsia="仿宋" w:hAnsi="仿宋" w:cs="仿宋" w:hint="eastAsia"/>
            <w:lang w:eastAsia="zh-CN"/>
          </w:rPr>
          <w:t>(一)、风险识别与评估</w:t>
        </w:r>
        <w:r>
          <w:tab/>
        </w:r>
        <w:r>
          <w:fldChar w:fldCharType="begin"/>
        </w:r>
        <w:r>
          <w:instrText xml:space="preserve"> PAGEREF _Toc2503 \h </w:instrText>
        </w:r>
        <w:r>
          <w:fldChar w:fldCharType="separate"/>
        </w:r>
        <w:r>
          <w:t>38</w:t>
        </w:r>
        <w:r>
          <w:fldChar w:fldCharType="end"/>
        </w:r>
      </w:hyperlink>
    </w:p>
    <w:p>
      <w:pPr>
        <w:pStyle w:val="TOC2"/>
        <w:tabs>
          <w:tab w:val="right" w:leader="dot" w:pos="8306"/>
        </w:tabs>
      </w:pPr>
      <w:hyperlink w:anchor="_Toc30450" w:history="1">
        <w:r>
          <w:rPr>
            <w:rFonts w:ascii="仿宋" w:eastAsia="仿宋" w:hAnsi="仿宋" w:cs="仿宋" w:hint="eastAsia"/>
            <w:lang w:eastAsia="zh-CN"/>
          </w:rPr>
          <w:t>(二)、风险应对策略</w:t>
        </w:r>
        <w:r>
          <w:tab/>
        </w:r>
        <w:r>
          <w:fldChar w:fldCharType="begin"/>
        </w:r>
        <w:r>
          <w:instrText xml:space="preserve"> PAGEREF _Toc30450 \h </w:instrText>
        </w:r>
        <w:r>
          <w:fldChar w:fldCharType="separate"/>
        </w:r>
        <w:r>
          <w:t>39</w:t>
        </w:r>
        <w:r>
          <w:fldChar w:fldCharType="end"/>
        </w:r>
      </w:hyperlink>
    </w:p>
    <w:p>
      <w:pPr>
        <w:pStyle w:val="TOC2"/>
        <w:tabs>
          <w:tab w:val="right" w:leader="dot" w:pos="8306"/>
        </w:tabs>
      </w:pPr>
      <w:hyperlink w:anchor="_Toc2071" w:history="1">
        <w:r>
          <w:rPr>
            <w:rFonts w:ascii="仿宋" w:eastAsia="仿宋" w:hAnsi="仿宋" w:cs="仿宋" w:hint="eastAsia"/>
            <w:lang w:eastAsia="zh-CN"/>
          </w:rPr>
          <w:t>(三)、风险监控与控制</w:t>
        </w:r>
        <w:r>
          <w:tab/>
        </w:r>
        <w:r>
          <w:fldChar w:fldCharType="begin"/>
        </w:r>
        <w:r>
          <w:instrText xml:space="preserve"> PAGEREF _Toc2071 \h </w:instrText>
        </w:r>
        <w:r>
          <w:fldChar w:fldCharType="separate"/>
        </w:r>
        <w:r>
          <w:t>41</w:t>
        </w:r>
        <w:r>
          <w:fldChar w:fldCharType="end"/>
        </w:r>
      </w:hyperlink>
    </w:p>
    <w:p>
      <w:pPr>
        <w:pStyle w:val="TOC1"/>
        <w:tabs>
          <w:tab w:val="right" w:leader="dot" w:pos="8306"/>
        </w:tabs>
      </w:pPr>
      <w:hyperlink w:anchor="_Toc2534" w:history="1">
        <w:r>
          <w:rPr>
            <w:rFonts w:ascii="仿宋" w:eastAsia="仿宋" w:hAnsi="仿宋" w:cs="仿宋" w:hint="eastAsia"/>
            <w:lang w:eastAsia="zh-CN"/>
          </w:rPr>
          <w:t>十二、化肥农药项目计划安排</w:t>
        </w:r>
        <w:r>
          <w:tab/>
        </w:r>
        <w:r>
          <w:fldChar w:fldCharType="begin"/>
        </w:r>
        <w:r>
          <w:instrText xml:space="preserve"> PAGEREF _Toc2534 \h </w:instrText>
        </w:r>
        <w:r>
          <w:fldChar w:fldCharType="separate"/>
        </w:r>
        <w:r>
          <w:t>42</w:t>
        </w:r>
        <w:r>
          <w:fldChar w:fldCharType="end"/>
        </w:r>
      </w:hyperlink>
    </w:p>
    <w:p>
      <w:pPr>
        <w:pStyle w:val="TOC2"/>
        <w:tabs>
          <w:tab w:val="right" w:leader="dot" w:pos="8306"/>
        </w:tabs>
      </w:pPr>
      <w:hyperlink w:anchor="_Toc26417" w:history="1">
        <w:r>
          <w:rPr>
            <w:rFonts w:ascii="仿宋" w:eastAsia="仿宋" w:hAnsi="仿宋" w:cs="仿宋" w:hint="eastAsia"/>
            <w:lang w:eastAsia="zh-CN"/>
          </w:rPr>
          <w:t>(一)、建设周期</w:t>
        </w:r>
        <w:r>
          <w:tab/>
        </w:r>
        <w:r>
          <w:fldChar w:fldCharType="begin"/>
        </w:r>
        <w:r>
          <w:instrText xml:space="preserve"> PAGEREF _Toc26417 \h </w:instrText>
        </w:r>
        <w:r>
          <w:fldChar w:fldCharType="separate"/>
        </w:r>
        <w:r>
          <w:t>42</w:t>
        </w:r>
        <w:r>
          <w:fldChar w:fldCharType="end"/>
        </w:r>
      </w:hyperlink>
    </w:p>
    <w:p>
      <w:pPr>
        <w:pStyle w:val="TOC2"/>
        <w:tabs>
          <w:tab w:val="right" w:leader="dot" w:pos="8306"/>
        </w:tabs>
      </w:pPr>
      <w:hyperlink w:anchor="_Toc24541" w:history="1">
        <w:r>
          <w:rPr>
            <w:rFonts w:ascii="仿宋" w:eastAsia="仿宋" w:hAnsi="仿宋" w:cs="仿宋" w:hint="eastAsia"/>
            <w:lang w:eastAsia="zh-CN"/>
          </w:rPr>
          <w:t>(二)、建设进度</w:t>
        </w:r>
        <w:r>
          <w:tab/>
        </w:r>
        <w:r>
          <w:fldChar w:fldCharType="begin"/>
        </w:r>
        <w:r>
          <w:instrText xml:space="preserve"> PAGEREF _Toc24541 \h </w:instrText>
        </w:r>
        <w:r>
          <w:fldChar w:fldCharType="separate"/>
        </w:r>
        <w:r>
          <w:t>43</w:t>
        </w:r>
        <w:r>
          <w:fldChar w:fldCharType="end"/>
        </w:r>
      </w:hyperlink>
    </w:p>
    <w:p>
      <w:pPr>
        <w:pStyle w:val="TOC2"/>
        <w:tabs>
          <w:tab w:val="right" w:leader="dot" w:pos="8306"/>
        </w:tabs>
      </w:pPr>
      <w:hyperlink w:anchor="_Toc23074" w:history="1">
        <w:r>
          <w:rPr>
            <w:rFonts w:ascii="仿宋" w:eastAsia="仿宋" w:hAnsi="仿宋" w:cs="仿宋" w:hint="eastAsia"/>
            <w:lang w:eastAsia="zh-CN"/>
          </w:rPr>
          <w:t>(三)、进度安排注意事项</w:t>
        </w:r>
        <w:r>
          <w:tab/>
        </w:r>
        <w:r>
          <w:fldChar w:fldCharType="begin"/>
        </w:r>
        <w:r>
          <w:instrText xml:space="preserve"> PAGEREF _Toc23074 \h </w:instrText>
        </w:r>
        <w:r>
          <w:fldChar w:fldCharType="separate"/>
        </w:r>
        <w:r>
          <w:t>44</w:t>
        </w:r>
        <w:r>
          <w:fldChar w:fldCharType="end"/>
        </w:r>
      </w:hyperlink>
    </w:p>
    <w:p>
      <w:pPr>
        <w:pStyle w:val="TOC2"/>
        <w:tabs>
          <w:tab w:val="right" w:leader="dot" w:pos="8306"/>
        </w:tabs>
      </w:pPr>
      <w:hyperlink w:anchor="_Toc15524" w:history="1">
        <w:r>
          <w:rPr>
            <w:rFonts w:ascii="仿宋" w:eastAsia="仿宋" w:hAnsi="仿宋" w:cs="仿宋" w:hint="eastAsia"/>
            <w:lang w:eastAsia="zh-CN"/>
          </w:rPr>
          <w:t>(四)、人力资源配置</w:t>
        </w:r>
        <w:r>
          <w:tab/>
        </w:r>
        <w:r>
          <w:fldChar w:fldCharType="begin"/>
        </w:r>
        <w:r>
          <w:instrText xml:space="preserve"> PAGEREF _Toc15524 \h </w:instrText>
        </w:r>
        <w:r>
          <w:fldChar w:fldCharType="separate"/>
        </w:r>
        <w:r>
          <w:t>46</w:t>
        </w:r>
        <w:r>
          <w:fldChar w:fldCharType="end"/>
        </w:r>
      </w:hyperlink>
    </w:p>
    <w:p>
      <w:pPr>
        <w:pStyle w:val="TOC1"/>
        <w:tabs>
          <w:tab w:val="right" w:leader="dot" w:pos="8306"/>
        </w:tabs>
      </w:pPr>
      <w:hyperlink w:anchor="_Toc26263" w:history="1">
        <w:r>
          <w:rPr>
            <w:rFonts w:ascii="仿宋" w:eastAsia="仿宋" w:hAnsi="仿宋" w:cs="仿宋" w:hint="eastAsia"/>
            <w:lang w:eastAsia="zh-CN"/>
          </w:rPr>
          <w:t>十三、供应链管理</w:t>
        </w:r>
        <w:r>
          <w:tab/>
        </w:r>
        <w:r>
          <w:fldChar w:fldCharType="begin"/>
        </w:r>
        <w:r>
          <w:instrText xml:space="preserve"> PAGEREF _Toc26263 \h </w:instrText>
        </w:r>
        <w:r>
          <w:fldChar w:fldCharType="separate"/>
        </w:r>
        <w:r>
          <w:t>46</w:t>
        </w:r>
        <w:r>
          <w:fldChar w:fldCharType="end"/>
        </w:r>
      </w:hyperlink>
    </w:p>
    <w:p>
      <w:pPr>
        <w:pStyle w:val="TOC2"/>
        <w:tabs>
          <w:tab w:val="right" w:leader="dot" w:pos="8306"/>
        </w:tabs>
      </w:pPr>
      <w:hyperlink w:anchor="_Toc25606" w:history="1">
        <w:r>
          <w:rPr>
            <w:rFonts w:ascii="仿宋" w:eastAsia="仿宋" w:hAnsi="仿宋" w:cs="仿宋" w:hint="eastAsia"/>
            <w:lang w:eastAsia="zh-CN"/>
          </w:rPr>
          <w:t>(一)、供应链战略规划</w:t>
        </w:r>
        <w:r>
          <w:tab/>
        </w:r>
        <w:r>
          <w:fldChar w:fldCharType="begin"/>
        </w:r>
        <w:r>
          <w:instrText xml:space="preserve"> PAGEREF _Toc25606 \h </w:instrText>
        </w:r>
        <w:r>
          <w:fldChar w:fldCharType="separate"/>
        </w:r>
        <w:r>
          <w:t>46</w:t>
        </w:r>
        <w:r>
          <w:fldChar w:fldCharType="end"/>
        </w:r>
      </w:hyperlink>
    </w:p>
    <w:p>
      <w:pPr>
        <w:pStyle w:val="TOC2"/>
        <w:tabs>
          <w:tab w:val="right" w:leader="dot" w:pos="8306"/>
        </w:tabs>
      </w:pPr>
      <w:hyperlink w:anchor="_Toc27347" w:history="1">
        <w:r>
          <w:rPr>
            <w:rFonts w:ascii="仿宋" w:eastAsia="仿宋" w:hAnsi="仿宋" w:cs="仿宋" w:hint="eastAsia"/>
            <w:lang w:eastAsia="zh-CN"/>
          </w:rPr>
          <w:t>(二)、供应商选择与合作</w:t>
        </w:r>
        <w:r>
          <w:tab/>
        </w:r>
        <w:r>
          <w:fldChar w:fldCharType="begin"/>
        </w:r>
        <w:r>
          <w:instrText xml:space="preserve"> PAGEREF _Toc27347 \h </w:instrText>
        </w:r>
        <w:r>
          <w:fldChar w:fldCharType="separate"/>
        </w:r>
        <w:r>
          <w:t>48</w:t>
        </w:r>
        <w:r>
          <w:fldChar w:fldCharType="end"/>
        </w:r>
      </w:hyperlink>
    </w:p>
    <w:p>
      <w:pPr>
        <w:pStyle w:val="TOC2"/>
        <w:tabs>
          <w:tab w:val="right" w:leader="dot" w:pos="8306"/>
        </w:tabs>
      </w:pPr>
      <w:hyperlink w:anchor="_Toc18000" w:history="1">
        <w:r>
          <w:rPr>
            <w:rFonts w:ascii="仿宋" w:eastAsia="仿宋" w:hAnsi="仿宋" w:cs="仿宋" w:hint="eastAsia"/>
            <w:lang w:eastAsia="zh-CN"/>
          </w:rPr>
          <w:t>(三)、物流与库存管理</w:t>
        </w:r>
        <w:r>
          <w:tab/>
        </w:r>
        <w:r>
          <w:fldChar w:fldCharType="begin"/>
        </w:r>
        <w:r>
          <w:instrText xml:space="preserve"> PAGEREF _Toc18000 \h </w:instrText>
        </w:r>
        <w:r>
          <w:fldChar w:fldCharType="separate"/>
        </w:r>
        <w:r>
          <w:t>49</w:t>
        </w:r>
        <w:r>
          <w:fldChar w:fldCharType="end"/>
        </w:r>
      </w:hyperlink>
    </w:p>
    <w:p>
      <w:pPr>
        <w:pStyle w:val="TOC1"/>
        <w:tabs>
          <w:tab w:val="right" w:leader="dot" w:pos="8306"/>
        </w:tabs>
      </w:pPr>
      <w:hyperlink w:anchor="_Toc23709" w:history="1">
        <w:r>
          <w:rPr>
            <w:rFonts w:ascii="仿宋" w:eastAsia="仿宋" w:hAnsi="仿宋" w:cs="仿宋" w:hint="eastAsia"/>
            <w:lang w:eastAsia="zh-CN"/>
          </w:rPr>
          <w:t>十四、化肥农药项目实施保障措施</w:t>
        </w:r>
        <w:r>
          <w:tab/>
        </w:r>
        <w:r>
          <w:fldChar w:fldCharType="begin"/>
        </w:r>
        <w:r>
          <w:instrText xml:space="preserve"> PAGEREF _Toc23709 \h </w:instrText>
        </w:r>
        <w:r>
          <w:fldChar w:fldCharType="separate"/>
        </w:r>
        <w:r>
          <w:t>50</w:t>
        </w:r>
        <w:r>
          <w:fldChar w:fldCharType="end"/>
        </w:r>
      </w:hyperlink>
    </w:p>
    <w:p>
      <w:pPr>
        <w:pStyle w:val="TOC2"/>
        <w:tabs>
          <w:tab w:val="right" w:leader="dot" w:pos="8306"/>
        </w:tabs>
      </w:pPr>
      <w:hyperlink w:anchor="_Toc30229" w:history="1">
        <w:r>
          <w:rPr>
            <w:rFonts w:ascii="仿宋" w:eastAsia="仿宋" w:hAnsi="仿宋" w:cs="仿宋" w:hint="eastAsia"/>
            <w:lang w:eastAsia="zh-CN"/>
          </w:rPr>
          <w:t>(一)、化肥农药项目实施保障机制</w:t>
        </w:r>
        <w:r>
          <w:tab/>
        </w:r>
        <w:r>
          <w:fldChar w:fldCharType="begin"/>
        </w:r>
        <w:r>
          <w:instrText xml:space="preserve"> PAGEREF _Toc30229 \h </w:instrText>
        </w:r>
        <w:r>
          <w:fldChar w:fldCharType="separate"/>
        </w:r>
        <w:r>
          <w:t>50</w:t>
        </w:r>
        <w:r>
          <w:fldChar w:fldCharType="end"/>
        </w:r>
      </w:hyperlink>
    </w:p>
    <w:p>
      <w:pPr>
        <w:pStyle w:val="TOC2"/>
        <w:tabs>
          <w:tab w:val="right" w:leader="dot" w:pos="8306"/>
        </w:tabs>
      </w:pPr>
      <w:hyperlink w:anchor="_Toc20610" w:history="1">
        <w:r>
          <w:rPr>
            <w:rFonts w:ascii="仿宋" w:eastAsia="仿宋" w:hAnsi="仿宋" w:cs="仿宋" w:hint="eastAsia"/>
            <w:lang w:eastAsia="zh-CN"/>
          </w:rPr>
          <w:t>(二)、化肥农药项目法律合规要求</w:t>
        </w:r>
        <w:r>
          <w:tab/>
        </w:r>
        <w:r>
          <w:fldChar w:fldCharType="begin"/>
        </w:r>
        <w:r>
          <w:instrText xml:space="preserve"> PAGEREF _Toc20610 \h </w:instrText>
        </w:r>
        <w:r>
          <w:fldChar w:fldCharType="separate"/>
        </w:r>
        <w:r>
          <w:t>54</w:t>
        </w:r>
        <w:r>
          <w:fldChar w:fldCharType="end"/>
        </w:r>
      </w:hyperlink>
    </w:p>
    <w:p>
      <w:pPr>
        <w:pStyle w:val="TOC2"/>
        <w:tabs>
          <w:tab w:val="right" w:leader="dot" w:pos="8306"/>
        </w:tabs>
      </w:pPr>
      <w:hyperlink w:anchor="_Toc22764" w:history="1">
        <w:r>
          <w:rPr>
            <w:rFonts w:ascii="仿宋" w:eastAsia="仿宋" w:hAnsi="仿宋" w:cs="仿宋" w:hint="eastAsia"/>
            <w:lang w:eastAsia="zh-CN"/>
          </w:rPr>
          <w:t>(三)、化肥农药项目合同管理与法律事务</w:t>
        </w:r>
        <w:r>
          <w:tab/>
        </w:r>
        <w:r>
          <w:fldChar w:fldCharType="begin"/>
        </w:r>
        <w:r>
          <w:instrText xml:space="preserve"> PAGEREF _Toc22764 \h </w:instrText>
        </w:r>
        <w:r>
          <w:fldChar w:fldCharType="separate"/>
        </w:r>
        <w:r>
          <w:t>58</w:t>
        </w:r>
        <w:r>
          <w:fldChar w:fldCharType="end"/>
        </w:r>
      </w:hyperlink>
    </w:p>
    <w:p>
      <w:pPr>
        <w:pStyle w:val="TOC2"/>
        <w:tabs>
          <w:tab w:val="right" w:leader="dot" w:pos="8306"/>
        </w:tabs>
      </w:pPr>
      <w:hyperlink w:anchor="_Toc5133" w:history="1">
        <w:r>
          <w:rPr>
            <w:rFonts w:ascii="仿宋" w:eastAsia="仿宋" w:hAnsi="仿宋" w:cs="仿宋" w:hint="eastAsia"/>
            <w:lang w:eastAsia="zh-CN"/>
          </w:rPr>
          <w:t>(四)、化肥农药项目知识产权保护策略</w:t>
        </w:r>
        <w:r>
          <w:tab/>
        </w:r>
        <w:r>
          <w:fldChar w:fldCharType="begin"/>
        </w:r>
        <w:r>
          <w:instrText xml:space="preserve"> PAGEREF _Toc5133 \h </w:instrText>
        </w:r>
        <w:r>
          <w:fldChar w:fldCharType="separate"/>
        </w:r>
        <w:r>
          <w:t>64</w:t>
        </w:r>
        <w:r>
          <w:fldChar w:fldCharType="end"/>
        </w:r>
      </w:hyperlink>
    </w:p>
    <w:p>
      <w:pPr>
        <w:pStyle w:val="TOC1"/>
        <w:tabs>
          <w:tab w:val="right" w:leader="dot" w:pos="8306"/>
        </w:tabs>
      </w:pPr>
      <w:hyperlink w:anchor="_Toc21308" w:history="1">
        <w:r>
          <w:rPr>
            <w:rFonts w:ascii="仿宋" w:eastAsia="仿宋" w:hAnsi="仿宋" w:cs="仿宋" w:hint="eastAsia"/>
            <w:lang w:eastAsia="zh-CN"/>
          </w:rPr>
          <w:t>十五、化肥农药项目变更管理</w:t>
        </w:r>
        <w:r>
          <w:tab/>
        </w:r>
        <w:r>
          <w:fldChar w:fldCharType="begin"/>
        </w:r>
        <w:r>
          <w:instrText xml:space="preserve"> PAGEREF _Toc21308 \h </w:instrText>
        </w:r>
        <w:r>
          <w:fldChar w:fldCharType="separate"/>
        </w:r>
        <w:r>
          <w:t>67</w:t>
        </w:r>
        <w:r>
          <w:fldChar w:fldCharType="end"/>
        </w:r>
      </w:hyperlink>
    </w:p>
    <w:p>
      <w:pPr>
        <w:pStyle w:val="TOC2"/>
        <w:tabs>
          <w:tab w:val="right" w:leader="dot" w:pos="8306"/>
        </w:tabs>
      </w:pPr>
      <w:hyperlink w:anchor="_Toc15083" w:history="1">
        <w:r>
          <w:rPr>
            <w:rFonts w:ascii="仿宋" w:eastAsia="仿宋" w:hAnsi="仿宋" w:cs="仿宋" w:hint="eastAsia"/>
            <w:lang w:eastAsia="zh-CN"/>
          </w:rPr>
          <w:t>(一)、变更申请与评估</w:t>
        </w:r>
        <w:r>
          <w:tab/>
        </w:r>
        <w:r>
          <w:fldChar w:fldCharType="begin"/>
        </w:r>
        <w:r>
          <w:instrText xml:space="preserve"> PAGEREF _Toc15083 \h </w:instrText>
        </w:r>
        <w:r>
          <w:fldChar w:fldCharType="separate"/>
        </w:r>
        <w:r>
          <w:t>67</w:t>
        </w:r>
        <w:r>
          <w:fldChar w:fldCharType="end"/>
        </w:r>
      </w:hyperlink>
    </w:p>
    <w:p>
      <w:pPr>
        <w:pStyle w:val="TOC2"/>
        <w:tabs>
          <w:tab w:val="right" w:leader="dot" w:pos="8306"/>
        </w:tabs>
      </w:pPr>
      <w:hyperlink w:anchor="_Toc28502" w:history="1">
        <w:r>
          <w:rPr>
            <w:rFonts w:ascii="仿宋" w:eastAsia="仿宋" w:hAnsi="仿宋" w:cs="仿宋" w:hint="eastAsia"/>
            <w:lang w:eastAsia="zh-CN"/>
          </w:rPr>
          <w:t>(二)、变更实施与控制</w:t>
        </w:r>
        <w:r>
          <w:tab/>
        </w:r>
        <w:r>
          <w:fldChar w:fldCharType="begin"/>
        </w:r>
        <w:r>
          <w:instrText xml:space="preserve"> PAGEREF _Toc28502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73"/>
      <w:r>
        <w:rPr>
          <w:rFonts w:ascii="仿宋" w:eastAsia="仿宋" w:hAnsi="仿宋" w:cs="仿宋" w:hint="eastAsia"/>
          <w:sz w:val="28"/>
          <w:lang w:eastAsia="zh-CN"/>
        </w:rPr>
        <w:t>一、化肥农药项目建设单位说明</w:t>
      </w:r>
      <w:bookmarkEnd w:id="2"/>
    </w:p>
    <w:p>
      <w:pPr>
        <w:pStyle w:val="Heading2"/>
        <w:rPr>
          <w:rFonts w:ascii="仿宋" w:eastAsia="仿宋" w:hAnsi="仿宋" w:cs="仿宋" w:hint="eastAsia"/>
          <w:lang w:eastAsia="zh-CN"/>
        </w:rPr>
      </w:pPr>
      <w:bookmarkStart w:id="3" w:name="_Toc29971"/>
      <w:r>
        <w:rPr>
          <w:rFonts w:ascii="仿宋" w:eastAsia="仿宋" w:hAnsi="仿宋" w:cs="仿宋" w:hint="eastAsia"/>
          <w:lang w:eastAsia="zh-CN"/>
        </w:rPr>
        <w:t>(一)、化肥农药项目承办单位基本情况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1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肥农药项目承办单位的XXXX，我们着眼于实现可持续的经济效益。通过技术创新和解决方案的提供，公司预计在化肥农药项目执行期间将获得可观的收入增长。这一收入来源主要包括化肥农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同时，我们注重成本控制和效率提升，以确保化肥农药项目的可持续盈利。透过精细的管理和资源优化，公司期望实现化肥农药项目利润最大化。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肥农药项目实施进行全面的投资评估，包括化肥农药项目启动阶段的资金投入和后续运营成本。通过对化肥农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肥农药项目实施过程中具备足够的资金流动性，公司将进行详尽的现金流分析。这包括资金需求的合理预测、化肥农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02"/>
      <w:r>
        <w:rPr>
          <w:rFonts w:ascii="仿宋" w:eastAsia="仿宋" w:hAnsi="仿宋" w:cs="仿宋" w:hint="eastAsia"/>
          <w:sz w:val="28"/>
          <w:lang w:eastAsia="zh-CN"/>
        </w:rPr>
        <w:t>二、化肥农药项目土建工程</w:t>
      </w:r>
      <w:bookmarkEnd w:id="5"/>
    </w:p>
    <w:p>
      <w:pPr>
        <w:pStyle w:val="Heading2"/>
        <w:rPr>
          <w:rFonts w:ascii="仿宋" w:eastAsia="仿宋" w:hAnsi="仿宋" w:cs="仿宋" w:hint="eastAsia"/>
          <w:lang w:eastAsia="zh-CN"/>
        </w:rPr>
      </w:pPr>
      <w:bookmarkStart w:id="6" w:name="_Toc215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在化肥农药项目的建筑工程设计中，我们将秉承一系列重要的设计原则，以确保化肥农药项目建筑在功能、美观、可持续性等方面达到最佳效果。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首要原则是确保建筑的功能性得到最大化的发挥。我们将充分理解化肥农药项目的实际需求，合理布局各个功能区域，保证建筑在满足业务需求的同时，提供高效的工作环境。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在建筑设计中，我们将综合考虑建设和运营成本。通过精细的经济效益分析，确保设计方案在高效利用资源的同时，对化肥农药项目的长期盈利能力有积极的贡献。</w:t>
      </w:r>
    </w:p>
    <w:p>
      <w:pPr>
        <w:pStyle w:val="Heading2"/>
        <w:ind w:firstLine="560" w:firstLineChars="200"/>
        <w:rPr>
          <w:rFonts w:ascii="仿宋" w:eastAsia="仿宋" w:hAnsi="仿宋" w:cs="仿宋" w:hint="eastAsia"/>
          <w:sz w:val="28"/>
          <w:lang w:eastAsia="zh-CN"/>
        </w:rPr>
      </w:pPr>
      <w:bookmarkStart w:id="7" w:name="_Toc223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肥农药项目的土建工程设计中，我们将精准设定设计年限，结合化肥农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肥农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51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化肥农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肥农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肥农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1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本期工程化肥农药项目预计总建筑面积XXX平方米，其中：计容建筑面积XXX平方米，计划建筑工程投资XX万元，占化肥农药项目总投资的XX%。</w:t>
      </w:r>
    </w:p>
    <w:p>
      <w:pPr>
        <w:pStyle w:val="Heading1"/>
        <w:ind w:firstLine="560" w:firstLineChars="200"/>
        <w:rPr>
          <w:rFonts w:ascii="仿宋" w:eastAsia="仿宋" w:hAnsi="仿宋" w:cs="仿宋" w:hint="eastAsia"/>
          <w:sz w:val="28"/>
          <w:lang w:eastAsia="zh-CN"/>
        </w:rPr>
      </w:pPr>
      <w:bookmarkStart w:id="10" w:name="_Toc26258"/>
      <w:r>
        <w:rPr>
          <w:rFonts w:ascii="仿宋" w:eastAsia="仿宋" w:hAnsi="仿宋" w:cs="仿宋" w:hint="eastAsia"/>
          <w:sz w:val="28"/>
          <w:lang w:eastAsia="zh-CN"/>
        </w:rPr>
        <w:t>三、化肥农药项目绩效评估</w:t>
      </w:r>
      <w:bookmarkEnd w:id="10"/>
    </w:p>
    <w:p>
      <w:pPr>
        <w:pStyle w:val="Heading2"/>
        <w:rPr>
          <w:rFonts w:ascii="仿宋" w:eastAsia="仿宋" w:hAnsi="仿宋" w:cs="仿宋" w:hint="eastAsia"/>
          <w:lang w:eastAsia="zh-CN"/>
        </w:rPr>
      </w:pPr>
      <w:bookmarkStart w:id="11" w:name="_Toc1814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化肥农药项目中，我们设计了一套全面的绩效评估指标，以确保化肥农药项目的可控和成功交付。这些指标跨足化肥农药项目目标、成本、进度和质量等多个维度，为我们提供了全面洞察化肥农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目标达成率是我们关注的首要指标。我们设定了明确的目标，并通过定期监测和评估，迅速发现并应对潜在的目标偏差。这为化肥农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成本绩效是另一个核心关注点。通过实际成本与预算成本的对比分析，我们深入了解成本差异的原因，及时调整资源分配，保持化肥农药项目在经济效益方面的合理水平。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进度作为关键的绩效指标之一，得到了精心的关注。我们制定了详细的化肥农药项目进度计划，并设立了进度符合度指标，确保实际进度与计划进度保持一致。这使我们能够快速发现和解决潜在的进度问题，保持化肥农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肥农药项目绩效的不可或缺的一环。我们引入了一系列的质量标准和客户满意度指标，以确保化肥农药项目交付的成果在质量上达到或超越预期水平。通过持续监测这些指标，我们努力提升化肥农药项目整体质量水平，为化肥农药项目的成功交付提供有力保障。通过这些科学且全面的绩效评估，我们能够更好地引导化肥农药项目的持续改进，确保化肥农药项目目标的顺利达成。</w:t>
      </w:r>
    </w:p>
    <w:p>
      <w:pPr>
        <w:pStyle w:val="Heading2"/>
        <w:ind w:firstLine="560" w:firstLineChars="200"/>
        <w:rPr>
          <w:rFonts w:ascii="仿宋" w:eastAsia="仿宋" w:hAnsi="仿宋" w:cs="仿宋" w:hint="eastAsia"/>
          <w:sz w:val="28"/>
          <w:lang w:eastAsia="zh-CN"/>
        </w:rPr>
      </w:pPr>
      <w:bookmarkStart w:id="12" w:name="_Toc827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绩效评估是化肥农药项目中的关键环节，为确保化肥农药项目达到预期目标，我们采用了多层次、多维度的绩效评估方法。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肥农药项目的战略目标对齐，确保每个决策和行动都与化肥农药项目整体目标保持一致。团队会定期召开战略对齐会议，审视当前工作与化肥农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肥农药项目进度、质量、成本和风险等方面。这些指标通过数据收集和分析，为化肥农药项目管理团队提供了客观的评估依据。例如，我们通过化肥农药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绩效评估不仅仅停留在化肥农药项目内部，还考虑了化肥农药项目对外部环境的影响。我们定期进行干系人满意度调查，以了解各利益相关方对化肥农药项目的期望和满意度，并及时做出调整。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这种多层次、多角度的绩效评估方法，使得我们能够全面了解化肥农药项目的运行状态，及时做出调整，确保化肥农药项目在不断变化的环境中保持稳健前行。</w:t>
      </w:r>
    </w:p>
    <w:p>
      <w:pPr>
        <w:pStyle w:val="Heading2"/>
        <w:ind w:firstLine="560" w:firstLineChars="200"/>
        <w:rPr>
          <w:rFonts w:ascii="仿宋" w:eastAsia="仿宋" w:hAnsi="仿宋" w:cs="仿宋" w:hint="eastAsia"/>
          <w:sz w:val="28"/>
          <w:lang w:eastAsia="zh-CN"/>
        </w:rPr>
      </w:pPr>
      <w:bookmarkStart w:id="13" w:name="_Toc1427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为了确保化肥农药项目的有效管理和不断优化，我们采用了精心设计的绩效评估周期。这个周期旨在实现灵活、实时和全面的评估，以适应化肥农药项目执行中的各种挑战。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肥农药项目的不同需求，分为短期、中期和长期。短期评估关注每个迭代或工作周期，以及时发现和解决当前任务中的问题。中期评估涵盖几个迭代，深入了解整体化肥农药项目的趋势和性能。长期评估则着眼于整个化肥农药项目阶段，确保化肥农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肥农药项目管理工具和协作平台，团队成员能够随时更新和分享化肥农药项目数据。这种实时性的反馈机制使我们能够及时察觉潜在问题，快速调整，保持化肥农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肥农药项目的决策制定密不可分。每个周期的化肥农药项目回顾会议成为集体总结经验、识别问题深层次原因并找到创新解决方案的平台。这种定期的反思与调整机制使化肥农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459"/>
      <w:r>
        <w:rPr>
          <w:rFonts w:ascii="仿宋" w:eastAsia="仿宋" w:hAnsi="仿宋" w:cs="仿宋" w:hint="eastAsia"/>
          <w:sz w:val="28"/>
          <w:lang w:eastAsia="zh-CN"/>
        </w:rPr>
        <w:t>四、化肥农药项目建设背景及必要性分析</w:t>
      </w:r>
      <w:bookmarkEnd w:id="14"/>
    </w:p>
    <w:p>
      <w:pPr>
        <w:pStyle w:val="Heading2"/>
        <w:rPr>
          <w:rFonts w:ascii="仿宋" w:eastAsia="仿宋" w:hAnsi="仿宋" w:cs="仿宋" w:hint="eastAsia"/>
          <w:lang w:eastAsia="zh-CN"/>
        </w:rPr>
      </w:pPr>
      <w:bookmarkStart w:id="15" w:name="_Toc25235"/>
      <w:r>
        <w:rPr>
          <w:rFonts w:ascii="仿宋" w:eastAsia="仿宋" w:hAnsi="仿宋" w:cs="仿宋" w:hint="eastAsia"/>
          <w:lang w:eastAsia="zh-CN"/>
        </w:rPr>
        <w:t>(一)、化肥农药项目背景分析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肥农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肥农药项目在这个潮流中的定位。同时，我们将关注行业内涌现的新兴机遇，以便化肥农药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肥农药项目提供了强大的发展动力。我们将聚焦于行业内最新的技术发展趋势，包括但不限于人工智能、大数据分析、物联网等领域。通过深度的技术研究，我们将确保化肥农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肥农药项目发展的源泉。我们将投入更多的精力对市场需求进行深入剖析，超越表面的需求，深入挖掘潜在的市场痛点和机遇。通过对市场需求的细致了解，化肥农药项目将更有针对性地设计解决方案，满足市场的多样化需求，从而更好地促进化肥农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肥农药项目战略至关重要。我们将对竞争态势进行更为深入的分析，包括但不限于市场份额、产品特点、客户满意度等多个维度。通过深度的竞争分析，化肥农药项目将能够更准确地把握市场脉搏，制定具有竞争力的化肥农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肥农药项目的发展具有直接的影响。我们将进行更为全面的法规和政策分析，了解行业发展中的潜在法律风险和合规挑战。通过充分了解和遵守相关法规，化肥农药项目将确保在法律框架内合法合规运营，为化肥农药项目的稳健发展提供有力支持。</w:t>
      </w:r>
    </w:p>
    <w:p>
      <w:pPr>
        <w:pStyle w:val="Heading2"/>
        <w:ind w:firstLine="560" w:firstLineChars="200"/>
        <w:rPr>
          <w:rFonts w:ascii="仿宋" w:eastAsia="仿宋" w:hAnsi="仿宋" w:cs="仿宋" w:hint="eastAsia"/>
          <w:sz w:val="28"/>
          <w:lang w:eastAsia="zh-CN"/>
        </w:rPr>
      </w:pPr>
      <w:bookmarkStart w:id="16" w:name="_Toc8459"/>
      <w:r>
        <w:rPr>
          <w:rFonts w:ascii="仿宋" w:eastAsia="仿宋" w:hAnsi="仿宋" w:cs="仿宋" w:hint="eastAsia"/>
          <w:sz w:val="28"/>
          <w:lang w:eastAsia="zh-CN"/>
        </w:rPr>
        <w:t>(二)、化肥农药项目建设必要性分析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建设的迫切性源于对行业发展趋势的深刻洞察。我们正处于一个行业变革的时代，科技创新、数字化转型成为企业发展的关键动力。化肥农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建设不仅仅是为了跟上潮流，更是为了通过技术创新推动企业的持续发展。通过引入先进的技术和解决方案，化肥农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肥农药项目的建设成为必然选择，通过提高产品质量、拓展服务领域，从而在竞争中获得更多的机会。化肥农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肥农药项目建设的必要性体现在对客户需求更精准的满足。通过化肥农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建设的背后是对企业持续创新的追求。只有通过不断创新，企业才能在竞争中立于不败之地。化肥农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90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316"/>
      <w:r>
        <w:rPr>
          <w:rFonts w:ascii="仿宋" w:eastAsia="仿宋" w:hAnsi="仿宋" w:cs="仿宋" w:hint="eastAsia"/>
          <w:lang w:eastAsia="zh-CN"/>
        </w:rPr>
        <w:t>(一)、化肥农药行业分析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行业一直以来都是市场的关注焦点。行业内的发展趋势、竞争态势以及潜在机会都对化肥农药项目的推进产生深远的影响。通过深入研究行业的整体概貌，我们将更好地理解行业的核心特征，为化肥农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肥农药行业，技术一直是推动创新和发展的关键因素。我们将对当前技术趋势进行详尽分析，包括但不限于人工智能、大数据应用、先进制造技术等。这有助于化肥农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肥农药项目成功的基础。我们将对主要竞争对手进行深入研究，包括其市场份额、产品特点、市场定位等。通过全面了解竞争对手的优势和劣势，化肥农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2075"/>
      <w:r>
        <w:rPr>
          <w:rFonts w:ascii="仿宋" w:eastAsia="仿宋" w:hAnsi="仿宋" w:cs="仿宋" w:hint="eastAsia"/>
          <w:sz w:val="28"/>
          <w:lang w:eastAsia="zh-CN"/>
        </w:rPr>
        <w:t>(二)、化肥农药市场分析预测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通过对市场规模的深入调研，我们将预测化肥农药市场未来的增长趋势。这包括市场的整体规模、各细分领域的发展趋势等。化肥农药项目可以根据市场的扩张速度和潜在机会，制定更符合市场需求的发展策略。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肥农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化肥农药项目实施过程中需要充分考虑的因素。我们将对市场风险进行全面评估，包括但不限于政策法规风险、市场竞争风险、技术变革风险等。通过对潜在风险的深入分析，化肥农药项目可以制定相应的风险缓解策略，降低不确定性对化肥农药项目的影响。</w:t>
      </w:r>
    </w:p>
    <w:p>
      <w:pPr>
        <w:pStyle w:val="Heading1"/>
        <w:ind w:firstLine="560" w:firstLineChars="200"/>
        <w:rPr>
          <w:rFonts w:ascii="仿宋" w:eastAsia="仿宋" w:hAnsi="仿宋" w:cs="仿宋" w:hint="eastAsia"/>
          <w:sz w:val="28"/>
          <w:lang w:eastAsia="zh-CN"/>
        </w:rPr>
      </w:pPr>
      <w:bookmarkStart w:id="20" w:name="_Toc30039"/>
      <w:r>
        <w:rPr>
          <w:rFonts w:ascii="仿宋" w:eastAsia="仿宋" w:hAnsi="仿宋" w:cs="仿宋" w:hint="eastAsia"/>
          <w:sz w:val="28"/>
          <w:lang w:eastAsia="zh-CN"/>
        </w:rPr>
        <w:t>六、化肥农药项目概论</w:t>
      </w:r>
      <w:bookmarkEnd w:id="20"/>
    </w:p>
    <w:p>
      <w:pPr>
        <w:pStyle w:val="Heading2"/>
        <w:rPr>
          <w:rFonts w:ascii="仿宋" w:eastAsia="仿宋" w:hAnsi="仿宋" w:cs="仿宋" w:hint="eastAsia"/>
          <w:lang w:eastAsia="zh-CN"/>
        </w:rPr>
      </w:pPr>
      <w:bookmarkStart w:id="21" w:name="_Toc17564"/>
      <w:r>
        <w:rPr>
          <w:rFonts w:ascii="仿宋" w:eastAsia="仿宋" w:hAnsi="仿宋" w:cs="仿宋" w:hint="eastAsia"/>
          <w:lang w:eastAsia="zh-CN"/>
        </w:rPr>
        <w:t>(一)、化肥农药项目概况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的起源追溯至对市场的深入洞察。市场的不断演变与变革为化肥农药项目提供了难得的机遇。当前市场存在的需求缺口和变革的大环境共同构成了化肥农药项目的背景。这个化肥农药项目旨在充分利用市场机遇，填补行业中尚未满足的需求，为客户提供全新的解决方案。市场的变革和需求的增长使得这个化肥农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化肥农药项目名称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正式命名为化肥农药。这个名称不仅仅是一个标识，更代表了化肥农药项目的核心理念和愿景。它蕴含着化肥农药项目所要解决问题的关键字，具有强烈的表达和辨识度，为化肥农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化肥农药项目目标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肥农药项目的核心目标是提供一种全新、高效的解决方案，满足客户日益增长的需求。化肥农药项目追求的不仅仅是满足市场需求，更是在市场中获得卓越的竞争优势。通过不断提升产品或服务的质量和创新水平，化肥农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化肥农药项目范围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https://d.book118.com/148105051032006030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化肥农药项目计划设计方案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05ED4"/>
    <w:rsid w:val="2F905E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0505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2024-01-21T14:48:00Z</dcterms:created>
  <dcterms:modified xsi:type="dcterms:W3CDTF">2024-01-21T14:48:50Z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1CEAF22E5F084AC68D63EE1F9F000A40_11</vt:lpwstr>
  </property>
  <property fmtid="{D5CDD505-2E9C-101B-9397-08002B2CF9AE}" pid="3" name="KSOProductBuildVer">
    <vt:lpwstr>2052-12.1.0.16120</vt:lpwstr>
  </property>
</Properties>
</file>