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vsd" ContentType="application/vnd.visio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59"/>
        <w:gridCol w:w="580"/>
        <w:gridCol w:w="773"/>
        <w:gridCol w:w="193"/>
        <w:gridCol w:w="2293"/>
        <w:gridCol w:w="605"/>
        <w:gridCol w:w="386"/>
        <w:gridCol w:w="820"/>
        <w:gridCol w:w="919"/>
        <w:gridCol w:w="289"/>
        <w:gridCol w:w="183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961"/>
          <w:jc w:val="center"/>
        </w:trPr>
        <w:tc>
          <w:tcPr>
            <w:tcW w:w="9853" w:type="dxa"/>
            <w:gridSpan w:val="11"/>
            <w:tcBorders>
              <w:top w:val="double" w:sz="6" w:space="0" w:color="000000"/>
              <w:left w:val="double" w:sz="6" w:space="0" w:color="000000"/>
              <w:bottom w:val="dotted" w:sz="4" w:space="0" w:color="auto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52"/>
              </w:rPr>
            </w:pPr>
            <w:bookmarkStart w:id="0" w:name="_Toc523839523"/>
            <w:bookmarkStart w:id="1" w:name="_Toc12086838"/>
            <w:r>
              <w:rPr>
                <w:rFonts w:ascii="华文细黑" w:eastAsia="华文细黑" w:hAnsi="华文细黑" w:hint="eastAsia"/>
                <w:b/>
                <w:sz w:val="52"/>
              </w:rPr>
              <w:t>成本管理中心</w:t>
            </w:r>
          </w:p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44"/>
                <w:szCs w:val="44"/>
              </w:rPr>
            </w:pPr>
            <w:r>
              <w:rPr>
                <w:rFonts w:ascii="华文细黑" w:eastAsia="华文细黑" w:hAnsi="华文细黑" w:hint="eastAsia"/>
                <w:b/>
                <w:sz w:val="44"/>
                <w:szCs w:val="44"/>
              </w:rPr>
              <w:t>岗位说明书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79"/>
          <w:jc w:val="center"/>
        </w:trPr>
        <w:tc>
          <w:tcPr>
            <w:tcW w:w="1739" w:type="dxa"/>
            <w:gridSpan w:val="2"/>
            <w:tcBorders>
              <w:top w:val="dotted" w:sz="4" w:space="0" w:color="auto"/>
              <w:left w:val="double" w:sz="6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96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编制</w:t>
            </w:r>
          </w:p>
        </w:tc>
        <w:tc>
          <w:tcPr>
            <w:tcW w:w="22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日期</w:t>
            </w:r>
          </w:p>
        </w:tc>
        <w:tc>
          <w:tcPr>
            <w:tcW w:w="173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212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47"/>
          <w:jc w:val="center"/>
        </w:trPr>
        <w:tc>
          <w:tcPr>
            <w:tcW w:w="1739" w:type="dxa"/>
            <w:gridSpan w:val="2"/>
            <w:tcBorders>
              <w:top w:val="dotted" w:sz="4" w:space="0" w:color="auto"/>
              <w:left w:val="double" w:sz="6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96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审核</w:t>
            </w:r>
          </w:p>
        </w:tc>
        <w:tc>
          <w:tcPr>
            <w:tcW w:w="22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日期</w:t>
            </w:r>
          </w:p>
        </w:tc>
        <w:tc>
          <w:tcPr>
            <w:tcW w:w="173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212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7"/>
          <w:jc w:val="center"/>
        </w:trPr>
        <w:tc>
          <w:tcPr>
            <w:tcW w:w="1739" w:type="dxa"/>
            <w:gridSpan w:val="2"/>
            <w:tcBorders>
              <w:top w:val="dotted" w:sz="4" w:space="0" w:color="auto"/>
              <w:left w:val="double" w:sz="6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96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批准</w:t>
            </w:r>
          </w:p>
        </w:tc>
        <w:tc>
          <w:tcPr>
            <w:tcW w:w="22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日期</w:t>
            </w:r>
          </w:p>
        </w:tc>
        <w:tc>
          <w:tcPr>
            <w:tcW w:w="173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212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jc w:val="center"/>
        </w:trPr>
        <w:tc>
          <w:tcPr>
            <w:tcW w:w="9853" w:type="dxa"/>
            <w:gridSpan w:val="11"/>
            <w:tcBorders>
              <w:top w:val="dotted" w:sz="4" w:space="0" w:color="auto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</w:rPr>
            </w:pPr>
          </w:p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47"/>
          <w:jc w:val="center"/>
        </w:trPr>
        <w:tc>
          <w:tcPr>
            <w:tcW w:w="9853" w:type="dxa"/>
            <w:gridSpan w:val="11"/>
            <w:tcBorders>
              <w:top w:val="double" w:sz="6" w:space="0" w:color="000000"/>
              <w:left w:val="double" w:sz="6" w:space="0" w:color="000000"/>
              <w:bottom w:val="single" w:sz="4" w:space="0" w:color="auto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30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30"/>
              </w:rPr>
              <w:t>修订记录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76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日期</w:t>
            </w: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修订状态</w:t>
            </w: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修改内容</w:t>
            </w: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修改人</w:t>
            </w: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审核人</w:t>
            </w: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批准人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59" w:type="dxa"/>
            <w:tcBorders>
              <w:left w:val="double" w:sz="6" w:space="0" w:color="000000"/>
              <w:bottom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353" w:type="dxa"/>
            <w:gridSpan w:val="2"/>
            <w:tcBorders>
              <w:bottom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3091" w:type="dxa"/>
            <w:gridSpan w:val="3"/>
            <w:tcBorders>
              <w:bottom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6" w:type="dxa"/>
            <w:gridSpan w:val="2"/>
            <w:tcBorders>
              <w:bottom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208" w:type="dxa"/>
            <w:gridSpan w:val="2"/>
            <w:tcBorders>
              <w:bottom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  <w:tc>
          <w:tcPr>
            <w:tcW w:w="1836" w:type="dxa"/>
            <w:tcBorders>
              <w:bottom w:val="double" w:sz="6" w:space="0" w:color="000000"/>
              <w:right w:val="double" w:sz="6" w:space="0" w:color="00000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</w:tbl>
    <w:p>
      <w:pPr>
        <w:snapToGrid w:val="0"/>
        <w:spacing w:line="360" w:lineRule="auto"/>
        <w:rPr>
          <w:rFonts w:ascii="华文细黑" w:eastAsia="华文细黑" w:hAnsi="华文细黑" w:hint="eastAsia"/>
        </w:rPr>
      </w:pPr>
    </w:p>
    <w:p>
      <w:pPr>
        <w:pStyle w:val="TOC"/>
        <w:spacing w:before="0" w:beforeLines="0" w:line="360" w:lineRule="auto"/>
        <w:jc w:val="center"/>
        <w:rPr>
          <w:rFonts w:ascii="华文细黑" w:eastAsia="华文细黑" w:hAnsi="华文细黑"/>
          <w:color w:val="auto"/>
          <w:sz w:val="32"/>
          <w:szCs w:val="32"/>
        </w:rPr>
      </w:pPr>
      <w:bookmarkEnd w:id="0"/>
      <w:bookmarkEnd w:id="1"/>
      <w:r>
        <w:rPr>
          <w:rFonts w:ascii="华文细黑" w:eastAsia="华文细黑" w:hAnsi="华文细黑"/>
          <w:color w:val="auto"/>
          <w:sz w:val="32"/>
          <w:szCs w:val="32"/>
          <w:lang w:val="zh-CN"/>
        </w:rPr>
        <w:t>书目</w:t>
      </w:r>
    </w:p>
    <w:p>
      <w:pPr>
        <w:pStyle w:val="TOC1"/>
        <w:tabs>
          <w:tab w:val="right" w:leader="dot" w:pos="9627"/>
        </w:tabs>
        <w:rPr>
          <w:rFonts w:ascii="华文细黑" w:eastAsia="华文细黑" w:hAnsi="华文细黑"/>
          <w:szCs w:val="22"/>
        </w:rPr>
      </w:pPr>
      <w:r>
        <w:rPr>
          <w:rFonts w:ascii="华文细黑" w:eastAsia="华文细黑" w:hAnsi="华文细黑"/>
          <w:sz w:val="24"/>
        </w:rPr>
        <w:fldChar w:fldCharType="begin"/>
      </w:r>
      <w:r>
        <w:rPr>
          <w:rFonts w:ascii="华文细黑" w:eastAsia="华文细黑" w:hAnsi="华文细黑"/>
          <w:sz w:val="24"/>
        </w:rPr>
        <w:instrText xml:space="preserve"> TOC \o "1-3" \h \z \u </w:instrText>
      </w:r>
      <w:r>
        <w:rPr>
          <w:rFonts w:ascii="华文细黑" w:eastAsia="华文细黑" w:hAnsi="华文细黑"/>
          <w:sz w:val="24"/>
        </w:rPr>
        <w:fldChar w:fldCharType="separate"/>
      </w:r>
      <w:hyperlink w:anchor="_Toc275374494" w:history="1">
        <w:r>
          <w:rPr>
            <w:rStyle w:val="Hyperlink"/>
            <w:rFonts w:ascii="华文细黑" w:eastAsia="华文细黑" w:hAnsi="华文细黑" w:hint="eastAsia"/>
          </w:rPr>
          <w:t>二、本部门人员实力素养结构表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_Toc275374494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3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right" w:leader="dot" w:pos="9627"/>
        </w:tabs>
        <w:rPr>
          <w:rFonts w:ascii="华文细黑" w:eastAsia="华文细黑" w:hAnsi="华文细黑"/>
          <w:szCs w:val="22"/>
        </w:rPr>
        <w:sectPr>
          <w:pgSz w:w="11906" w:h="16838"/>
          <w:pgMar w:top="851" w:right="851" w:bottom="851" w:left="851" w:header="851" w:footer="567" w:gutter="567"/>
          <w:cols w:space="708"/>
          <w:docGrid w:type="lines" w:linePitch="312"/>
        </w:sectPr>
      </w:pPr>
      <w:hyperlink w:anchor="_Toc275374495" w:history="1">
        <w:r>
          <w:rPr>
            <w:rStyle w:val="Hyperlink"/>
            <w:rFonts w:ascii="华文细黑" w:eastAsia="华文细黑" w:hAnsi="华文细黑" w:hint="eastAsia"/>
          </w:rPr>
          <w:t>三、岗位说明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_Toc275374495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5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496" w:history="1">
        <w:r>
          <w:rPr>
            <w:rStyle w:val="Hyperlink"/>
            <w:rFonts w:ascii="华文细黑" w:eastAsia="华文细黑" w:hAnsi="华文细黑"/>
          </w:rPr>
          <w:t>1.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成本总监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_Toc275374496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5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497" w:history="1">
        <w:r>
          <w:rPr>
            <w:rStyle w:val="Hyperlink"/>
            <w:rFonts w:ascii="华文细黑" w:eastAsia="华文细黑" w:hAnsi="华文细黑"/>
          </w:rPr>
          <w:t>2.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成控经理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_Toc275374497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8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498" w:history="1">
        <w:r>
          <w:rPr>
            <w:rStyle w:val="Hyperlink"/>
            <w:rFonts w:ascii="华文细黑" w:eastAsia="华文细黑" w:hAnsi="华文细黑"/>
          </w:rPr>
          <w:t>3.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综合成本管理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_Toc275374498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10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499" w:history="1">
        <w:r>
          <w:rPr>
            <w:rStyle w:val="Hyperlink"/>
            <w:rFonts w:ascii="华文细黑" w:eastAsia="华文细黑" w:hAnsi="华文细黑"/>
          </w:rPr>
          <w:t>4.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项目成本管理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_Toc275374499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12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500" w:history="1">
        <w:r>
          <w:rPr>
            <w:rStyle w:val="Hyperlink"/>
            <w:rFonts w:ascii="华文细黑" w:eastAsia="华文细黑" w:hAnsi="华文细黑"/>
          </w:rPr>
          <w:t>5.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预算岗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_Toc275374500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14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501" w:history="1">
        <w:r>
          <w:rPr>
            <w:rStyle w:val="Hyperlink"/>
            <w:rFonts w:ascii="华文细黑" w:eastAsia="华文细黑" w:hAnsi="华文细黑"/>
          </w:rPr>
          <w:t>6.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招采经理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_Toc275374501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16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502" w:history="1">
        <w:r>
          <w:rPr>
            <w:rStyle w:val="Hyperlink"/>
            <w:rFonts w:ascii="华文细黑" w:eastAsia="华文细黑" w:hAnsi="华文细黑"/>
          </w:rPr>
          <w:t>7.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战略选购</w:t>
          <w:tab/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_Toc275374502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18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503" w:history="1">
        <w:r>
          <w:rPr>
            <w:rStyle w:val="Hyperlink"/>
            <w:rFonts w:ascii="华文细黑" w:eastAsia="华文细黑" w:hAnsi="华文细黑"/>
          </w:rPr>
          <w:t>8.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招标选购</w:t>
          <w:tab/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_Toc275374503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20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pStyle w:val="TOC1"/>
        <w:tabs>
          <w:tab w:val="left" w:pos="840"/>
          <w:tab w:val="right" w:leader="dot" w:pos="9627"/>
        </w:tabs>
        <w:rPr>
          <w:rFonts w:ascii="华文细黑" w:eastAsia="华文细黑" w:hAnsi="华文细黑"/>
          <w:szCs w:val="22"/>
        </w:rPr>
      </w:pPr>
      <w:hyperlink w:anchor="_Toc275374504" w:history="1">
        <w:r>
          <w:rPr>
            <w:rStyle w:val="Hyperlink"/>
            <w:rFonts w:ascii="华文细黑" w:eastAsia="华文细黑" w:hAnsi="华文细黑"/>
          </w:rPr>
          <w:t>9.</w:t>
        </w:r>
        <w:r>
          <w:rPr>
            <w:rFonts w:ascii="华文细黑" w:eastAsia="华文细黑" w:hAnsi="华文细黑"/>
            <w:szCs w:val="22"/>
          </w:rPr>
          <w:tab/>
        </w:r>
        <w:r>
          <w:rPr>
            <w:rStyle w:val="Hyperlink"/>
            <w:rFonts w:ascii="华文细黑" w:eastAsia="华文细黑" w:hAnsi="华文细黑" w:hint="eastAsia"/>
          </w:rPr>
          <w:t>合同管理</w:t>
        </w:r>
        <w:r>
          <w:rPr>
            <w:rFonts w:ascii="华文细黑" w:eastAsia="华文细黑" w:hAnsi="华文细黑"/>
          </w:rPr>
          <w:tab/>
        </w:r>
        <w:r>
          <w:rPr>
            <w:rFonts w:ascii="华文细黑" w:eastAsia="华文细黑" w:hAnsi="华文细黑"/>
          </w:rPr>
          <w:fldChar w:fldCharType="begin"/>
        </w:r>
        <w:r>
          <w:rPr>
            <w:rFonts w:ascii="华文细黑" w:eastAsia="华文细黑" w:hAnsi="华文细黑"/>
          </w:rPr>
          <w:instrText xml:space="preserve"> PAGEREF _Toc275374504 \h </w:instrText>
        </w:r>
        <w:r>
          <w:rPr>
            <w:rFonts w:ascii="华文细黑" w:eastAsia="华文细黑" w:hAnsi="华文细黑"/>
          </w:rPr>
          <w:fldChar w:fldCharType="separate"/>
        </w:r>
        <w:r>
          <w:rPr>
            <w:rFonts w:ascii="华文细黑" w:eastAsia="华文细黑" w:hAnsi="华文细黑"/>
          </w:rPr>
          <w:t>22</w:t>
        </w:r>
        <w:r>
          <w:rPr>
            <w:rFonts w:ascii="华文细黑" w:eastAsia="华文细黑" w:hAnsi="华文细黑"/>
          </w:rPr>
          <w:fldChar w:fldCharType="end"/>
        </w:r>
      </w:hyperlink>
    </w:p>
    <w:p>
      <w:pPr>
        <w:snapToGrid w:val="0"/>
        <w:spacing w:line="360" w:lineRule="auto"/>
        <w:rPr>
          <w:rFonts w:ascii="华文细黑" w:eastAsia="华文细黑" w:hAnsi="华文细黑" w:hint="eastAsia"/>
          <w:sz w:val="28"/>
          <w:szCs w:val="28"/>
        </w:rPr>
        <w:sectPr>
          <w:type w:val="nextPage"/>
          <w:pgSz w:w="11906" w:h="16838"/>
          <w:pgMar w:top="851" w:right="851" w:bottom="851" w:left="851" w:header="851" w:footer="567" w:gutter="567"/>
          <w:pgNumType w:start="2"/>
          <w:cols w:space="708"/>
          <w:titlePg w:val="0"/>
          <w:docGrid w:type="lines" w:linePitch="312"/>
        </w:sectPr>
      </w:pPr>
      <w:r>
        <w:rPr>
          <w:rFonts w:ascii="华文细黑" w:eastAsia="华文细黑" w:hAnsi="华文细黑"/>
          <w:sz w:val="24"/>
        </w:rPr>
        <w:fldChar w:fldCharType="end"/>
      </w:r>
    </w:p>
    <w:p>
      <w:pPr>
        <w:snapToGrid w:val="0"/>
        <w:spacing w:line="360" w:lineRule="auto"/>
        <w:rPr>
          <w:rFonts w:ascii="华文细黑" w:eastAsia="华文细黑" w:hAnsi="华文细黑" w:hint="eastAsia"/>
          <w:sz w:val="28"/>
          <w:szCs w:val="28"/>
        </w:rPr>
      </w:pPr>
      <w:r>
        <w:rPr>
          <w:rFonts w:ascii="华文细黑" w:eastAsia="华文细黑" w:hAnsi="华文细黑" w:hint="eastAsia"/>
          <w:sz w:val="28"/>
          <w:szCs w:val="28"/>
        </w:rPr>
        <w:t>一、部门组织架构图</w:t>
      </w:r>
    </w:p>
    <w:p>
      <w:pPr>
        <w:snapToGrid w:val="0"/>
        <w:spacing w:line="360" w:lineRule="auto"/>
        <w:jc w:val="center"/>
        <w:rPr>
          <w:rFonts w:ascii="华文细黑" w:eastAsia="华文细黑" w:hAnsi="华文细黑" w:hint="eastAsia"/>
        </w:rPr>
      </w:pPr>
      <w:r>
        <w:rPr>
          <w:rFonts w:ascii="华文细黑" w:eastAsia="华文细黑" w:hAnsi="华文细黑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28.2pt;height:225.8pt;mso-position-horizontal-relative:page;mso-position-vertical-relative:page;mso-wrap-style:square" o:oleicon="f" o:ole="" o:preferrelative="t" filled="f" stroked="f">
            <v:imagedata r:id="rId4" o:title=""/>
            <v:path o:extrusionok="f"/>
            <o:lock v:ext="edit" aspectratio="t"/>
          </v:shape>
          <o:OLEObject Type="Embed" ProgID="Visio.Drawing.11" ShapeID="_x0000_i1026" DrawAspect="Content" ObjectID="_1234567890" r:id="rId5"/>
        </w:object>
      </w:r>
    </w:p>
    <w:p>
      <w:pPr>
        <w:snapToGrid w:val="0"/>
        <w:spacing w:line="360" w:lineRule="auto"/>
        <w:jc w:val="center"/>
        <w:rPr>
          <w:rFonts w:ascii="华文细黑" w:eastAsia="华文细黑" w:hAnsi="华文细黑" w:hint="eastAsia"/>
        </w:rPr>
      </w:pPr>
    </w:p>
    <w:p>
      <w:pPr>
        <w:pStyle w:val="Heading1"/>
        <w:spacing w:before="0" w:beforeLines="0" w:line="360" w:lineRule="auto"/>
        <w:jc w:val="left"/>
        <w:rPr>
          <w:rFonts w:hint="eastAsia"/>
          <w:sz w:val="28"/>
          <w:szCs w:val="28"/>
        </w:rPr>
      </w:pPr>
      <w:bookmarkStart w:id="2" w:name="_Toc275374494"/>
      <w:r>
        <w:rPr>
          <w:rFonts w:hint="eastAsia"/>
          <w:sz w:val="28"/>
          <w:szCs w:val="28"/>
        </w:rPr>
        <w:t>二、本部门人员实力素养结构表</w:t>
      </w:r>
      <w:bookmarkEnd w:id="2"/>
    </w:p>
    <w:tbl>
      <w:tblPr>
        <w:tblStyle w:val="TableNormal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7"/>
        <w:gridCol w:w="1073"/>
        <w:gridCol w:w="1150"/>
        <w:gridCol w:w="1150"/>
        <w:gridCol w:w="1151"/>
        <w:gridCol w:w="1150"/>
        <w:gridCol w:w="1150"/>
        <w:gridCol w:w="1150"/>
        <w:gridCol w:w="1151"/>
      </w:tblGrid>
      <w:tr>
        <w:tblPrEx>
          <w:jc w:val="center"/>
          <w:tblInd w:w="-46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b/>
                <w:szCs w:val="21"/>
              </w:rPr>
            </w:pPr>
            <w:r>
              <w:rPr>
                <w:rFonts w:ascii="华文细黑" w:eastAsia="华文细黑" w:hAnsi="华文细黑"/>
                <w:b/>
                <w:szCs w:val="21"/>
              </w:rPr>
              <w:t>类型</w:t>
            </w:r>
          </w:p>
        </w:tc>
        <w:tc>
          <w:tcPr>
            <w:tcW w:w="1073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业务实力</w:t>
            </w:r>
          </w:p>
        </w:tc>
        <w:tc>
          <w:tcPr>
            <w:tcW w:w="1150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学习实力</w:t>
            </w:r>
          </w:p>
        </w:tc>
        <w:tc>
          <w:tcPr>
            <w:tcW w:w="1150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创新实力</w:t>
            </w:r>
          </w:p>
        </w:tc>
        <w:tc>
          <w:tcPr>
            <w:tcW w:w="1151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协调实力</w:t>
            </w:r>
          </w:p>
        </w:tc>
        <w:tc>
          <w:tcPr>
            <w:tcW w:w="1150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沟通实力</w:t>
            </w:r>
          </w:p>
        </w:tc>
        <w:tc>
          <w:tcPr>
            <w:tcW w:w="1150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公关实力</w:t>
            </w:r>
          </w:p>
        </w:tc>
        <w:tc>
          <w:tcPr>
            <w:tcW w:w="1150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适应实力</w:t>
            </w:r>
          </w:p>
        </w:tc>
        <w:tc>
          <w:tcPr>
            <w:tcW w:w="1151" w:type="dxa"/>
            <w:shd w:val="clear" w:color="auto" w:fill="E6E6E6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szCs w:val="21"/>
              </w:rPr>
            </w:pPr>
            <w:r>
              <w:rPr>
                <w:rFonts w:ascii="华文细黑" w:eastAsia="华文细黑" w:hAnsi="华文细黑"/>
                <w:szCs w:val="21"/>
              </w:rPr>
              <w:t>决策实力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成控总监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5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成控经理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综合成本管理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项目成本管理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2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预算岗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招采经理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战略选购</w:t>
              <w:tab/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招标选购</w:t>
              <w:tab/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4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</w:tr>
      <w:tr>
        <w:tblPrEx>
          <w:jc w:val="center"/>
          <w:tblInd w:w="-46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42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szCs w:val="21"/>
              </w:rPr>
            </w:pPr>
            <w:r>
              <w:rPr>
                <w:rFonts w:ascii="华文细黑" w:eastAsia="华文细黑" w:hAnsi="华文细黑" w:hint="eastAsia"/>
                <w:szCs w:val="21"/>
              </w:rPr>
              <w:t>合同管理</w:t>
            </w:r>
          </w:p>
        </w:tc>
        <w:tc>
          <w:tcPr>
            <w:tcW w:w="10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  <w:tc>
          <w:tcPr>
            <w:tcW w:w="11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3</w:t>
            </w:r>
          </w:p>
        </w:tc>
        <w:tc>
          <w:tcPr>
            <w:tcW w:w="11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color w:val="000000"/>
                <w:szCs w:val="21"/>
              </w:rPr>
            </w:pPr>
            <w:r>
              <w:rPr>
                <w:rFonts w:ascii="华文细黑" w:eastAsia="华文细黑" w:hAnsi="华文细黑" w:hint="eastAsia"/>
                <w:color w:val="000000"/>
                <w:szCs w:val="21"/>
              </w:rPr>
              <w:t>2</w:t>
            </w:r>
          </w:p>
        </w:tc>
      </w:tr>
    </w:tbl>
    <w:p>
      <w:pPr>
        <w:snapToGrid w:val="0"/>
        <w:spacing w:line="360" w:lineRule="auto"/>
        <w:rPr>
          <w:rFonts w:ascii="华文细黑" w:eastAsia="华文细黑" w:hAnsi="华文细黑" w:hint="eastAsia"/>
          <w:b/>
          <w:sz w:val="24"/>
        </w:rPr>
      </w:pPr>
    </w:p>
    <w:p>
      <w:pPr>
        <w:snapToGrid w:val="0"/>
        <w:spacing w:line="360" w:lineRule="auto"/>
        <w:rPr>
          <w:rFonts w:ascii="华文细黑" w:eastAsia="华文细黑" w:hAnsi="华文细黑" w:hint="eastAsia"/>
          <w:b/>
          <w:sz w:val="24"/>
        </w:rPr>
      </w:pPr>
      <w:r>
        <w:rPr>
          <w:rFonts w:ascii="华文细黑" w:eastAsia="华文细黑" w:hAnsi="华文细黑" w:hint="eastAsia"/>
          <w:b/>
          <w:sz w:val="24"/>
        </w:rPr>
        <w:t>注：</w:t>
      </w:r>
      <w:r>
        <w:rPr>
          <w:rFonts w:ascii="华文细黑" w:eastAsia="华文细黑" w:hAnsi="华文细黑"/>
          <w:b/>
          <w:sz w:val="24"/>
        </w:rPr>
        <w:t>素养实力</w:t>
      </w:r>
      <w:r>
        <w:rPr>
          <w:rFonts w:ascii="华文细黑" w:eastAsia="华文细黑" w:hAnsi="华文细黑" w:hint="eastAsia"/>
          <w:b/>
          <w:sz w:val="24"/>
        </w:rPr>
        <w:t>类型说明（等级：1\2\3\4\5）：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/>
          <w:sz w:val="24"/>
        </w:rPr>
        <w:t>业务实力</w:t>
      </w:r>
      <w:r>
        <w:rPr>
          <w:rFonts w:ascii="华文细黑" w:eastAsia="华文细黑" w:hAnsi="华文细黑" w:hint="eastAsia"/>
          <w:sz w:val="24"/>
        </w:rPr>
        <w:t>：</w:t>
      </w:r>
      <w:r>
        <w:rPr>
          <w:rFonts w:ascii="华文细黑" w:eastAsia="华文细黑" w:hAnsi="华文细黑"/>
          <w:sz w:val="24"/>
        </w:rPr>
        <w:t>驾驭本职位工作</w:t>
      </w:r>
      <w:r>
        <w:rPr>
          <w:rFonts w:ascii="华文细黑" w:eastAsia="华文细黑" w:hAnsi="华文细黑" w:hint="eastAsia"/>
          <w:sz w:val="24"/>
        </w:rPr>
        <w:t>必</w:t>
      </w:r>
      <w:r>
        <w:rPr>
          <w:rFonts w:ascii="华文细黑" w:eastAsia="华文细黑" w:hAnsi="华文细黑"/>
          <w:sz w:val="24"/>
        </w:rPr>
        <w:t>备的专业学问和技能，能有效地发觉问题并刚好加以解决；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/>
          <w:sz w:val="24"/>
        </w:rPr>
        <w:t>学习实力</w:t>
      </w:r>
      <w:r>
        <w:rPr>
          <w:rFonts w:ascii="华文细黑" w:eastAsia="华文细黑" w:hAnsi="华文细黑" w:hint="eastAsia"/>
          <w:sz w:val="24"/>
        </w:rPr>
        <w:t>：</w:t>
      </w:r>
      <w:r>
        <w:rPr>
          <w:rFonts w:ascii="华文细黑" w:eastAsia="华文细黑" w:hAnsi="华文细黑"/>
          <w:sz w:val="24"/>
        </w:rPr>
        <w:t>擅长读书学习，能</w:t>
      </w:r>
      <w:r>
        <w:rPr>
          <w:rFonts w:ascii="华文细黑" w:eastAsia="华文细黑" w:hAnsi="华文细黑" w:hint="eastAsia"/>
          <w:sz w:val="24"/>
        </w:rPr>
        <w:t>在实践中</w:t>
      </w:r>
      <w:r>
        <w:rPr>
          <w:rFonts w:ascii="华文细黑" w:eastAsia="华文细黑" w:hAnsi="华文细黑"/>
          <w:sz w:val="24"/>
        </w:rPr>
        <w:t>总结阅历教训，吸取他人的特长，接受新学问，注意自我提升；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 w:hint="eastAsia"/>
          <w:sz w:val="24"/>
        </w:rPr>
        <w:t>创新实力：</w:t>
      </w:r>
      <w:r>
        <w:rPr>
          <w:rFonts w:ascii="华文细黑" w:eastAsia="华文细黑" w:hAnsi="华文细黑"/>
          <w:sz w:val="24"/>
        </w:rPr>
        <w:t>在工作中不断提出新设想、新方案，改进工作方式和方法，具备开拓新局面的实力；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  <w:sectPr>
          <w:type w:val="nextPage"/>
          <w:pgSz w:w="11906" w:h="16838"/>
          <w:pgMar w:top="851" w:right="851" w:bottom="851" w:left="851" w:header="851" w:footer="567" w:gutter="567"/>
          <w:pgNumType w:start="3"/>
          <w:cols w:space="708"/>
          <w:titlePg w:val="0"/>
          <w:docGrid w:type="lines" w:linePitch="312"/>
        </w:sectPr>
      </w:pPr>
      <w:r>
        <w:rPr>
          <w:rFonts w:ascii="华文细黑" w:eastAsia="华文细黑" w:hAnsi="华文细黑" w:hint="eastAsia"/>
          <w:sz w:val="24"/>
        </w:rPr>
        <w:t>协调实力：</w:t>
      </w:r>
    </w:p>
    <w:p>
      <w:pPr>
        <w:numPr>
          <w:ilvl w:val="0"/>
          <w:numId w:val="0"/>
        </w:numPr>
        <w:snapToGrid w:val="0"/>
        <w:spacing w:line="360" w:lineRule="auto"/>
        <w:ind w:left="420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/>
          <w:sz w:val="24"/>
        </w:rPr>
        <w:t>与人融洽相处，在人际交往中随和大度，能坚持立场，有效化解冲突；具有与上司、下属、客户保持友好关系的实力；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 w:hint="eastAsia"/>
          <w:sz w:val="24"/>
        </w:rPr>
        <w:t>沟通实力：</w:t>
      </w:r>
      <w:r>
        <w:rPr>
          <w:rFonts w:ascii="华文细黑" w:eastAsia="华文细黑" w:hAnsi="华文细黑"/>
          <w:sz w:val="24"/>
        </w:rPr>
        <w:t>能依据表述内容和沟通对象的特点实行适当表达方式和技巧；在人际交往中，能通过各种途径和线索精确地把握和理解对方的意图，抓住关键信息，作出恰当反应；具有使他人接纳自己看法和建议的实力；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/>
          <w:sz w:val="24"/>
        </w:rPr>
        <w:t>公关实力</w:t>
      </w:r>
      <w:r>
        <w:rPr>
          <w:rFonts w:ascii="华文细黑" w:eastAsia="华文细黑" w:hAnsi="华文细黑" w:hint="eastAsia"/>
          <w:sz w:val="24"/>
        </w:rPr>
        <w:t>：</w:t>
      </w:r>
      <w:r>
        <w:rPr>
          <w:rFonts w:ascii="华文细黑" w:eastAsia="华文细黑" w:hAnsi="华文细黑"/>
          <w:sz w:val="24"/>
        </w:rPr>
        <w:t>实行恰当的方式与媒体、政府部门及公众沟通，以达到预定的目标；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/>
          <w:sz w:val="24"/>
        </w:rPr>
        <w:t>适应实力</w:t>
      </w:r>
      <w:r>
        <w:rPr>
          <w:rFonts w:ascii="华文细黑" w:eastAsia="华文细黑" w:hAnsi="华文细黑" w:hint="eastAsia"/>
          <w:sz w:val="24"/>
        </w:rPr>
        <w:t>：</w:t>
      </w:r>
      <w:r>
        <w:rPr>
          <w:rFonts w:ascii="华文细黑" w:eastAsia="华文细黑" w:hAnsi="华文细黑"/>
          <w:sz w:val="24"/>
        </w:rPr>
        <w:t>能依据不同的环境和条件刚好调整自己的心态和工作方法，在新的自然和人文环境中能很快胜任工作，实行相应变通措施；</w:t>
      </w:r>
    </w:p>
    <w:p>
      <w:pPr>
        <w:numPr>
          <w:ilvl w:val="0"/>
          <w:numId w:val="1"/>
        </w:numPr>
        <w:snapToGrid w:val="0"/>
        <w:spacing w:line="360" w:lineRule="auto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/>
          <w:sz w:val="24"/>
        </w:rPr>
        <w:t>决策实力</w:t>
      </w:r>
      <w:r>
        <w:rPr>
          <w:rFonts w:ascii="华文细黑" w:eastAsia="华文细黑" w:hAnsi="华文细黑" w:hint="eastAsia"/>
          <w:sz w:val="24"/>
        </w:rPr>
        <w:t>：</w:t>
      </w:r>
      <w:r>
        <w:rPr>
          <w:rFonts w:ascii="华文细黑" w:eastAsia="华文细黑" w:hAnsi="华文细黑"/>
          <w:sz w:val="24"/>
        </w:rPr>
        <w:t>能依据获得的数据资料进行分析和推断，并结合个人阅历和直觉做出正确确定的实力，以及快速应对和处理各种事故及危机的实力；</w:t>
      </w:r>
    </w:p>
    <w:p>
      <w:pPr>
        <w:snapToGrid w:val="0"/>
        <w:spacing w:line="360" w:lineRule="auto"/>
        <w:rPr>
          <w:rFonts w:ascii="华文细黑" w:eastAsia="华文细黑" w:hAnsi="华文细黑" w:hint="eastAsia"/>
        </w:rPr>
        <w:sectPr>
          <w:type w:val="nextPage"/>
          <w:pgSz w:w="11906" w:h="16838"/>
          <w:pgMar w:top="851" w:right="851" w:bottom="851" w:left="851" w:header="851" w:footer="567" w:gutter="567"/>
          <w:pgNumType w:start="4"/>
          <w:cols w:space="708"/>
          <w:titlePg w:val="0"/>
          <w:docGrid w:type="lines" w:linePitch="312"/>
        </w:sectPr>
      </w:pPr>
    </w:p>
    <w:p>
      <w:pPr>
        <w:pStyle w:val="Heading1"/>
        <w:spacing w:before="0" w:beforeLines="0" w:line="360" w:lineRule="auto"/>
        <w:rPr>
          <w:rFonts w:hint="eastAsia"/>
        </w:rPr>
      </w:pPr>
      <w:bookmarkStart w:id="3" w:name="_Toc275374495"/>
      <w:r>
        <w:rPr>
          <w:rFonts w:hint="eastAsia"/>
        </w:rPr>
        <w:t>三、岗位说明</w:t>
      </w:r>
      <w:bookmarkEnd w:id="3"/>
    </w:p>
    <w:p>
      <w:pPr>
        <w:pStyle w:val="Heading1"/>
        <w:numPr>
          <w:ilvl w:val="0"/>
          <w:numId w:val="2"/>
        </w:numPr>
        <w:spacing w:before="0" w:beforeLines="0" w:line="360" w:lineRule="auto"/>
        <w:rPr>
          <w:rFonts w:hint="eastAsia"/>
        </w:rPr>
      </w:pPr>
      <w:bookmarkStart w:id="4" w:name="_Toc275374496"/>
      <w:r>
        <w:rPr>
          <w:rFonts w:hint="eastAsia"/>
        </w:rPr>
        <w:t>成本总监</w:t>
      </w:r>
      <w:bookmarkEnd w:id="4"/>
    </w:p>
    <w:p>
      <w:pPr>
        <w:snapToGrid w:val="0"/>
        <w:spacing w:line="360" w:lineRule="auto"/>
        <w:jc w:val="left"/>
        <w:rPr>
          <w:rFonts w:ascii="华文细黑" w:eastAsia="华文细黑" w:hAnsi="华文细黑" w:hint="eastAsia"/>
          <w:sz w:val="24"/>
        </w:rPr>
      </w:pPr>
      <w:r>
        <w:rPr>
          <w:rFonts w:ascii="华文细黑" w:eastAsia="华文细黑" w:hAnsi="华文细黑" w:hint="eastAsia"/>
          <w:sz w:val="24"/>
        </w:rPr>
        <w:t>岗位分析日期：</w:t>
      </w:r>
    </w:p>
    <w:tbl>
      <w:tblPr>
        <w:tblStyle w:val="TableNormal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000"/>
      </w:tblPr>
      <w:tblGrid>
        <w:gridCol w:w="624"/>
        <w:gridCol w:w="1124"/>
        <w:gridCol w:w="3086"/>
        <w:gridCol w:w="1815"/>
        <w:gridCol w:w="3160"/>
      </w:tblGrid>
      <w:tr>
        <w:tblPrEx>
          <w:jc w:val="center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1748" w:type="dxa"/>
            <w:gridSpan w:val="2"/>
            <w:shd w:val="clear" w:color="auto" w:fill="F3F3F3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ascii="华文细黑" w:eastAsia="华文细黑" w:hAnsi="华文细黑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岗位名称</w:t>
            </w:r>
          </w:p>
        </w:tc>
        <w:tc>
          <w:tcPr>
            <w:tcW w:w="3086" w:type="dxa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成本总监</w:t>
            </w:r>
          </w:p>
        </w:tc>
        <w:tc>
          <w:tcPr>
            <w:tcW w:w="1815" w:type="dxa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岗位编号</w:t>
            </w:r>
          </w:p>
        </w:tc>
        <w:tc>
          <w:tcPr>
            <w:tcW w:w="3160" w:type="dxa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/>
                <w:sz w:val="24"/>
              </w:rPr>
              <w:t>ZGJT-JOB-JT-CB0</w:t>
            </w:r>
            <w:r>
              <w:rPr>
                <w:rFonts w:ascii="华文细黑" w:eastAsia="华文细黑" w:hAnsi="华文细黑" w:hint="eastAsia"/>
                <w:sz w:val="24"/>
              </w:rPr>
              <w:t>1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1748" w:type="dxa"/>
            <w:gridSpan w:val="2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所在部门</w:t>
            </w:r>
          </w:p>
        </w:tc>
        <w:tc>
          <w:tcPr>
            <w:tcW w:w="3086" w:type="dxa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成本管理中心</w:t>
            </w:r>
          </w:p>
        </w:tc>
        <w:tc>
          <w:tcPr>
            <w:tcW w:w="1815" w:type="dxa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部门类别</w:t>
            </w:r>
          </w:p>
        </w:tc>
        <w:tc>
          <w:tcPr>
            <w:tcW w:w="3160" w:type="dxa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业务管理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1748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干脆上级</w:t>
            </w:r>
          </w:p>
        </w:tc>
        <w:tc>
          <w:tcPr>
            <w:tcW w:w="3086" w:type="dxa"/>
            <w:vAlign w:val="center"/>
          </w:tcPr>
          <w:p>
            <w:pPr>
              <w:adjustRightInd w:val="0"/>
              <w:snapToGrid w:val="0"/>
              <w:spacing w:line="360" w:lineRule="auto"/>
              <w:ind w:left="5" w:hanging="26" w:leftChars="-10" w:hangingChars="11"/>
              <w:jc w:val="center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执行总裁</w:t>
            </w:r>
          </w:p>
        </w:tc>
        <w:tc>
          <w:tcPr>
            <w:tcW w:w="1815" w:type="dxa"/>
            <w:vAlign w:val="center"/>
          </w:tcPr>
          <w:p>
            <w:pPr>
              <w:adjustRightInd w:val="0"/>
              <w:snapToGrid w:val="0"/>
              <w:spacing w:line="360" w:lineRule="auto"/>
              <w:ind w:left="5" w:hanging="26" w:leftChars="-10" w:hangingChars="11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干脆下级</w:t>
            </w:r>
          </w:p>
        </w:tc>
        <w:tc>
          <w:tcPr>
            <w:tcW w:w="3160" w:type="dxa"/>
            <w:vAlign w:val="center"/>
          </w:tcPr>
          <w:p>
            <w:pPr>
              <w:adjustRightInd w:val="0"/>
              <w:snapToGrid w:val="0"/>
              <w:spacing w:line="360" w:lineRule="auto"/>
              <w:ind w:left="5" w:hanging="26" w:leftChars="-10" w:hangingChars="11"/>
              <w:jc w:val="center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成控经理、招采经理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318"/>
          <w:jc w:val="center"/>
        </w:trPr>
        <w:tc>
          <w:tcPr>
            <w:tcW w:w="9809" w:type="dxa"/>
            <w:gridSpan w:val="5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ascii="华文细黑" w:eastAsia="华文细黑" w:hAnsi="华文细黑"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岗位目标：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86"/>
          <w:jc w:val="center"/>
        </w:trPr>
        <w:tc>
          <w:tcPr>
            <w:tcW w:w="9809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auto"/>
              <w:ind w:firstLine="720" w:firstLineChars="300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组织开展项目成本限制指标制定、分解及项目实施阶段全过程成本管理工作，确保公司成本限制目标的实现；同时通过规范的招标选购</w:t>
              <w:tab/>
              <w:t>及合约管理，强化供方选择及供方管理，防范公司选购</w:t>
              <w:tab/>
              <w:t>风险，促进公司管理效率提升。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9809" w:type="dxa"/>
            <w:gridSpan w:val="5"/>
            <w:shd w:val="clear" w:color="auto" w:fill="F3F3F3"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工作职责或工作任务：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624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序号</w:t>
            </w:r>
          </w:p>
        </w:tc>
        <w:tc>
          <w:tcPr>
            <w:tcW w:w="1124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职责概述</w:t>
            </w:r>
          </w:p>
        </w:tc>
        <w:tc>
          <w:tcPr>
            <w:tcW w:w="8061" w:type="dxa"/>
            <w:gridSpan w:val="3"/>
            <w:vAlign w:val="center"/>
          </w:tcPr>
          <w:p>
            <w:pPr>
              <w:tabs>
                <w:tab w:val="left" w:pos="630"/>
              </w:tabs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sz w:val="24"/>
              </w:rPr>
              <w:t>工作职责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624" w:type="dxa"/>
            <w:tcBorders>
              <w:bottom w:val="single" w:sz="6" w:space="0" w:color="auto"/>
            </w:tcBorders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</w:p>
        </w:tc>
        <w:tc>
          <w:tcPr>
            <w:tcW w:w="1124" w:type="dxa"/>
            <w:tcBorders>
              <w:bottom w:val="single" w:sz="6" w:space="0" w:color="auto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部门管理</w:t>
            </w:r>
          </w:p>
        </w:tc>
        <w:tc>
          <w:tcPr>
            <w:tcW w:w="8061" w:type="dxa"/>
            <w:gridSpan w:val="3"/>
            <w:tcBorders>
              <w:bottom w:val="single" w:sz="6" w:space="0" w:color="auto"/>
            </w:tcBorders>
            <w:vAlign w:val="center"/>
          </w:tcPr>
          <w:p>
            <w:pPr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参与公司经营决策，负责跟进本部门责任事项的落实，代表本部门进行跨部门间的协调与沟通；</w:t>
            </w:r>
          </w:p>
          <w:p>
            <w:pPr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负责部门管理制度、工作标准、业务流程的建立、完善和监督执行；</w:t>
            </w:r>
          </w:p>
          <w:p>
            <w:pPr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负责依据公司战略制定本部门的业务规划，编制年度、季度、月度支配，并监督支配的落实；</w:t>
            </w:r>
          </w:p>
          <w:p>
            <w:pPr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负责本部门人力资源管理工作，如人员聘请申请或建议、员工培训、绩效管理、薪酬调整建议、晋升配置建议等。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624" w:type="dxa"/>
            <w:tcBorders>
              <w:top w:val="single" w:sz="6" w:space="0" w:color="auto"/>
            </w:tcBorders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</w:p>
        </w:tc>
        <w:tc>
          <w:tcPr>
            <w:tcW w:w="1124" w:type="dxa"/>
            <w:tcBorders>
              <w:top w:val="single" w:sz="6" w:space="0" w:color="auto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成本管理</w:t>
            </w:r>
          </w:p>
        </w:tc>
        <w:tc>
          <w:tcPr>
            <w:tcW w:w="8061" w:type="dxa"/>
            <w:gridSpan w:val="3"/>
            <w:tcBorders>
              <w:top w:val="single" w:sz="6" w:space="0" w:color="auto"/>
            </w:tcBorders>
            <w:vAlign w:val="bottom"/>
          </w:tcPr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组织下属</w:t>
            </w:r>
            <w:r>
              <w:rPr>
                <w:rFonts w:ascii="华文细黑" w:eastAsia="华文细黑" w:hAnsi="华文细黑"/>
                <w:sz w:val="24"/>
              </w:rPr>
              <w:t>建立和完善</w:t>
            </w:r>
            <w:r>
              <w:rPr>
                <w:rFonts w:ascii="华文细黑" w:eastAsia="华文细黑" w:hAnsi="华文细黑" w:hint="eastAsia"/>
                <w:sz w:val="24"/>
              </w:rPr>
              <w:t>公司项目开发</w:t>
            </w:r>
            <w:r>
              <w:rPr>
                <w:rFonts w:ascii="华文细黑" w:eastAsia="华文细黑" w:hAnsi="华文细黑"/>
                <w:sz w:val="24"/>
              </w:rPr>
              <w:t>成</w:t>
            </w:r>
            <w:r>
              <w:rPr>
                <w:rFonts w:ascii="华文细黑" w:eastAsia="华文细黑" w:hAnsi="华文细黑" w:hint="eastAsia"/>
                <w:sz w:val="24"/>
              </w:rPr>
              <w:t>本</w:t>
            </w:r>
            <w:r>
              <w:rPr>
                <w:rFonts w:ascii="华文细黑" w:eastAsia="华文细黑" w:hAnsi="华文细黑"/>
                <w:sz w:val="24"/>
              </w:rPr>
              <w:t>监</w:t>
            </w:r>
            <w:r>
              <w:rPr>
                <w:rFonts w:ascii="华文细黑" w:eastAsia="华文细黑" w:hAnsi="华文细黑" w:hint="eastAsia"/>
                <w:sz w:val="24"/>
              </w:rPr>
              <w:t>控</w:t>
            </w:r>
            <w:r>
              <w:rPr>
                <w:rFonts w:ascii="华文细黑" w:eastAsia="华文细黑" w:hAnsi="华文细黑"/>
                <w:sz w:val="24"/>
              </w:rPr>
              <w:t>预</w:t>
            </w:r>
            <w:r>
              <w:rPr>
                <w:rFonts w:ascii="华文细黑" w:eastAsia="华文细黑" w:hAnsi="华文细黑" w:hint="eastAsia"/>
                <w:sz w:val="24"/>
              </w:rPr>
              <w:t>警机制及</w:t>
            </w:r>
            <w:r>
              <w:rPr>
                <w:rFonts w:ascii="华文细黑" w:eastAsia="华文细黑" w:hAnsi="华文细黑"/>
                <w:sz w:val="24"/>
              </w:rPr>
              <w:t>成本管理体系，并</w:t>
            </w:r>
            <w:r>
              <w:rPr>
                <w:rFonts w:ascii="华文细黑" w:eastAsia="华文细黑" w:hAnsi="华文细黑" w:hint="eastAsia"/>
                <w:sz w:val="24"/>
              </w:rPr>
              <w:t>督导</w:t>
            </w:r>
            <w:r>
              <w:rPr>
                <w:rFonts w:ascii="华文细黑" w:eastAsia="华文细黑" w:hAnsi="华文细黑"/>
                <w:sz w:val="24"/>
              </w:rPr>
              <w:t>实施；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督导下属收集、整理集团及区域公司相关成本信息，建立和维护成本信息</w:t>
            </w:r>
            <w:r>
              <w:rPr>
                <w:rFonts w:ascii="华文细黑" w:eastAsia="华文细黑" w:hAnsi="华文细黑"/>
                <w:sz w:val="24"/>
              </w:rPr>
              <w:t>库</w:t>
            </w:r>
            <w:r>
              <w:rPr>
                <w:rFonts w:ascii="华文细黑" w:eastAsia="华文细黑" w:hAnsi="华文细黑" w:hint="eastAsia"/>
                <w:sz w:val="24"/>
              </w:rPr>
              <w:t>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组织下属开展设计阶段成本测算，提出限额设计要求，负责审核限额设计标准；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参与各阶段设计方案成果</w:t>
            </w:r>
            <w:r>
              <w:rPr>
                <w:rFonts w:ascii="华文细黑" w:eastAsia="华文细黑" w:hAnsi="华文细黑"/>
                <w:sz w:val="24"/>
              </w:rPr>
              <w:t>评审，</w:t>
            </w:r>
            <w:r>
              <w:rPr>
                <w:rFonts w:ascii="华文细黑" w:eastAsia="华文细黑" w:hAnsi="华文细黑" w:hint="eastAsia"/>
                <w:sz w:val="24"/>
              </w:rPr>
              <w:t>从成本角度</w:t>
            </w:r>
            <w:r>
              <w:rPr>
                <w:rFonts w:ascii="华文细黑" w:eastAsia="华文细黑" w:hAnsi="华文细黑"/>
                <w:sz w:val="24"/>
              </w:rPr>
              <w:t>提出</w:t>
            </w:r>
            <w:r>
              <w:rPr>
                <w:rFonts w:ascii="华文细黑" w:eastAsia="华文细黑" w:hAnsi="华文细黑" w:hint="eastAsia"/>
                <w:sz w:val="24"/>
              </w:rPr>
              <w:t>评审</w:t>
            </w:r>
            <w:r>
              <w:rPr>
                <w:rFonts w:ascii="华文细黑" w:eastAsia="华文细黑" w:hAnsi="华文细黑"/>
                <w:sz w:val="24"/>
              </w:rPr>
              <w:t>看法</w:t>
            </w:r>
            <w:r>
              <w:rPr>
                <w:rFonts w:ascii="华文细黑" w:eastAsia="华文细黑" w:hAnsi="华文细黑" w:hint="eastAsia"/>
                <w:sz w:val="24"/>
              </w:rPr>
              <w:t>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指导区域公司项目目标成本编制并审核，对成果进行审核并上报评审；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组织下属对区域公司项目动态成本进行监控及预警，处理异样问题；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/>
                <w:sz w:val="24"/>
              </w:rPr>
              <w:t>审核</w:t>
            </w:r>
            <w:r>
              <w:rPr>
                <w:rFonts w:ascii="华文细黑" w:eastAsia="华文细黑" w:hAnsi="华文细黑" w:hint="eastAsia"/>
                <w:sz w:val="24"/>
              </w:rPr>
              <w:t>/审批权限范围内的工程、材料</w:t>
            </w:r>
            <w:r>
              <w:rPr>
                <w:rFonts w:ascii="华文细黑" w:eastAsia="华文细黑" w:hAnsi="华文细黑"/>
                <w:sz w:val="24"/>
              </w:rPr>
              <w:t>设备、</w:t>
            </w:r>
            <w:r>
              <w:rPr>
                <w:rFonts w:ascii="华文细黑" w:eastAsia="华文细黑" w:hAnsi="华文细黑" w:hint="eastAsia"/>
                <w:sz w:val="24"/>
              </w:rPr>
              <w:t>技</w:t>
            </w:r>
            <w:r>
              <w:rPr>
                <w:rFonts w:ascii="华文细黑" w:eastAsia="华文细黑" w:hAnsi="华文细黑"/>
                <w:sz w:val="24"/>
              </w:rPr>
              <w:t>术</w:t>
            </w:r>
            <w:r>
              <w:rPr>
                <w:rFonts w:ascii="华文细黑" w:eastAsia="华文细黑" w:hAnsi="华文细黑" w:hint="eastAsia"/>
                <w:sz w:val="24"/>
              </w:rPr>
              <w:t>服</w:t>
            </w:r>
            <w:r>
              <w:rPr>
                <w:rFonts w:ascii="华文细黑" w:eastAsia="华文细黑" w:hAnsi="华文细黑"/>
                <w:sz w:val="24"/>
              </w:rPr>
              <w:t>务</w:t>
            </w:r>
            <w:r>
              <w:rPr>
                <w:rFonts w:ascii="华文细黑" w:eastAsia="华文细黑" w:hAnsi="华文细黑" w:hint="eastAsia"/>
                <w:sz w:val="24"/>
              </w:rPr>
              <w:t>等合同</w:t>
            </w:r>
            <w:r>
              <w:rPr>
                <w:rFonts w:ascii="华文细黑" w:eastAsia="华文细黑" w:hAnsi="华文细黑"/>
                <w:sz w:val="24"/>
              </w:rPr>
              <w:t>进</w:t>
            </w:r>
            <w:r>
              <w:rPr>
                <w:rFonts w:ascii="华文细黑" w:eastAsia="华文细黑" w:hAnsi="华文细黑" w:hint="eastAsia"/>
                <w:sz w:val="24"/>
              </w:rPr>
              <w:t>度款</w:t>
            </w:r>
            <w:r>
              <w:rPr>
                <w:rFonts w:ascii="华文细黑" w:eastAsia="华文细黑" w:hAnsi="华文细黑"/>
                <w:sz w:val="24"/>
              </w:rPr>
              <w:t>申请</w:t>
            </w:r>
            <w:r>
              <w:rPr>
                <w:rFonts w:ascii="华文细黑" w:eastAsia="华文细黑" w:hAnsi="华文细黑" w:hint="eastAsia"/>
                <w:sz w:val="24"/>
              </w:rPr>
              <w:t>；</w:t>
            </w:r>
          </w:p>
          <w:p>
            <w:pPr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rPr>
                <w:rFonts w:ascii="华文细黑" w:eastAsia="华文细黑" w:hAnsi="华文细黑" w:hint="eastAsia"/>
                <w:sz w:val="24"/>
              </w:rPr>
            </w:pPr>
            <w:r>
              <w:rPr>
                <w:rFonts w:ascii="华文细黑" w:eastAsia="华文细黑" w:hAnsi="华文细黑" w:hint="eastAsia"/>
                <w:sz w:val="24"/>
              </w:rPr>
              <w:t>审核区域公司提交的项目预算及工程竣工结算。</w:t>
            </w:r>
          </w:p>
        </w:tc>
      </w:tr>
      <w:tr>
        <w:tblPrEx>
          <w:jc w:val="center"/>
          <w:tblLayout w:type="fixed"/>
          <w:tblCellMar>
            <w:top w:w="0" w:type="dxa"/>
            <w:left w:w="28" w:type="dxa"/>
            <w:bottom w:w="0" w:type="dxa"/>
            <w:right w:w="28" w:type="dxa"/>
          </w:tblCellMar>
          <w:tblLook w:val="0000"/>
        </w:tblPrEx>
        <w:trPr>
          <w:trHeight w:val="454"/>
          <w:jc w:val="center"/>
        </w:trPr>
        <w:tc>
          <w:tcPr>
            <w:tcW w:w="624" w:type="dxa"/>
            <w:vAlign w:val="center"/>
          </w:tcPr>
          <w:p>
            <w:pPr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华文细黑" w:eastAsia="华文细黑" w:hAnsi="华文细黑" w:hint="eastAsia"/>
                <w:b/>
                <w:bCs/>
                <w:sz w:val="24"/>
              </w:rPr>
            </w:pPr>
            <w:r>
              <w:rPr>
                <w:rFonts w:ascii="华文细黑" w:eastAsia="华文细黑" w:hAnsi="华文细黑" w:hint="eastAsia"/>
                <w:b/>
                <w:bCs/>
                <w:sz w:val="24"/>
              </w:rPr>
              <w:t>招采管理</w:t>
            </w:r>
          </w:p>
        </w:tc>
        <w:tc>
          <w:tcPr>
            <w:tcW w:w="8061" w:type="dxa"/>
            <w:gridSpan w:val="3"/>
            <w:vAlign w:val="bottom"/>
          </w:tcPr>
          <w:p>
            <w:pPr>
              <w:numPr>
                <w:ilvl w:val="0"/>
                <w:numId w:val="6"/>
              </w:numPr>
              <w:adjustRightInd w:val="0"/>
              <w:snapToGrid w:val="0"/>
              <w:spacing w:after="0" w:line="360" w:lineRule="auto"/>
              <w:rPr>
                <w:rFonts w:ascii="华文细黑" w:eastAsia="华文细黑" w:hAnsi="华文细黑" w:hint="eastAsia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https://d.book118.com/148116073060006033</w:t>
        </w:r>
      </w:hyperlink>
    </w:p>
    <w:p/>
    <w:sectPr>
      <w:type w:val="nextPage"/>
      <w:pgSz w:w="11906" w:h="16838"/>
      <w:pgMar w:top="851" w:right="851" w:bottom="851" w:left="851" w:header="851" w:footer="567" w:gutter="567"/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Verdana">
    <w:panose1 w:val="020B0604030504040204"/>
    <w:charset w:val="00"/>
    <w:family w:val="swiss"/>
    <w:pitch w:val="default"/>
    <w:sig w:usb0="00000287" w:usb1="00000000" w:usb2="00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Cambria">
    <w:altName w:val="RomanS"/>
    <w:panose1 w:val="02040503050406030204"/>
    <w:charset w:val="00"/>
    <w:family w:val="roman"/>
    <w:pitch w:val="default"/>
    <w:sig w:usb0="A00002EF" w:usb1="4000004B" w:usb2="00000000" w:usb3="00000000" w:csb0="0000009F" w:csb1="0000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华文细黑">
    <w:altName w:val="黑体"/>
    <w:panose1 w:val="02010600040101010101"/>
    <w:charset w:val="86"/>
    <w:family w:val="auto"/>
    <w:pitch w:val="default"/>
    <w:sig w:usb0="00000287" w:usb1="080F0000" w:usb2="00000010" w:usb3="00000000" w:csb0="0004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6"/>
    <w:multiLevelType w:val="multilevel"/>
    <w:tmpl w:val="00000006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0000000A"/>
    <w:multiLevelType w:val="multilevel"/>
    <w:tmpl w:val="0000000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0000000B"/>
    <w:multiLevelType w:val="multilevel"/>
    <w:tmpl w:val="0000000B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0000000C"/>
    <w:multiLevelType w:val="multilevel"/>
    <w:tmpl w:val="0000000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0000000D"/>
    <w:multiLevelType w:val="multilevel"/>
    <w:tmpl w:val="0000000D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000000E"/>
    <w:multiLevelType w:val="multilevel"/>
    <w:tmpl w:val="0000000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0000013"/>
    <w:multiLevelType w:val="multilevel"/>
    <w:tmpl w:val="00000013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00000014"/>
    <w:multiLevelType w:val="multilevel"/>
    <w:tmpl w:val="0000001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00000015"/>
    <w:multiLevelType w:val="multilevel"/>
    <w:tmpl w:val="00000015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00000018"/>
    <w:multiLevelType w:val="multilevel"/>
    <w:tmpl w:val="0000001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00000019"/>
    <w:multiLevelType w:val="multilevel"/>
    <w:tmpl w:val="00000019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0000001A"/>
    <w:multiLevelType w:val="multilevel"/>
    <w:tmpl w:val="0000001A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0000001B"/>
    <w:multiLevelType w:val="multilevel"/>
    <w:tmpl w:val="0000001B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0000001C"/>
    <w:multiLevelType w:val="multilevel"/>
    <w:tmpl w:val="0000001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0000001D"/>
    <w:multiLevelType w:val="multilevel"/>
    <w:tmpl w:val="0000001D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0000001E"/>
    <w:multiLevelType w:val="multilevel"/>
    <w:tmpl w:val="0000001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00000020"/>
    <w:multiLevelType w:val="multilevel"/>
    <w:tmpl w:val="0000002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00000021"/>
    <w:multiLevelType w:val="multilevel"/>
    <w:tmpl w:val="00000021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00000022"/>
    <w:multiLevelType w:val="multilevel"/>
    <w:tmpl w:val="0000002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00000025"/>
    <w:multiLevelType w:val="multilevel"/>
    <w:tmpl w:val="00000025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>
    <w:nsid w:val="00000026"/>
    <w:multiLevelType w:val="multilevel"/>
    <w:tmpl w:val="00000026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00000027"/>
    <w:multiLevelType w:val="multilevel"/>
    <w:tmpl w:val="00000027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0000002A"/>
    <w:multiLevelType w:val="multilevel"/>
    <w:tmpl w:val="0000002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0000002B"/>
    <w:multiLevelType w:val="multilevel"/>
    <w:tmpl w:val="0000002B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0000002C"/>
    <w:multiLevelType w:val="multilevel"/>
    <w:tmpl w:val="0000002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0000002D"/>
    <w:multiLevelType w:val="multilevel"/>
    <w:tmpl w:val="0000002D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0000002E"/>
    <w:multiLevelType w:val="multilevel"/>
    <w:tmpl w:val="0000002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0000002F"/>
    <w:multiLevelType w:val="multilevel"/>
    <w:tmpl w:val="0000002F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00000030"/>
    <w:multiLevelType w:val="multilevel"/>
    <w:tmpl w:val="0000003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00000031"/>
    <w:multiLevelType w:val="multilevel"/>
    <w:tmpl w:val="00000031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00000032"/>
    <w:multiLevelType w:val="multilevel"/>
    <w:tmpl w:val="00000032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00000033"/>
    <w:multiLevelType w:val="multilevel"/>
    <w:tmpl w:val="00000033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>
    <w:nsid w:val="00000037"/>
    <w:multiLevelType w:val="multilevel"/>
    <w:tmpl w:val="00000037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9">
    <w:nsid w:val="00000038"/>
    <w:multiLevelType w:val="multilevel"/>
    <w:tmpl w:val="00000038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00000039"/>
    <w:multiLevelType w:val="multilevel"/>
    <w:tmpl w:val="00000039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1">
    <w:nsid w:val="0000003A"/>
    <w:multiLevelType w:val="multilevel"/>
    <w:tmpl w:val="0000003A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">
    <w:nsid w:val="0000003B"/>
    <w:multiLevelType w:val="multilevel"/>
    <w:tmpl w:val="0000003B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0000003C"/>
    <w:multiLevelType w:val="multilevel"/>
    <w:tmpl w:val="0000003C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4">
    <w:nsid w:val="0000003D"/>
    <w:multiLevelType w:val="multilevel"/>
    <w:tmpl w:val="0000003D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5">
    <w:nsid w:val="0000003E"/>
    <w:multiLevelType w:val="multilevel"/>
    <w:tmpl w:val="0000003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6">
    <w:nsid w:val="0000003F"/>
    <w:multiLevelType w:val="multilevel"/>
    <w:tmpl w:val="0000003F"/>
    <w:lvl w:ilvl="0">
      <w:start w:val="1"/>
      <w:numFmt w:val="chineseCountingThousand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7">
    <w:nsid w:val="00000040"/>
    <w:multiLevelType w:val="multilevel"/>
    <w:tmpl w:val="00000040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8">
    <w:nsid w:val="00000042"/>
    <w:multiLevelType w:val="multilevel"/>
    <w:tmpl w:val="0000004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9">
    <w:nsid w:val="00000043"/>
    <w:multiLevelType w:val="multilevel"/>
    <w:tmpl w:val="00000043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0">
    <w:nsid w:val="00000044"/>
    <w:multiLevelType w:val="multilevel"/>
    <w:tmpl w:val="0000004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0"/>
  </w:num>
  <w:num w:numId="2">
    <w:abstractNumId w:val="25"/>
  </w:num>
  <w:num w:numId="3">
    <w:abstractNumId w:val="8"/>
  </w:num>
  <w:num w:numId="4">
    <w:abstractNumId w:val="35"/>
    <w:lvlOverride w:ilvl="0">
      <w:startOverride w:val="1"/>
    </w:lvlOverride>
  </w:num>
  <w:num w:numId="5">
    <w:abstractNumId w:val="40"/>
  </w:num>
  <w:num w:numId="6">
    <w:abstractNumId w:val="33"/>
  </w:num>
  <w:num w:numId="7">
    <w:abstractNumId w:val="19"/>
  </w:num>
  <w:num w:numId="8">
    <w:abstractNumId w:val="29"/>
  </w:num>
  <w:num w:numId="9">
    <w:abstractNumId w:val="31"/>
  </w:num>
  <w:num w:numId="10">
    <w:abstractNumId w:val="15"/>
  </w:num>
  <w:num w:numId="11">
    <w:abstractNumId w:val="32"/>
  </w:num>
  <w:num w:numId="12">
    <w:abstractNumId w:val="12"/>
  </w:num>
  <w:num w:numId="13">
    <w:abstractNumId w:val="1"/>
  </w:num>
  <w:num w:numId="14">
    <w:abstractNumId w:val="4"/>
  </w:num>
  <w:num w:numId="15">
    <w:abstractNumId w:val="50"/>
  </w:num>
  <w:num w:numId="16">
    <w:abstractNumId w:val="41"/>
  </w:num>
  <w:num w:numId="17">
    <w:abstractNumId w:val="44"/>
  </w:num>
  <w:num w:numId="18">
    <w:abstractNumId w:val="30"/>
  </w:num>
  <w:num w:numId="19">
    <w:abstractNumId w:val="17"/>
  </w:num>
  <w:num w:numId="20">
    <w:abstractNumId w:val="42"/>
  </w:num>
  <w:num w:numId="21">
    <w:abstractNumId w:val="2"/>
  </w:num>
  <w:num w:numId="22">
    <w:abstractNumId w:val="38"/>
  </w:num>
  <w:num w:numId="23">
    <w:abstractNumId w:val="6"/>
  </w:num>
  <w:num w:numId="24">
    <w:abstractNumId w:val="16"/>
  </w:num>
  <w:num w:numId="25">
    <w:abstractNumId w:val="28"/>
  </w:num>
  <w:num w:numId="26">
    <w:abstractNumId w:val="48"/>
  </w:num>
  <w:num w:numId="27">
    <w:abstractNumId w:val="3"/>
  </w:num>
  <w:num w:numId="28">
    <w:abstractNumId w:val="18"/>
  </w:num>
  <w:num w:numId="29">
    <w:abstractNumId w:val="36"/>
  </w:num>
  <w:num w:numId="30">
    <w:abstractNumId w:val="34"/>
  </w:num>
  <w:num w:numId="31">
    <w:abstractNumId w:val="22"/>
  </w:num>
  <w:num w:numId="32">
    <w:abstractNumId w:val="5"/>
  </w:num>
  <w:num w:numId="33">
    <w:abstractNumId w:val="9"/>
  </w:num>
  <w:num w:numId="34">
    <w:abstractNumId w:val="24"/>
  </w:num>
  <w:num w:numId="35">
    <w:abstractNumId w:val="46"/>
  </w:num>
  <w:num w:numId="36">
    <w:abstractNumId w:val="45"/>
  </w:num>
  <w:num w:numId="37">
    <w:abstractNumId w:val="47"/>
  </w:num>
  <w:num w:numId="38">
    <w:abstractNumId w:val="27"/>
  </w:num>
  <w:num w:numId="39">
    <w:abstractNumId w:val="10"/>
  </w:num>
  <w:num w:numId="40">
    <w:abstractNumId w:val="43"/>
  </w:num>
  <w:num w:numId="41">
    <w:abstractNumId w:val="39"/>
  </w:num>
  <w:num w:numId="42">
    <w:abstractNumId w:val="7"/>
  </w:num>
  <w:num w:numId="43">
    <w:abstractNumId w:val="11"/>
  </w:num>
  <w:num w:numId="44">
    <w:abstractNumId w:val="0"/>
  </w:num>
  <w:num w:numId="45">
    <w:abstractNumId w:val="49"/>
  </w:num>
  <w:num w:numId="46">
    <w:abstractNumId w:val="21"/>
  </w:num>
  <w:num w:numId="47">
    <w:abstractNumId w:val="26"/>
  </w:num>
  <w:num w:numId="48">
    <w:abstractNumId w:val="37"/>
  </w:num>
  <w:num w:numId="49">
    <w:abstractNumId w:val="14"/>
  </w:num>
  <w:num w:numId="50">
    <w:abstractNumId w:val="23"/>
  </w:num>
  <w:num w:numId="5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revisionView w:comments="1" w:formatting="1" w:inkAnnotations="0" w:insDel="1" w:markup="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 w:unhideWhenUsed="0"/>
    <w:lsdException w:name="toc 2" w:uiPriority="39"/>
    <w:lsdException w:name="toc 3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napToGrid w:val="0"/>
      <w:spacing w:before="156" w:beforeLines="50" w:line="440" w:lineRule="exact"/>
      <w:jc w:val="center"/>
      <w:outlineLvl w:val="0"/>
    </w:pPr>
    <w:rPr>
      <w:rFonts w:ascii="华文细黑" w:eastAsia="华文细黑" w:hAnsi="华文细黑"/>
      <w:b/>
      <w:bCs/>
      <w:kern w:val="44"/>
      <w:sz w:val="32"/>
      <w:szCs w:val="32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spacing w:before="260" w:beforeLines="0" w:after="260" w:afterLines="0" w:line="415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link w:val="CharChar10"/>
    <w:uiPriority w:val="9"/>
    <w:qFormat/>
    <w:pPr>
      <w:keepNext/>
      <w:widowControl/>
      <w:tabs>
        <w:tab w:val="left" w:pos="864"/>
      </w:tabs>
      <w:spacing w:before="240" w:beforeLines="0" w:after="60" w:afterLines="0"/>
      <w:ind w:left="864" w:hanging="864"/>
      <w:jc w:val="left"/>
      <w:outlineLvl w:val="3"/>
    </w:pPr>
    <w:rPr>
      <w:rFonts w:ascii="Arial" w:hAnsi="Arial"/>
      <w:b/>
      <w:sz w:val="24"/>
      <w:lang w:eastAsia="en-US"/>
    </w:rPr>
  </w:style>
  <w:style w:type="paragraph" w:styleId="Heading5">
    <w:name w:val="heading 5"/>
    <w:basedOn w:val="Normal"/>
    <w:next w:val="Normal"/>
    <w:link w:val="CharChar9"/>
    <w:uiPriority w:val="9"/>
    <w:qFormat/>
    <w:pPr>
      <w:keepNext/>
      <w:widowControl/>
      <w:tabs>
        <w:tab w:val="left" w:pos="1008"/>
      </w:tabs>
      <w:ind w:left="1008" w:hanging="1008"/>
      <w:jc w:val="center"/>
      <w:outlineLvl w:val="4"/>
    </w:pPr>
    <w:rPr>
      <w:rFonts w:ascii="Arial Narrow" w:hAnsi="Arial Narrow"/>
      <w:b/>
      <w:snapToGrid w:val="0"/>
      <w:color w:val="0000FF"/>
      <w:sz w:val="18"/>
      <w:lang w:eastAsia="en-US"/>
    </w:rPr>
  </w:style>
  <w:style w:type="paragraph" w:styleId="Heading6">
    <w:name w:val="heading 6"/>
    <w:basedOn w:val="Normal"/>
    <w:next w:val="Normal"/>
    <w:link w:val="CharChar8"/>
    <w:uiPriority w:val="9"/>
    <w:qFormat/>
    <w:pPr>
      <w:widowControl/>
      <w:tabs>
        <w:tab w:val="left" w:pos="1152"/>
      </w:tabs>
      <w:spacing w:before="240" w:beforeLines="0" w:after="60" w:afterLines="0"/>
      <w:ind w:left="1152" w:hanging="1152"/>
      <w:jc w:val="left"/>
      <w:outlineLvl w:val="5"/>
    </w:pPr>
    <w:rPr>
      <w:i/>
      <w:sz w:val="22"/>
      <w:lang w:eastAsia="en-US"/>
    </w:rPr>
  </w:style>
  <w:style w:type="paragraph" w:styleId="Heading7">
    <w:name w:val="heading 7"/>
    <w:basedOn w:val="Normal"/>
    <w:next w:val="Normal"/>
    <w:link w:val="CharChar7"/>
    <w:uiPriority w:val="9"/>
    <w:qFormat/>
    <w:pPr>
      <w:widowControl/>
      <w:tabs>
        <w:tab w:val="left" w:pos="1296"/>
      </w:tabs>
      <w:spacing w:before="240" w:beforeLines="0" w:after="60" w:afterLines="0"/>
      <w:ind w:left="1296" w:hanging="1296"/>
      <w:jc w:val="left"/>
      <w:outlineLvl w:val="6"/>
    </w:pPr>
    <w:rPr>
      <w:rFonts w:ascii="Arial" w:hAnsi="Arial"/>
      <w:lang w:eastAsia="en-US"/>
    </w:rPr>
  </w:style>
  <w:style w:type="paragraph" w:styleId="Heading8">
    <w:name w:val="heading 8"/>
    <w:basedOn w:val="Normal"/>
    <w:next w:val="Normal"/>
    <w:link w:val="CharChar6"/>
    <w:uiPriority w:val="9"/>
    <w:qFormat/>
    <w:pPr>
      <w:widowControl/>
      <w:tabs>
        <w:tab w:val="left" w:pos="1440"/>
      </w:tabs>
      <w:spacing w:before="240" w:beforeLines="0" w:after="60" w:afterLines="0"/>
      <w:ind w:left="1440" w:hanging="1440"/>
      <w:jc w:val="left"/>
      <w:outlineLvl w:val="7"/>
    </w:pPr>
    <w:rPr>
      <w:rFonts w:ascii="Arial" w:hAnsi="Arial"/>
      <w:i/>
      <w:lang w:eastAsia="en-US"/>
    </w:rPr>
  </w:style>
  <w:style w:type="paragraph" w:styleId="Heading9">
    <w:name w:val="heading 9"/>
    <w:basedOn w:val="Normal"/>
    <w:next w:val="Normal"/>
    <w:link w:val="CharChar5"/>
    <w:uiPriority w:val="9"/>
    <w:qFormat/>
    <w:pPr>
      <w:widowControl/>
      <w:tabs>
        <w:tab w:val="left" w:pos="1584"/>
      </w:tabs>
      <w:spacing w:before="240" w:beforeLines="0" w:after="60" w:afterLines="0"/>
      <w:ind w:left="1584" w:hanging="1584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3">
    <w:name w:val=" Char Char3"/>
    <w:basedOn w:val="DefaultParagraphFont"/>
    <w:link w:val="BodyTextIndent"/>
    <w:rPr>
      <w:rFonts w:ascii="宋体"/>
      <w:kern w:val="2"/>
      <w:sz w:val="24"/>
      <w:szCs w:val="24"/>
    </w:rPr>
  </w:style>
  <w:style w:type="character" w:customStyle="1" w:styleId="CharChar7">
    <w:name w:val=" Char Char7"/>
    <w:basedOn w:val="DefaultParagraphFont"/>
    <w:link w:val="Heading7"/>
    <w:rPr>
      <w:rFonts w:ascii="Arial" w:hAnsi="Arial"/>
      <w:lang w:eastAsia="en-US"/>
    </w:rPr>
  </w:style>
  <w:style w:type="character" w:styleId="PageNumber">
    <w:name w:val="page number"/>
    <w:basedOn w:val="DefaultParagraphFont"/>
  </w:style>
  <w:style w:type="character" w:customStyle="1" w:styleId="CharChar10">
    <w:name w:val=" Char Char10"/>
    <w:basedOn w:val="DefaultParagraphFont"/>
    <w:link w:val="Heading4"/>
    <w:rPr>
      <w:rFonts w:ascii="Arial" w:hAnsi="Arial"/>
      <w:b/>
      <w:sz w:val="24"/>
      <w:lang w:eastAsia="en-US"/>
    </w:rPr>
  </w:style>
  <w:style w:type="character" w:customStyle="1" w:styleId="CharChar9">
    <w:name w:val=" Char Char9"/>
    <w:basedOn w:val="DefaultParagraphFont"/>
    <w:link w:val="Heading5"/>
    <w:rPr>
      <w:rFonts w:ascii="Arial Narrow" w:hAnsi="Arial Narrow"/>
      <w:b/>
      <w:snapToGrid w:val="0"/>
      <w:color w:val="0000FF"/>
      <w:sz w:val="18"/>
      <w:lang w:eastAsia="en-US"/>
    </w:rPr>
  </w:style>
  <w:style w:type="character" w:customStyle="1" w:styleId="CharChar6">
    <w:name w:val=" Char Char6"/>
    <w:basedOn w:val="DefaultParagraphFont"/>
    <w:link w:val="Heading8"/>
    <w:rPr>
      <w:rFonts w:ascii="Arial" w:hAnsi="Arial"/>
      <w:i/>
      <w:lang w:eastAsia="en-US"/>
    </w:rPr>
  </w:style>
  <w:style w:type="character" w:customStyle="1" w:styleId="CharChar5">
    <w:name w:val=" Char Char5"/>
    <w:basedOn w:val="DefaultParagraphFont"/>
    <w:link w:val="Heading9"/>
    <w:rPr>
      <w:rFonts w:ascii="Arial" w:hAnsi="Arial"/>
      <w:b/>
      <w:i/>
      <w:sz w:val="18"/>
      <w:lang w:eastAsia="en-US"/>
    </w:rPr>
  </w:style>
  <w:style w:type="character" w:customStyle="1" w:styleId="CharChar1">
    <w:name w:val=" Char Char1"/>
    <w:basedOn w:val="DefaultParagraphFont"/>
    <w:link w:val="CommentText"/>
    <w:rPr>
      <w:kern w:val="2"/>
      <w:sz w:val="21"/>
      <w:szCs w:val="24"/>
    </w:rPr>
  </w:style>
  <w:style w:type="character" w:customStyle="1" w:styleId="CharChar8">
    <w:name w:val=" Char Char8"/>
    <w:basedOn w:val="DefaultParagraphFont"/>
    <w:link w:val="Heading6"/>
    <w:rPr>
      <w:i/>
      <w:sz w:val="22"/>
      <w:lang w:eastAsia="en-US"/>
    </w:rPr>
  </w:style>
  <w:style w:type="character" w:customStyle="1" w:styleId="CharChar">
    <w:name w:val=" Char Char"/>
    <w:basedOn w:val="CharChar1"/>
    <w:link w:val="CommentSubject"/>
    <w:rPr>
      <w:b/>
      <w:bCs/>
    </w:rPr>
  </w:style>
  <w:style w:type="character" w:styleId="CommentReference">
    <w:name w:val="annotation reference"/>
    <w:basedOn w:val="DefaultParagraphFont"/>
    <w:rPr>
      <w:sz w:val="21"/>
      <w:szCs w:val="21"/>
    </w:rPr>
  </w:style>
  <w:style w:type="character" w:customStyle="1" w:styleId="CharChar2">
    <w:name w:val=" Char Char2"/>
    <w:basedOn w:val="DefaultParagraphFont"/>
    <w:link w:val="BalloonText"/>
    <w:rPr>
      <w:kern w:val="2"/>
      <w:sz w:val="18"/>
      <w:szCs w:val="18"/>
    </w:rPr>
  </w:style>
  <w:style w:type="character" w:customStyle="1" w:styleId="CharChar4">
    <w:name w:val=" Char Char4"/>
    <w:basedOn w:val="DefaultParagraphFont"/>
    <w:link w:val="Footer"/>
    <w:rPr>
      <w:kern w:val="2"/>
      <w:sz w:val="18"/>
      <w:szCs w:val="18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DocumentMap">
    <w:name w:val="Document Map"/>
    <w:basedOn w:val="Normal"/>
    <w:pPr>
      <w:shd w:val="clear" w:color="auto" w:fill="00008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TOC1">
    <w:name w:val="toc 1"/>
    <w:basedOn w:val="Normal"/>
    <w:next w:val="Normal"/>
    <w:uiPriority w:val="39"/>
  </w:style>
  <w:style w:type="paragraph" w:customStyle="1" w:styleId="a">
    <w:name w:val="修订"/>
    <w:rPr>
      <w:kern w:val="2"/>
      <w:sz w:val="21"/>
      <w:szCs w:val="24"/>
      <w:lang w:val="en-US" w:eastAsia="zh-CN" w:bidi="ar-SA"/>
    </w:rPr>
  </w:style>
  <w:style w:type="paragraph" w:customStyle="1" w:styleId="p0">
    <w:name w:val="p0"/>
    <w:basedOn w:val="Normal"/>
    <w:pPr>
      <w:widowControl/>
    </w:pPr>
    <w:rPr>
      <w:kern w:val="0"/>
      <w:szCs w:val="21"/>
    </w:rPr>
  </w:style>
  <w:style w:type="paragraph" w:customStyle="1" w:styleId="Char">
    <w:name w:val=" Char"/>
    <w:basedOn w:val="Normal"/>
    <w:pPr>
      <w:widowControl/>
      <w:spacing w:after="160" w:afterLines="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BodyTextIndent">
    <w:name w:val="Body Text Indent"/>
    <w:basedOn w:val="Normal"/>
    <w:link w:val="CharChar3"/>
    <w:pPr>
      <w:spacing w:line="360" w:lineRule="auto"/>
    </w:pPr>
    <w:rPr>
      <w:rFonts w:ascii="宋体"/>
      <w:kern w:val="2"/>
      <w:sz w:val="24"/>
      <w:szCs w:val="24"/>
    </w:rPr>
  </w:style>
  <w:style w:type="paragraph" w:styleId="BalloonText">
    <w:name w:val="Balloon Text"/>
    <w:basedOn w:val="Normal"/>
    <w:link w:val="CharChar2"/>
    <w:rPr>
      <w:kern w:val="2"/>
      <w:sz w:val="18"/>
      <w:szCs w:val="18"/>
    </w:rPr>
  </w:style>
  <w:style w:type="paragraph" w:styleId="CommentText">
    <w:name w:val="annotation text"/>
    <w:basedOn w:val="Normal"/>
    <w:link w:val="CharChar1"/>
    <w:pPr>
      <w:jc w:val="left"/>
    </w:pPr>
    <w:rPr>
      <w:kern w:val="2"/>
      <w:sz w:val="21"/>
      <w:szCs w:val="24"/>
    </w:rPr>
  </w:style>
  <w:style w:type="paragraph" w:customStyle="1" w:styleId="TOC">
    <w:name w:val="TOC 标题"/>
    <w:basedOn w:val="Heading1"/>
    <w:next w:val="Normal"/>
    <w:pPr>
      <w:widowControl/>
      <w:spacing w:before="480" w:beforeLines="0" w:after="0" w:afterLines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styleId="CommentSubject">
    <w:name w:val="annotation subject"/>
    <w:basedOn w:val="CommentText"/>
    <w:next w:val="CommentText"/>
    <w:link w:val="CharChar"/>
    <w:rPr>
      <w:b/>
      <w:bCs/>
    </w:rPr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link w:val="CharChar4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emf" /><Relationship Id="rId5" Type="http://schemas.openxmlformats.org/officeDocument/2006/relationships/oleObject" Target="embeddings/oleObject1.vsd" /><Relationship Id="rId6" Type="http://schemas.openxmlformats.org/officeDocument/2006/relationships/hyperlink" Target="https://d.book118.com/14811607306000603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1595</Words>
  <Characters>9093</Characters>
  <Application>Microsoft Office Word</Application>
  <DocSecurity>0</DocSecurity>
  <Lines>75</Lines>
  <Paragraphs>21</Paragraphs>
  <ScaleCrop>false</ScaleCrop>
  <Company/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岗位职责</dc:title>
  <cp:lastModifiedBy>Andre.W</cp:lastModifiedBy>
  <cp:revision>600</cp:revision>
  <cp:lastPrinted>1899-12-30T00:00:00Z</cp:lastPrinted>
  <dcterms:created xsi:type="dcterms:W3CDTF">2010-02-24T01:52:00Z</dcterms:created>
  <dcterms:modified xsi:type="dcterms:W3CDTF">2010-11-10T03:41:00Z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2052-6.6.0.2461</vt:lpwstr>
  </property>
</Properties>
</file>