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0"/>
        <w:rPr>
          <w:rFonts w:ascii="Times New Roman"/>
          <w:sz w:val="23"/>
        </w:rPr>
      </w:pPr>
    </w:p>
    <w:p>
      <w:pPr>
        <w:spacing w:before="42"/>
        <w:ind w:left="0" w:right="417" w:firstLine="0"/>
        <w:jc w:val="right"/>
        <w:rPr>
          <w:rFonts w:ascii="黑体" w:eastAsia="黑体" w:hAnsi="黑体" w:hint="eastAsia"/>
          <w:sz w:val="42"/>
        </w:rPr>
      </w:pPr>
      <w:r>
        <w:rPr>
          <w:rFonts w:ascii="黑体" w:eastAsia="黑体" w:hAnsi="黑体" w:hint="eastAsia"/>
          <w:sz w:val="42"/>
        </w:rPr>
        <w:t>★机密</w:t>
      </w:r>
    </w:p>
    <w:p>
      <w:pPr>
        <w:pStyle w:val="BodyText"/>
        <w:rPr>
          <w:rFonts w:ascii="黑体"/>
          <w:sz w:val="42"/>
        </w:rPr>
      </w:pPr>
    </w:p>
    <w:p>
      <w:pPr>
        <w:pStyle w:val="BodyText"/>
        <w:rPr>
          <w:rFonts w:ascii="黑体"/>
          <w:sz w:val="42"/>
        </w:rPr>
      </w:pPr>
    </w:p>
    <w:p>
      <w:pPr>
        <w:pStyle w:val="BodyText"/>
        <w:rPr>
          <w:rFonts w:ascii="黑体"/>
          <w:sz w:val="42"/>
        </w:rPr>
      </w:pPr>
    </w:p>
    <w:p>
      <w:pPr>
        <w:pStyle w:val="BodyText"/>
        <w:rPr>
          <w:rFonts w:ascii="黑体"/>
          <w:sz w:val="42"/>
        </w:rPr>
      </w:pPr>
    </w:p>
    <w:p>
      <w:pPr>
        <w:pStyle w:val="BodyText"/>
        <w:rPr>
          <w:rFonts w:ascii="黑体"/>
          <w:sz w:val="42"/>
        </w:rPr>
      </w:pPr>
    </w:p>
    <w:p>
      <w:pPr>
        <w:pStyle w:val="BodyText"/>
        <w:rPr>
          <w:rFonts w:ascii="黑体"/>
          <w:sz w:val="42"/>
        </w:rPr>
      </w:pPr>
    </w:p>
    <w:p>
      <w:pPr>
        <w:pStyle w:val="BodyText"/>
        <w:rPr>
          <w:rFonts w:ascii="黑体"/>
          <w:sz w:val="42"/>
        </w:rPr>
      </w:pPr>
    </w:p>
    <w:p>
      <w:pPr>
        <w:pStyle w:val="BodyText"/>
        <w:rPr>
          <w:rFonts w:ascii="黑体"/>
          <w:sz w:val="42"/>
        </w:rPr>
      </w:pPr>
    </w:p>
    <w:p>
      <w:pPr>
        <w:pStyle w:val="BodyText"/>
        <w:rPr>
          <w:rFonts w:ascii="黑体"/>
          <w:sz w:val="42"/>
        </w:rPr>
      </w:pPr>
    </w:p>
    <w:p>
      <w:pPr>
        <w:pStyle w:val="BodyText"/>
        <w:rPr>
          <w:rFonts w:ascii="黑体"/>
          <w:sz w:val="42"/>
        </w:rPr>
      </w:pPr>
    </w:p>
    <w:p>
      <w:pPr>
        <w:pStyle w:val="BodyText"/>
        <w:rPr>
          <w:rFonts w:ascii="黑体"/>
          <w:sz w:val="42"/>
        </w:rPr>
      </w:pPr>
    </w:p>
    <w:p>
      <w:pPr>
        <w:spacing w:before="349"/>
        <w:ind w:left="0" w:right="323" w:firstLine="0"/>
        <w:jc w:val="center"/>
        <w:rPr>
          <w:rFonts w:ascii="黑体" w:eastAsia="黑体" w:hint="eastAsia"/>
          <w:sz w:val="72"/>
        </w:rPr>
      </w:pPr>
      <w:r>
        <w:rPr>
          <w:rFonts w:ascii="黑体" w:eastAsia="黑体" w:hint="eastAsia"/>
          <w:sz w:val="72"/>
        </w:rPr>
        <w:t>中建三局第一建设工程有限责任公司</w:t>
      </w:r>
    </w:p>
    <w:p>
      <w:pPr>
        <w:pStyle w:val="Title"/>
      </w:pPr>
      <w:r>
        <w:t>项目绩效管理办法</w:t>
      </w:r>
    </w:p>
    <w:p>
      <w:pPr>
        <w:pStyle w:val="BodyText"/>
        <w:rPr>
          <w:rFonts w:ascii="黑体"/>
          <w:sz w:val="78"/>
        </w:rPr>
      </w:pPr>
    </w:p>
    <w:p>
      <w:pPr>
        <w:pStyle w:val="BodyText"/>
        <w:rPr>
          <w:rFonts w:ascii="黑体"/>
          <w:sz w:val="78"/>
        </w:rPr>
      </w:pPr>
    </w:p>
    <w:p>
      <w:pPr>
        <w:pStyle w:val="BodyText"/>
        <w:rPr>
          <w:rFonts w:ascii="黑体"/>
          <w:sz w:val="78"/>
        </w:rPr>
      </w:pPr>
    </w:p>
    <w:p>
      <w:pPr>
        <w:pStyle w:val="BodyText"/>
        <w:rPr>
          <w:rFonts w:ascii="黑体"/>
          <w:sz w:val="78"/>
        </w:rPr>
      </w:pPr>
    </w:p>
    <w:p>
      <w:pPr>
        <w:pStyle w:val="BodyText"/>
        <w:rPr>
          <w:rFonts w:ascii="黑体"/>
          <w:sz w:val="78"/>
        </w:rPr>
      </w:pPr>
    </w:p>
    <w:p>
      <w:pPr>
        <w:pStyle w:val="BodyText"/>
        <w:rPr>
          <w:rFonts w:ascii="黑体"/>
          <w:sz w:val="78"/>
        </w:rPr>
      </w:pPr>
    </w:p>
    <w:p>
      <w:pPr>
        <w:pStyle w:val="BodyText"/>
        <w:spacing w:before="3"/>
        <w:rPr>
          <w:rFonts w:ascii="黑体"/>
          <w:sz w:val="77"/>
        </w:rPr>
      </w:pPr>
    </w:p>
    <w:p>
      <w:pPr>
        <w:spacing w:before="0"/>
        <w:ind w:left="0" w:right="332" w:firstLine="0"/>
        <w:jc w:val="center"/>
        <w:rPr>
          <w:rFonts w:ascii="宋体" w:eastAsia="宋体" w:hint="eastAsia"/>
          <w:b/>
          <w:sz w:val="45"/>
        </w:rPr>
      </w:pPr>
      <w:r>
        <w:rPr>
          <w:rFonts w:ascii="宋体" w:eastAsia="宋体" w:hint="eastAsia"/>
          <w:b/>
          <w:sz w:val="45"/>
        </w:rPr>
        <w:t>二零一四年八月</w:t>
      </w:r>
    </w:p>
    <w:p>
      <w:pPr>
        <w:spacing w:after="0"/>
        <w:jc w:val="center"/>
        <w:rPr>
          <w:rFonts w:ascii="宋体" w:eastAsia="宋体" w:hint="eastAsia"/>
          <w:sz w:val="45"/>
        </w:rPr>
        <w:sectPr>
          <w:type w:val="continuous"/>
          <w:pgSz w:w="17860" w:h="25260"/>
          <w:pgMar w:top="2420" w:right="1820" w:bottom="280" w:left="2280" w:header="708" w:footer="708"/>
          <w:cols w:space="708"/>
        </w:sectPr>
      </w:pPr>
    </w:p>
    <w:p>
      <w:pPr>
        <w:pStyle w:val="BodyText"/>
        <w:spacing w:before="11"/>
        <w:rPr>
          <w:rFonts w:ascii="宋体"/>
          <w:b/>
          <w:sz w:val="19"/>
        </w:rPr>
      </w:pPr>
    </w:p>
    <w:p>
      <w:pPr>
        <w:pStyle w:val="Heading1"/>
        <w:spacing w:line="858" w:lineRule="exact"/>
        <w:ind w:left="0" w:right="323"/>
        <w:jc w:val="center"/>
      </w:pPr>
      <w:r>
        <w:t>目录</w:t>
      </w:r>
    </w:p>
    <w:p>
      <w:pPr>
        <w:spacing w:after="0" w:line="858" w:lineRule="exact"/>
        <w:jc w:val="center"/>
        <w:sectPr>
          <w:footerReference w:type="even" r:id="rId5"/>
          <w:footerReference w:type="default" r:id="rId6"/>
          <w:pgSz w:w="17860" w:h="25260"/>
          <w:pgMar w:top="2420" w:right="1820" w:bottom="1753" w:left="2280" w:header="0" w:footer="2157"/>
          <w:pgNumType w:start="2"/>
          <w:cols w:space="708"/>
        </w:sectPr>
      </w:pPr>
    </w:p>
    <w:sdt>
      <w:sdtPr>
        <w:id w:val="1388915545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13356"/>
            </w:tabs>
            <w:spacing w:before="432"/>
          </w:pPr>
          <w:hyperlink w:anchor="_TOC_250038" w:history="1">
            <w:r>
              <w:t>第一章</w:t>
            </w:r>
            <w:r>
              <w:rPr>
                <w:spacing w:val="72"/>
              </w:rPr>
              <w:t xml:space="preserve"> </w:t>
            </w:r>
            <w:r>
              <w:t>总则</w:t>
              <w:tab/>
              <w:t>1</w:t>
            </w:r>
          </w:hyperlink>
        </w:p>
        <w:p>
          <w:pPr>
            <w:pStyle w:val="TOC2"/>
            <w:tabs>
              <w:tab w:val="right" w:leader="dot" w:pos="13356"/>
            </w:tabs>
            <w:spacing w:before="237"/>
          </w:pPr>
          <w:hyperlink w:anchor="_TOC_250037" w:history="1">
            <w:r>
              <w:t>第一条</w:t>
            </w:r>
            <w:r>
              <w:rPr>
                <w:spacing w:val="72"/>
              </w:rPr>
              <w:t xml:space="preserve"> </w:t>
            </w:r>
            <w:r>
              <w:t>绩效管理的目的</w:t>
              <w:tab/>
              <w:t>1</w:t>
            </w:r>
          </w:hyperlink>
        </w:p>
        <w:p>
          <w:pPr>
            <w:pStyle w:val="TOC2"/>
            <w:tabs>
              <w:tab w:val="right" w:leader="dot" w:pos="13356"/>
            </w:tabs>
          </w:pPr>
          <w:hyperlink w:anchor="_TOC_250036" w:history="1">
            <w:r>
              <w:t>第二条</w:t>
            </w:r>
            <w:r>
              <w:rPr>
                <w:spacing w:val="72"/>
              </w:rPr>
              <w:t xml:space="preserve"> </w:t>
            </w:r>
            <w:r>
              <w:t>绩效管理的原则</w:t>
              <w:tab/>
              <w:t>1</w:t>
            </w:r>
          </w:hyperlink>
        </w:p>
        <w:p>
          <w:pPr>
            <w:pStyle w:val="TOC2"/>
            <w:tabs>
              <w:tab w:val="right" w:leader="dot" w:pos="13356"/>
            </w:tabs>
            <w:spacing w:before="57"/>
          </w:pPr>
          <w:hyperlink w:anchor="_TOC_250035" w:history="1">
            <w:r>
              <w:t>第三条</w:t>
            </w:r>
            <w:r>
              <w:rPr>
                <w:spacing w:val="72"/>
              </w:rPr>
              <w:t xml:space="preserve"> </w:t>
            </w:r>
            <w:r>
              <w:t>绩效方案适用范围</w:t>
              <w:tab/>
              <w:t>2</w:t>
            </w:r>
          </w:hyperlink>
        </w:p>
        <w:p>
          <w:pPr>
            <w:pStyle w:val="TOC1"/>
            <w:tabs>
              <w:tab w:val="left" w:pos="1543"/>
              <w:tab w:val="right" w:leader="dot" w:pos="13356"/>
            </w:tabs>
          </w:pPr>
          <w:hyperlink w:anchor="_TOC_250034" w:history="1">
            <w:r>
              <w:t>第二章</w:t>
              <w:tab/>
              <w:t>绩效考核指标与考核量表</w:t>
              <w:tab/>
              <w:t>3</w:t>
            </w:r>
          </w:hyperlink>
        </w:p>
        <w:p>
          <w:pPr>
            <w:pStyle w:val="TOC2"/>
            <w:tabs>
              <w:tab w:val="right" w:leader="dot" w:pos="13356"/>
            </w:tabs>
            <w:spacing w:before="236"/>
          </w:pPr>
          <w:hyperlink w:anchor="_TOC_250033" w:history="1">
            <w:r>
              <w:t>第四条</w:t>
            </w:r>
            <w:r>
              <w:rPr>
                <w:spacing w:val="72"/>
              </w:rPr>
              <w:t xml:space="preserve"> </w:t>
            </w:r>
            <w:r>
              <w:t>绩效考核指标制定原则</w:t>
              <w:tab/>
              <w:t>3</w:t>
            </w:r>
          </w:hyperlink>
        </w:p>
        <w:p>
          <w:pPr>
            <w:pStyle w:val="TOC2"/>
            <w:tabs>
              <w:tab w:val="right" w:leader="dot" w:pos="13356"/>
            </w:tabs>
            <w:spacing w:before="57"/>
          </w:pPr>
          <w:hyperlink w:anchor="_TOC_250032" w:history="1">
            <w:r>
              <w:t>第五条</w:t>
            </w:r>
            <w:r>
              <w:rPr>
                <w:spacing w:val="72"/>
              </w:rPr>
              <w:t xml:space="preserve"> </w:t>
            </w:r>
            <w:r>
              <w:t>指标库来源</w:t>
              <w:tab/>
              <w:t>3</w:t>
            </w:r>
          </w:hyperlink>
        </w:p>
        <w:p>
          <w:pPr>
            <w:pStyle w:val="TOC2"/>
            <w:tabs>
              <w:tab w:val="right" w:leader="dot" w:pos="13356"/>
            </w:tabs>
          </w:pPr>
          <w:hyperlink w:anchor="_TOC_250031" w:history="1">
            <w:r>
              <w:t>第六条</w:t>
            </w:r>
            <w:r>
              <w:rPr>
                <w:spacing w:val="72"/>
              </w:rPr>
              <w:t xml:space="preserve"> </w:t>
            </w:r>
            <w:r>
              <w:t>指标类别</w:t>
              <w:tab/>
              <w:t>3</w:t>
            </w:r>
          </w:hyperlink>
        </w:p>
        <w:p>
          <w:pPr>
            <w:pStyle w:val="TOC2"/>
            <w:tabs>
              <w:tab w:val="right" w:leader="dot" w:pos="13356"/>
            </w:tabs>
            <w:spacing w:before="57"/>
          </w:pPr>
          <w:hyperlink w:anchor="_TOC_250030" w:history="1">
            <w:r>
              <w:t>第七条</w:t>
            </w:r>
            <w:r>
              <w:rPr>
                <w:spacing w:val="72"/>
              </w:rPr>
              <w:t xml:space="preserve"> </w:t>
            </w:r>
            <w:r>
              <w:t>定量指标与定量指标库</w:t>
              <w:tab/>
              <w:t>4</w:t>
            </w:r>
          </w:hyperlink>
        </w:p>
        <w:p>
          <w:pPr>
            <w:pStyle w:val="TOC2"/>
            <w:tabs>
              <w:tab w:val="right" w:leader="dot" w:pos="13356"/>
            </w:tabs>
          </w:pPr>
          <w:r>
            <w:t>第八条</w:t>
          </w:r>
          <w:r>
            <w:rPr>
              <w:spacing w:val="72"/>
            </w:rPr>
            <w:t xml:space="preserve"> </w:t>
          </w:r>
          <w:r>
            <w:t>项目考核量表的制订</w:t>
            <w:tab/>
            <w:t>5</w:t>
          </w:r>
        </w:p>
        <w:p>
          <w:pPr>
            <w:pStyle w:val="TOC1"/>
            <w:tabs>
              <w:tab w:val="left" w:pos="1543"/>
              <w:tab w:val="right" w:leader="dot" w:pos="13356"/>
            </w:tabs>
            <w:spacing w:before="236"/>
          </w:pPr>
          <w:hyperlink w:anchor="_TOC_250029" w:history="1">
            <w:r>
              <w:t>第三章</w:t>
              <w:tab/>
              <w:t>考核主体与考核周期</w:t>
              <w:tab/>
              <w:t>7</w:t>
            </w:r>
          </w:hyperlink>
        </w:p>
        <w:p>
          <w:pPr>
            <w:pStyle w:val="TOC2"/>
            <w:tabs>
              <w:tab w:val="right" w:leader="dot" w:pos="13356"/>
            </w:tabs>
            <w:spacing w:before="237"/>
          </w:pPr>
          <w:hyperlink w:anchor="_TOC_250028" w:history="1">
            <w:r>
              <w:t>第九条</w:t>
            </w:r>
            <w:r>
              <w:rPr>
                <w:spacing w:val="72"/>
              </w:rPr>
              <w:t xml:space="preserve"> </w:t>
            </w:r>
            <w:r>
              <w:t>考核主体</w:t>
              <w:tab/>
              <w:t>7</w:t>
            </w:r>
          </w:hyperlink>
        </w:p>
        <w:p>
          <w:pPr>
            <w:pStyle w:val="TOC2"/>
            <w:tabs>
              <w:tab w:val="right" w:leader="dot" w:pos="13356"/>
            </w:tabs>
            <w:spacing w:before="57"/>
          </w:pPr>
          <w:hyperlink w:anchor="_TOC_250027" w:history="1">
            <w:r>
              <w:t>第十条</w:t>
            </w:r>
            <w:r>
              <w:rPr>
                <w:spacing w:val="72"/>
              </w:rPr>
              <w:t xml:space="preserve"> </w:t>
            </w:r>
            <w:r>
              <w:t>考核周期</w:t>
              <w:tab/>
              <w:t>7</w:t>
            </w:r>
          </w:hyperlink>
        </w:p>
        <w:p>
          <w:pPr>
            <w:pStyle w:val="TOC1"/>
            <w:tabs>
              <w:tab w:val="left" w:pos="1543"/>
              <w:tab w:val="right" w:leader="dot" w:pos="13356"/>
            </w:tabs>
            <w:spacing w:before="236"/>
          </w:pPr>
          <w:hyperlink w:anchor="_TOC_250026" w:history="1">
            <w:r>
              <w:t>第四章</w:t>
              <w:tab/>
              <w:t>考核过程监督</w:t>
              <w:tab/>
              <w:t>9</w:t>
            </w:r>
          </w:hyperlink>
        </w:p>
        <w:p>
          <w:pPr>
            <w:pStyle w:val="TOC2"/>
            <w:tabs>
              <w:tab w:val="right" w:leader="dot" w:pos="13356"/>
            </w:tabs>
            <w:spacing w:before="237"/>
          </w:pPr>
          <w:hyperlink w:anchor="_TOC_250025" w:history="1">
            <w:r>
              <w:t>第十一条</w:t>
            </w:r>
            <w:r>
              <w:rPr>
                <w:spacing w:val="26"/>
              </w:rPr>
              <w:t xml:space="preserve"> </w:t>
            </w:r>
            <w:r>
              <w:t>项目自查</w:t>
              <w:tab/>
              <w:t>9</w:t>
            </w:r>
          </w:hyperlink>
        </w:p>
        <w:p>
          <w:pPr>
            <w:pStyle w:val="TOC2"/>
            <w:tabs>
              <w:tab w:val="right" w:leader="dot" w:pos="13356"/>
            </w:tabs>
          </w:pPr>
          <w:hyperlink w:anchor="_TOC_250024" w:history="1">
            <w:r>
              <w:t>第十二条</w:t>
            </w:r>
            <w:r>
              <w:rPr>
                <w:spacing w:val="26"/>
              </w:rPr>
              <w:t xml:space="preserve"> </w:t>
            </w:r>
            <w:r>
              <w:t>分公司复查</w:t>
              <w:tab/>
              <w:t>9</w:t>
            </w:r>
          </w:hyperlink>
        </w:p>
        <w:p>
          <w:pPr>
            <w:pStyle w:val="TOC1"/>
            <w:tabs>
              <w:tab w:val="left" w:pos="1543"/>
              <w:tab w:val="right" w:leader="dot" w:pos="13360"/>
            </w:tabs>
          </w:pPr>
          <w:hyperlink w:anchor="_TOC_250023" w:history="1">
            <w:r>
              <w:t>第五章</w:t>
              <w:tab/>
              <w:t>绩效考核奖励方案</w:t>
              <w:tab/>
              <w:t>11</w:t>
            </w:r>
          </w:hyperlink>
        </w:p>
        <w:p>
          <w:pPr>
            <w:pStyle w:val="TOC2"/>
            <w:tabs>
              <w:tab w:val="right" w:leader="dot" w:pos="13360"/>
            </w:tabs>
            <w:spacing w:before="236"/>
          </w:pPr>
          <w:hyperlink w:anchor="_TOC_250022" w:history="1">
            <w:r>
              <w:t>第十三条</w:t>
            </w:r>
            <w:r>
              <w:rPr>
                <w:spacing w:val="26"/>
              </w:rPr>
              <w:t xml:space="preserve"> </w:t>
            </w:r>
            <w:r>
              <w:t>绩效考核成绩</w:t>
              <w:tab/>
              <w:t>11</w:t>
            </w:r>
          </w:hyperlink>
        </w:p>
        <w:p>
          <w:pPr>
            <w:pStyle w:val="TOC2"/>
            <w:tabs>
              <w:tab w:val="right" w:leader="dot" w:pos="13360"/>
            </w:tabs>
            <w:spacing w:before="57"/>
          </w:pPr>
          <w:hyperlink w:anchor="_TOC_250021" w:history="1">
            <w:r>
              <w:t>第十四条</w:t>
            </w:r>
            <w:r>
              <w:rPr>
                <w:spacing w:val="26"/>
              </w:rPr>
              <w:t xml:space="preserve"> </w:t>
            </w:r>
            <w:r>
              <w:t>绩效奖励发放</w:t>
              <w:tab/>
              <w:t>11</w:t>
            </w:r>
          </w:hyperlink>
        </w:p>
        <w:p>
          <w:pPr>
            <w:pStyle w:val="TOC2"/>
            <w:tabs>
              <w:tab w:val="right" w:leader="dot" w:pos="13360"/>
            </w:tabs>
            <w:spacing w:before="57"/>
          </w:pPr>
          <w:hyperlink w:anchor="_TOC_250020" w:history="1">
            <w:r>
              <w:t>第十五条</w:t>
            </w:r>
            <w:r>
              <w:rPr>
                <w:spacing w:val="26"/>
              </w:rPr>
              <w:t xml:space="preserve"> </w:t>
            </w:r>
            <w:r>
              <w:t>绩效奖励额度</w:t>
              <w:tab/>
              <w:t>11</w:t>
            </w:r>
          </w:hyperlink>
        </w:p>
        <w:p>
          <w:pPr>
            <w:pStyle w:val="TOC2"/>
            <w:tabs>
              <w:tab w:val="right" w:leader="dot" w:pos="13360"/>
            </w:tabs>
          </w:pPr>
          <w:hyperlink w:anchor="_TOC_250019" w:history="1">
            <w:r>
              <w:t>第十六条</w:t>
            </w:r>
            <w:r>
              <w:rPr>
                <w:spacing w:val="26"/>
              </w:rPr>
              <w:t xml:space="preserve"> </w:t>
            </w:r>
            <w:r>
              <w:t>绩效奖励方案</w:t>
              <w:tab/>
              <w:t>12</w:t>
            </w:r>
          </w:hyperlink>
        </w:p>
        <w:p>
          <w:pPr>
            <w:pStyle w:val="TOC2"/>
            <w:tabs>
              <w:tab w:val="right" w:leader="dot" w:pos="13360"/>
            </w:tabs>
            <w:spacing w:before="57" w:after="240"/>
          </w:pPr>
          <w:hyperlink w:anchor="_TOC_250018" w:history="1">
            <w:r>
              <w:t>第十七条</w:t>
            </w:r>
            <w:r>
              <w:rPr>
                <w:spacing w:val="26"/>
              </w:rPr>
              <w:t xml:space="preserve"> </w:t>
            </w:r>
            <w:r>
              <w:t>休假期间的绩效奖励</w:t>
              <w:tab/>
              <w:t>12</w:t>
            </w:r>
          </w:hyperlink>
        </w:p>
        <w:p>
          <w:pPr>
            <w:pStyle w:val="TOC2"/>
            <w:tabs>
              <w:tab w:val="right" w:leader="dot" w:pos="13360"/>
            </w:tabs>
            <w:spacing w:before="429"/>
          </w:pPr>
          <w:hyperlink w:anchor="_TOC_250017" w:history="1">
            <w:r>
              <w:t>第十八条</w:t>
            </w:r>
            <w:r>
              <w:rPr>
                <w:spacing w:val="26"/>
              </w:rPr>
              <w:t xml:space="preserve"> </w:t>
            </w:r>
            <w:r>
              <w:t>调动期间的绩效奖励</w:t>
              <w:tab/>
              <w:t>13</w:t>
            </w:r>
          </w:hyperlink>
        </w:p>
        <w:p>
          <w:pPr>
            <w:pStyle w:val="TOC1"/>
            <w:tabs>
              <w:tab w:val="left" w:pos="1543"/>
              <w:tab w:val="right" w:leader="dot" w:pos="13360"/>
            </w:tabs>
            <w:sectPr>
              <w:footerReference w:type="even" r:id="rId7"/>
              <w:footerReference w:type="default" r:id="rId8"/>
              <w:type w:val="continuous"/>
              <w:pgSz w:w="17860" w:h="25260"/>
              <w:pgMar w:top="2440" w:right="1820" w:bottom="1753" w:left="2280" w:header="708" w:footer="708"/>
              <w:pgNumType w:start="3"/>
              <w:cols w:space="708"/>
            </w:sectPr>
          </w:pPr>
          <w:hyperlink w:anchor="_TOC_250016" w:history="1">
            <w:r>
              <w:t>第六章</w:t>
              <w:tab/>
              <w:t>绩效考核结果运用</w:t>
              <w:tab/>
              <w:t>16</w:t>
            </w:r>
          </w:hyperlink>
        </w:p>
      </w:sdtContent>
    </w:sdt>
    <w:sdt>
      <w:sdtPr>
        <w:id w:val="973923536"/>
        <w:docPartObj>
          <w:docPartGallery w:val="Table of Contents"/>
          <w:docPartUnique/>
        </w:docPartObj>
      </w:sdtPr>
      <w:sdtContent>
        <w:p>
          <w:pPr>
            <w:pStyle w:val="TOC2"/>
            <w:tabs>
              <w:tab w:val="right" w:leader="dot" w:pos="13360"/>
            </w:tabs>
            <w:spacing w:before="236"/>
          </w:pPr>
          <w:hyperlink w:anchor="_TOC_250015" w:history="1">
            <w:r>
              <w:t>第十九条</w:t>
            </w:r>
            <w:r>
              <w:rPr>
                <w:spacing w:val="26"/>
              </w:rPr>
              <w:t xml:space="preserve"> </w:t>
            </w:r>
            <w:r>
              <w:t>教育培训</w:t>
              <w:tab/>
              <w:t>16</w:t>
            </w:r>
          </w:hyperlink>
        </w:p>
        <w:p>
          <w:pPr>
            <w:pStyle w:val="TOC2"/>
            <w:tabs>
              <w:tab w:val="right" w:leader="dot" w:pos="13360"/>
            </w:tabs>
          </w:pPr>
          <w:hyperlink w:anchor="_TOC_250014" w:history="1">
            <w:r>
              <w:t>第二十条</w:t>
            </w:r>
            <w:r>
              <w:rPr>
                <w:spacing w:val="26"/>
              </w:rPr>
              <w:t xml:space="preserve"> </w:t>
            </w:r>
            <w:r>
              <w:t>年终评优</w:t>
              <w:tab/>
              <w:t>16</w:t>
            </w:r>
          </w:hyperlink>
        </w:p>
        <w:p>
          <w:pPr>
            <w:pStyle w:val="TOC2"/>
            <w:tabs>
              <w:tab w:val="right" w:leader="dot" w:pos="13360"/>
            </w:tabs>
            <w:spacing w:before="57"/>
          </w:pPr>
          <w:hyperlink w:anchor="_TOC_250013" w:history="1">
            <w:r>
              <w:t>第二十一条</w:t>
            </w:r>
            <w:r>
              <w:rPr>
                <w:spacing w:val="-17"/>
              </w:rPr>
              <w:t xml:space="preserve"> </w:t>
            </w:r>
            <w:r>
              <w:t>职级调整</w:t>
              <w:tab/>
              <w:t>16</w:t>
            </w:r>
          </w:hyperlink>
        </w:p>
        <w:p>
          <w:pPr>
            <w:pStyle w:val="TOC2"/>
            <w:tabs>
              <w:tab w:val="right" w:leader="dot" w:pos="13360"/>
            </w:tabs>
          </w:pPr>
          <w:hyperlink w:anchor="_TOC_250012" w:history="1">
            <w:r>
              <w:t>第二十二条</w:t>
            </w:r>
            <w:r>
              <w:rPr>
                <w:spacing w:val="-17"/>
              </w:rPr>
              <w:t xml:space="preserve"> </w:t>
            </w:r>
            <w:r>
              <w:t>职务晋升</w:t>
              <w:tab/>
              <w:t>16</w:t>
            </w:r>
          </w:hyperlink>
        </w:p>
        <w:p>
          <w:pPr>
            <w:pStyle w:val="TOC2"/>
            <w:tabs>
              <w:tab w:val="right" w:leader="dot" w:pos="13360"/>
            </w:tabs>
            <w:spacing w:before="58"/>
          </w:pPr>
          <w:hyperlink w:anchor="_TOC_250011" w:history="1">
            <w:r>
              <w:t>第二十三条</w:t>
            </w:r>
            <w:r>
              <w:rPr>
                <w:spacing w:val="-17"/>
              </w:rPr>
              <w:t xml:space="preserve"> </w:t>
            </w:r>
            <w:r>
              <w:t>职业生涯调整</w:t>
              <w:tab/>
              <w:t>17</w:t>
            </w:r>
          </w:hyperlink>
        </w:p>
        <w:p>
          <w:pPr>
            <w:pStyle w:val="TOC1"/>
            <w:tabs>
              <w:tab w:val="left" w:pos="1543"/>
              <w:tab w:val="right" w:leader="dot" w:pos="13360"/>
            </w:tabs>
            <w:spacing w:before="236"/>
          </w:pPr>
          <w:hyperlink w:anchor="_TOC_250010" w:history="1">
            <w:r>
              <w:t>第七章</w:t>
              <w:tab/>
              <w:t>绩效改进措施</w:t>
              <w:tab/>
              <w:t>18</w:t>
            </w:r>
          </w:hyperlink>
        </w:p>
        <w:p>
          <w:pPr>
            <w:pStyle w:val="TOC2"/>
            <w:tabs>
              <w:tab w:val="right" w:leader="dot" w:pos="13360"/>
            </w:tabs>
            <w:spacing w:before="236"/>
          </w:pPr>
          <w:hyperlink w:anchor="_TOC_250009" w:history="1">
            <w:r>
              <w:t>第二十四条</w:t>
            </w:r>
            <w:r>
              <w:rPr>
                <w:spacing w:val="-17"/>
              </w:rPr>
              <w:t xml:space="preserve"> </w:t>
            </w:r>
            <w:r>
              <w:t>绩效面谈</w:t>
              <w:tab/>
              <w:t>18</w:t>
            </w:r>
          </w:hyperlink>
        </w:p>
        <w:p>
          <w:pPr>
            <w:pStyle w:val="TOC2"/>
            <w:tabs>
              <w:tab w:val="right" w:leader="dot" w:pos="13360"/>
            </w:tabs>
            <w:spacing w:before="57"/>
          </w:pPr>
          <w:hyperlink w:anchor="_TOC_250008" w:history="1">
            <w:r>
              <w:t>第二十五条</w:t>
            </w:r>
            <w:r>
              <w:rPr>
                <w:spacing w:val="-17"/>
              </w:rPr>
              <w:t xml:space="preserve"> </w:t>
            </w:r>
            <w:r>
              <w:t>绩效反馈</w:t>
              <w:tab/>
              <w:t>18</w:t>
            </w:r>
          </w:hyperlink>
        </w:p>
        <w:p>
          <w:pPr>
            <w:pStyle w:val="TOC2"/>
            <w:tabs>
              <w:tab w:val="right" w:leader="dot" w:pos="13360"/>
            </w:tabs>
          </w:pPr>
          <w:hyperlink w:anchor="_TOC_250007" w:history="1">
            <w:r>
              <w:t>第二十六条</w:t>
            </w:r>
            <w:r>
              <w:rPr>
                <w:spacing w:val="-17"/>
              </w:rPr>
              <w:t xml:space="preserve"> </w:t>
            </w:r>
            <w:r>
              <w:t>绩效优化</w:t>
              <w:tab/>
              <w:t>18</w:t>
            </w:r>
          </w:hyperlink>
        </w:p>
        <w:p>
          <w:pPr>
            <w:pStyle w:val="TOC1"/>
            <w:tabs>
              <w:tab w:val="left" w:pos="1543"/>
              <w:tab w:val="right" w:leader="dot" w:pos="13360"/>
            </w:tabs>
          </w:pPr>
          <w:hyperlink w:anchor="_TOC_250006" w:history="1">
            <w:r>
              <w:t>第八章</w:t>
              <w:tab/>
              <w:t>绩效申诉</w:t>
              <w:tab/>
              <w:t>19</w:t>
            </w:r>
          </w:hyperlink>
        </w:p>
        <w:p>
          <w:pPr>
            <w:pStyle w:val="TOC2"/>
            <w:tabs>
              <w:tab w:val="right" w:leader="dot" w:pos="13360"/>
            </w:tabs>
            <w:spacing w:before="237"/>
          </w:pPr>
          <w:hyperlink w:anchor="_TOC_250005" w:history="1">
            <w:r>
              <w:t>第二十七条</w:t>
            </w:r>
            <w:r>
              <w:rPr>
                <w:spacing w:val="-17"/>
              </w:rPr>
              <w:t xml:space="preserve"> </w:t>
            </w:r>
            <w:r>
              <w:t>申诉流程</w:t>
              <w:tab/>
              <w:t>19</w:t>
            </w:r>
          </w:hyperlink>
        </w:p>
        <w:p>
          <w:pPr>
            <w:pStyle w:val="TOC2"/>
            <w:tabs>
              <w:tab w:val="right" w:leader="dot" w:pos="13360"/>
            </w:tabs>
          </w:pPr>
          <w:hyperlink w:anchor="_TOC_250004" w:history="1">
            <w:r>
              <w:t>第二十八条</w:t>
            </w:r>
            <w:r>
              <w:rPr>
                <w:spacing w:val="-17"/>
              </w:rPr>
              <w:t xml:space="preserve"> </w:t>
            </w:r>
            <w:r>
              <w:t>申诉条件</w:t>
              <w:tab/>
              <w:t>20</w:t>
            </w:r>
          </w:hyperlink>
        </w:p>
        <w:p>
          <w:pPr>
            <w:pStyle w:val="TOC1"/>
            <w:tabs>
              <w:tab w:val="left" w:pos="1543"/>
              <w:tab w:val="right" w:leader="dot" w:pos="13360"/>
            </w:tabs>
          </w:pPr>
          <w:hyperlink w:anchor="_TOC_250003" w:history="1">
            <w:r>
              <w:t>第九章</w:t>
              <w:tab/>
              <w:t>附则</w:t>
              <w:tab/>
              <w:t>21</w:t>
            </w:r>
          </w:hyperlink>
        </w:p>
        <w:p>
          <w:pPr>
            <w:pStyle w:val="TOC2"/>
            <w:tabs>
              <w:tab w:val="right" w:leader="dot" w:pos="13360"/>
            </w:tabs>
            <w:spacing w:before="236"/>
          </w:pPr>
          <w:hyperlink w:anchor="_TOC_250002" w:history="1">
            <w:r>
              <w:t>第二十九条</w:t>
            </w:r>
            <w:r>
              <w:rPr>
                <w:spacing w:val="-17"/>
              </w:rPr>
              <w:t xml:space="preserve"> </w:t>
            </w:r>
            <w:r>
              <w:t>结果保密</w:t>
              <w:tab/>
              <w:t>21</w:t>
            </w:r>
          </w:hyperlink>
        </w:p>
        <w:p>
          <w:pPr>
            <w:pStyle w:val="TOC2"/>
            <w:tabs>
              <w:tab w:val="right" w:leader="dot" w:pos="13360"/>
            </w:tabs>
          </w:pPr>
          <w:hyperlink w:anchor="_TOC_250001" w:history="1">
            <w:r>
              <w:t>第三十条</w:t>
            </w:r>
            <w:r>
              <w:rPr>
                <w:spacing w:val="26"/>
              </w:rPr>
              <w:t xml:space="preserve"> </w:t>
            </w:r>
            <w:r>
              <w:t>颁布实施</w:t>
              <w:tab/>
              <w:t>21</w:t>
            </w:r>
          </w:hyperlink>
        </w:p>
        <w:p>
          <w:pPr>
            <w:pStyle w:val="TOC2"/>
            <w:tabs>
              <w:tab w:val="right" w:leader="dot" w:pos="13360"/>
            </w:tabs>
            <w:spacing w:before="57"/>
          </w:pPr>
          <w:hyperlink w:anchor="_TOC_250000" w:history="1">
            <w:r>
              <w:t>第三十一条</w:t>
            </w:r>
            <w:r>
              <w:rPr>
                <w:spacing w:val="-17"/>
              </w:rPr>
              <w:t xml:space="preserve"> </w:t>
            </w:r>
            <w:r>
              <w:t>相关附件</w:t>
              <w:tab/>
              <w:t>21</w:t>
            </w:r>
          </w:hyperlink>
        </w:p>
      </w:sdtContent>
    </w:sdt>
    <w:p>
      <w:pPr>
        <w:spacing w:after="0"/>
        <w:sectPr>
          <w:footerReference w:type="even" r:id="rId9"/>
          <w:footerReference w:type="default" r:id="rId10"/>
          <w:type w:val="nextPage"/>
          <w:pgSz w:w="17860" w:h="25260"/>
          <w:pgMar w:top="2440" w:right="1820" w:bottom="1753" w:left="2280" w:header="708" w:footer="708"/>
          <w:pgNumType w:start="4"/>
          <w:cols w:space="708"/>
          <w:titlePg w:val="0"/>
        </w:sectPr>
      </w:pPr>
    </w:p>
    <w:p>
      <w:pPr>
        <w:spacing w:before="184" w:line="165" w:lineRule="auto"/>
        <w:ind w:left="4079" w:right="1782" w:hanging="2644"/>
        <w:jc w:val="left"/>
        <w:rPr>
          <w:b/>
          <w:sz w:val="66"/>
        </w:rPr>
      </w:pPr>
      <w:r>
        <w:rPr>
          <w:b/>
          <w:w w:val="95"/>
          <w:sz w:val="66"/>
        </w:rPr>
        <w:t>中建三局第一建设工程有限责任公司</w:t>
      </w:r>
      <w:r>
        <w:rPr>
          <w:b/>
          <w:sz w:val="66"/>
        </w:rPr>
        <w:t>项目绩效管理办法</w:t>
      </w:r>
    </w:p>
    <w:p>
      <w:pPr>
        <w:pStyle w:val="BodyText"/>
        <w:spacing w:before="17"/>
        <w:rPr>
          <w:b/>
          <w:sz w:val="66"/>
        </w:rPr>
      </w:pPr>
    </w:p>
    <w:p>
      <w:pPr>
        <w:pStyle w:val="Heading1"/>
        <w:ind w:left="5400"/>
        <w:jc w:val="both"/>
      </w:pPr>
      <w:bookmarkStart w:id="0" w:name="_TOC_250038"/>
      <w:bookmarkEnd w:id="0"/>
      <w:r>
        <w:t>第一章 总则</w:t>
      </w:r>
    </w:p>
    <w:p>
      <w:pPr>
        <w:pStyle w:val="BodyText"/>
        <w:spacing w:before="223" w:line="228" w:lineRule="auto"/>
        <w:ind w:left="104" w:right="426" w:firstLine="939"/>
        <w:jc w:val="both"/>
      </w:pPr>
      <w:r>
        <w:rPr>
          <w:spacing w:val="-14"/>
          <w:w w:val="95"/>
        </w:rPr>
        <w:t xml:space="preserve">为建立有效的激励、约束和分配机制，更好的激发项目人员  </w:t>
      </w:r>
      <w:r>
        <w:rPr>
          <w:spacing w:val="-19"/>
          <w:w w:val="95"/>
        </w:rPr>
        <w:t xml:space="preserve">的积极性与创造性，持续提升员工绩效，提高人力资源效率，完  </w:t>
      </w:r>
      <w:r>
        <w:rPr>
          <w:spacing w:val="-14"/>
          <w:w w:val="95"/>
        </w:rPr>
        <w:t xml:space="preserve">成项目生产活动目标，推动企业经营目标的实现。结合《中建三  </w:t>
      </w:r>
      <w:r>
        <w:rPr>
          <w:spacing w:val="-12"/>
          <w:w w:val="95"/>
        </w:rPr>
        <w:t>局第一建设工程有限责任公司绩效管理办法》，特制定本办法。</w:t>
      </w:r>
    </w:p>
    <w:p>
      <w:pPr>
        <w:pStyle w:val="Heading1"/>
        <w:spacing w:before="200"/>
        <w:jc w:val="both"/>
      </w:pPr>
      <w:bookmarkStart w:id="1" w:name="_TOC_250037"/>
      <w:bookmarkEnd w:id="1"/>
      <w:r>
        <w:t>第一条 绩效管理的目的</w:t>
      </w:r>
    </w:p>
    <w:p>
      <w:pPr>
        <w:pStyle w:val="ListParagraph"/>
        <w:numPr>
          <w:ilvl w:val="0"/>
          <w:numId w:val="9"/>
        </w:numPr>
        <w:tabs>
          <w:tab w:val="left" w:pos="2305"/>
        </w:tabs>
        <w:spacing w:before="220" w:after="0" w:line="228" w:lineRule="auto"/>
        <w:ind w:left="104" w:right="441" w:firstLine="961"/>
        <w:jc w:val="left"/>
        <w:rPr>
          <w:sz w:val="48"/>
        </w:rPr>
      </w:pPr>
      <w:r>
        <w:rPr>
          <w:spacing w:val="-1"/>
          <w:w w:val="95"/>
          <w:sz w:val="48"/>
        </w:rPr>
        <w:t xml:space="preserve">提升项目管理效率，弥补管理短板，提升跨团队协作 </w:t>
      </w:r>
      <w:r>
        <w:rPr>
          <w:sz w:val="48"/>
        </w:rPr>
        <w:t>能力；</w:t>
      </w:r>
    </w:p>
    <w:p>
      <w:pPr>
        <w:pStyle w:val="ListParagraph"/>
        <w:numPr>
          <w:ilvl w:val="0"/>
          <w:numId w:val="9"/>
        </w:numPr>
        <w:tabs>
          <w:tab w:val="left" w:pos="2305"/>
        </w:tabs>
        <w:spacing w:before="0" w:after="0" w:line="831" w:lineRule="exact"/>
        <w:ind w:left="2304" w:right="0" w:hanging="1240"/>
        <w:jc w:val="left"/>
        <w:rPr>
          <w:sz w:val="48"/>
        </w:rPr>
      </w:pPr>
      <w:r>
        <w:rPr>
          <w:sz w:val="48"/>
        </w:rPr>
        <w:t>促进项目合同履约；</w:t>
      </w:r>
    </w:p>
    <w:p>
      <w:pPr>
        <w:pStyle w:val="ListParagraph"/>
        <w:numPr>
          <w:ilvl w:val="0"/>
          <w:numId w:val="9"/>
        </w:numPr>
        <w:tabs>
          <w:tab w:val="left" w:pos="2305"/>
        </w:tabs>
        <w:spacing w:before="0" w:after="0" w:line="841" w:lineRule="exact"/>
        <w:ind w:left="2304" w:right="0" w:hanging="1240"/>
        <w:jc w:val="left"/>
        <w:rPr>
          <w:sz w:val="48"/>
        </w:rPr>
      </w:pPr>
      <w:r>
        <w:rPr>
          <w:sz w:val="48"/>
        </w:rPr>
        <w:t>促进员工职业生涯的自我认知；</w:t>
      </w:r>
    </w:p>
    <w:p>
      <w:pPr>
        <w:pStyle w:val="ListParagraph"/>
        <w:numPr>
          <w:ilvl w:val="0"/>
          <w:numId w:val="9"/>
        </w:numPr>
        <w:tabs>
          <w:tab w:val="left" w:pos="2305"/>
        </w:tabs>
        <w:spacing w:before="0" w:after="0" w:line="841" w:lineRule="exact"/>
        <w:ind w:left="2304" w:right="0" w:hanging="1240"/>
        <w:jc w:val="left"/>
        <w:rPr>
          <w:sz w:val="48"/>
        </w:rPr>
      </w:pPr>
      <w:r>
        <w:rPr>
          <w:w w:val="95"/>
          <w:sz w:val="48"/>
        </w:rPr>
        <w:t>为培训需求依据；</w:t>
      </w:r>
    </w:p>
    <w:p>
      <w:pPr>
        <w:pStyle w:val="ListParagraph"/>
        <w:numPr>
          <w:ilvl w:val="0"/>
          <w:numId w:val="9"/>
        </w:numPr>
        <w:tabs>
          <w:tab w:val="left" w:pos="2305"/>
        </w:tabs>
        <w:spacing w:before="0" w:after="0" w:line="862" w:lineRule="exact"/>
        <w:ind w:left="2304" w:right="0" w:hanging="1240"/>
        <w:jc w:val="left"/>
        <w:rPr>
          <w:sz w:val="48"/>
        </w:rPr>
      </w:pPr>
      <w:r>
        <w:rPr>
          <w:w w:val="95"/>
          <w:sz w:val="48"/>
        </w:rPr>
        <w:t>正负激励的依据。</w:t>
      </w:r>
    </w:p>
    <w:p>
      <w:pPr>
        <w:pStyle w:val="Heading1"/>
        <w:tabs>
          <w:tab w:val="left" w:pos="1993"/>
        </w:tabs>
        <w:spacing w:before="188"/>
      </w:pPr>
      <w:bookmarkStart w:id="2" w:name="_TOC_250036"/>
      <w:bookmarkEnd w:id="2"/>
      <w:r>
        <w:t>第二条</w:t>
        <w:tab/>
        <w:t>绩效管理的原则</w:t>
      </w:r>
    </w:p>
    <w:p>
      <w:pPr>
        <w:pStyle w:val="ListParagraph"/>
        <w:numPr>
          <w:ilvl w:val="0"/>
          <w:numId w:val="7"/>
        </w:numPr>
        <w:tabs>
          <w:tab w:val="left" w:pos="2305"/>
        </w:tabs>
        <w:spacing w:before="223" w:after="0" w:line="228" w:lineRule="auto"/>
        <w:ind w:left="104" w:right="167" w:firstLine="961"/>
        <w:jc w:val="left"/>
        <w:rPr>
          <w:sz w:val="48"/>
        </w:rPr>
      </w:pPr>
      <w:r>
        <w:rPr>
          <w:spacing w:val="-11"/>
          <w:sz w:val="48"/>
        </w:rPr>
        <w:t>双向沟通：考核标准的制定是通过协商和讨论完成的</w:t>
      </w:r>
      <w:r>
        <w:rPr>
          <w:spacing w:val="-15"/>
          <w:sz w:val="48"/>
        </w:rPr>
        <w:t>，考核过程是公开的、制度化的；考核人在对被考核人进行绩效</w:t>
      </w:r>
      <w:r>
        <w:rPr>
          <w:spacing w:val="-17"/>
          <w:sz w:val="48"/>
        </w:rPr>
        <w:t>考核的过程中，需要把考核结果反馈给被考核者，同时听取被考</w:t>
      </w:r>
      <w:r>
        <w:rPr>
          <w:spacing w:val="-20"/>
          <w:sz w:val="48"/>
        </w:rPr>
        <w:t>核者对考核结果的意见，对考核结果存在的问题及时修正或作出合理解释；</w:t>
      </w:r>
    </w:p>
    <w:p>
      <w:pPr>
        <w:spacing w:after="0" w:line="228" w:lineRule="auto"/>
        <w:jc w:val="left"/>
        <w:rPr>
          <w:sz w:val="48"/>
        </w:rPr>
        <w:sectPr>
          <w:footerReference w:type="even" r:id="rId11"/>
          <w:footerReference w:type="default" r:id="rId12"/>
          <w:pgSz w:w="17860" w:h="25260"/>
          <w:pgMar w:top="2320" w:right="1820" w:bottom="2340" w:left="2280" w:header="0" w:footer="1843"/>
          <w:pgNumType w:start="5"/>
          <w:cols w:space="708"/>
        </w:sectPr>
      </w:pPr>
    </w:p>
    <w:p>
      <w:pPr>
        <w:pStyle w:val="BodyText"/>
        <w:spacing w:before="11"/>
        <w:rPr>
          <w:sz w:val="14"/>
        </w:rPr>
      </w:pPr>
    </w:p>
    <w:p>
      <w:pPr>
        <w:pStyle w:val="ListParagraph"/>
        <w:numPr>
          <w:ilvl w:val="0"/>
          <w:numId w:val="7"/>
        </w:numPr>
        <w:tabs>
          <w:tab w:val="left" w:pos="2308"/>
        </w:tabs>
        <w:spacing w:before="5" w:after="0" w:line="228" w:lineRule="auto"/>
        <w:ind w:left="104" w:right="438" w:firstLine="961"/>
        <w:jc w:val="left"/>
        <w:rPr>
          <w:sz w:val="48"/>
        </w:rPr>
      </w:pPr>
      <w:r>
        <w:rPr>
          <w:spacing w:val="-1"/>
          <w:w w:val="95"/>
          <w:sz w:val="48"/>
        </w:rPr>
        <w:t xml:space="preserve">客观公正：考核要做到以事实说话，数据导向，避免 </w:t>
      </w:r>
      <w:r>
        <w:rPr>
          <w:sz w:val="48"/>
        </w:rPr>
        <w:t>主观臆断和个人感情色彩；</w:t>
      </w:r>
    </w:p>
    <w:p>
      <w:pPr>
        <w:pStyle w:val="ListParagraph"/>
        <w:numPr>
          <w:ilvl w:val="0"/>
          <w:numId w:val="7"/>
        </w:numPr>
        <w:tabs>
          <w:tab w:val="left" w:pos="2308"/>
        </w:tabs>
        <w:spacing w:before="58" w:after="0" w:line="240" w:lineRule="auto"/>
        <w:ind w:left="104" w:right="437" w:firstLine="961"/>
        <w:jc w:val="both"/>
        <w:rPr>
          <w:sz w:val="48"/>
        </w:rPr>
      </w:pPr>
      <w:r>
        <w:rPr>
          <w:spacing w:val="-1"/>
          <w:w w:val="95"/>
          <w:sz w:val="48"/>
        </w:rPr>
        <w:t xml:space="preserve">强调执行：绩效考核是针对工作业绩进行的考核，以 </w:t>
      </w:r>
      <w:r>
        <w:rPr>
          <w:spacing w:val="10"/>
          <w:sz w:val="48"/>
        </w:rPr>
        <w:t xml:space="preserve">业绩指标说话。项目 </w:t>
      </w:r>
      <w:r>
        <w:rPr>
          <w:sz w:val="48"/>
        </w:rPr>
        <w:t>KPI</w:t>
      </w:r>
      <w:r>
        <w:rPr>
          <w:spacing w:val="-1"/>
          <w:sz w:val="48"/>
        </w:rPr>
        <w:t xml:space="preserve"> 考核是一种结果导向的管理活动，以</w:t>
      </w:r>
      <w:r>
        <w:rPr>
          <w:rFonts w:ascii="宋体" w:eastAsia="宋体" w:hAnsi="宋体" w:hint="eastAsia"/>
          <w:sz w:val="48"/>
        </w:rPr>
        <w:t>“</w:t>
      </w:r>
      <w:r>
        <w:rPr>
          <w:sz w:val="48"/>
        </w:rPr>
        <w:t>提升项目履约及品质</w:t>
      </w:r>
      <w:r>
        <w:rPr>
          <w:rFonts w:ascii="宋体" w:eastAsia="宋体" w:hAnsi="宋体" w:hint="eastAsia"/>
          <w:spacing w:val="3"/>
          <w:sz w:val="48"/>
        </w:rPr>
        <w:t>”</w:t>
      </w:r>
      <w:r>
        <w:rPr>
          <w:sz w:val="48"/>
        </w:rPr>
        <w:t>为最终目标的管理手段。</w:t>
      </w:r>
    </w:p>
    <w:p>
      <w:pPr>
        <w:pStyle w:val="ListParagraph"/>
        <w:numPr>
          <w:ilvl w:val="0"/>
          <w:numId w:val="7"/>
        </w:numPr>
        <w:tabs>
          <w:tab w:val="left" w:pos="2308"/>
        </w:tabs>
        <w:spacing w:before="0" w:after="0" w:line="818" w:lineRule="exact"/>
        <w:ind w:left="2308" w:right="0" w:hanging="1243"/>
        <w:jc w:val="left"/>
        <w:rPr>
          <w:sz w:val="48"/>
        </w:rPr>
      </w:pPr>
      <w:r>
        <w:rPr>
          <w:sz w:val="48"/>
        </w:rPr>
        <w:t>拉开差距：对不同部门、不同被考核者进行考核评价</w:t>
      </w:r>
    </w:p>
    <w:p>
      <w:pPr>
        <w:pStyle w:val="BodyText"/>
        <w:spacing w:before="9" w:line="228" w:lineRule="auto"/>
        <w:ind w:left="104" w:right="396"/>
      </w:pPr>
      <w:r>
        <w:rPr>
          <w:spacing w:val="-14"/>
          <w:w w:val="95"/>
        </w:rPr>
        <w:t xml:space="preserve">时，要根据不同的工作内容选取切合实际的指标，考核的结果要  </w:t>
      </w:r>
      <w:r>
        <w:t>适当拉开差距，不搞平均主义。</w:t>
      </w:r>
    </w:p>
    <w:p>
      <w:pPr>
        <w:pStyle w:val="Heading1"/>
        <w:tabs>
          <w:tab w:val="left" w:pos="1993"/>
        </w:tabs>
        <w:spacing w:before="202"/>
      </w:pPr>
      <w:bookmarkStart w:id="3" w:name="_TOC_250035"/>
      <w:bookmarkEnd w:id="3"/>
      <w:r>
        <w:t>第三条</w:t>
        <w:tab/>
        <w:t>绩效方案适用范围</w:t>
      </w:r>
    </w:p>
    <w:p>
      <w:pPr>
        <w:pStyle w:val="BodyText"/>
        <w:spacing w:before="188"/>
        <w:ind w:left="1065"/>
      </w:pPr>
      <w:r>
        <w:t>本方案适用于司属项目部全体正式员工与劳务派遣工。</w:t>
      </w:r>
    </w:p>
    <w:p>
      <w:pPr>
        <w:spacing w:after="0"/>
        <w:sectPr>
          <w:footerReference w:type="even" r:id="rId13"/>
          <w:footerReference w:type="default" r:id="rId14"/>
          <w:pgSz w:w="17860" w:h="25260"/>
          <w:pgMar w:top="2420" w:right="1820" w:bottom="2040" w:left="2280" w:header="0" w:footer="2157"/>
          <w:pgNumType w:start="6"/>
          <w:cols w:space="708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tabs>
          <w:tab w:val="left" w:pos="5040"/>
        </w:tabs>
        <w:spacing w:line="859" w:lineRule="exact"/>
        <w:ind w:left="3120"/>
      </w:pPr>
      <w:bookmarkStart w:id="4" w:name="_TOC_250034"/>
      <w:bookmarkEnd w:id="4"/>
      <w:r>
        <w:t>第二章</w:t>
        <w:tab/>
        <w:t>绩效考核指标与考核量表</w:t>
      </w:r>
    </w:p>
    <w:p>
      <w:pPr>
        <w:pStyle w:val="Heading1"/>
        <w:tabs>
          <w:tab w:val="left" w:pos="1993"/>
        </w:tabs>
        <w:spacing w:before="191"/>
      </w:pPr>
      <w:bookmarkStart w:id="5" w:name="_TOC_250033"/>
      <w:bookmarkEnd w:id="5"/>
      <w:r>
        <w:t>第四条</w:t>
        <w:tab/>
        <w:t>绩效考核指标制定原则</w:t>
      </w:r>
    </w:p>
    <w:p>
      <w:pPr>
        <w:pStyle w:val="BodyText"/>
        <w:spacing w:before="220" w:line="228" w:lineRule="auto"/>
        <w:ind w:left="104" w:right="441" w:firstLine="961"/>
      </w:pPr>
      <w:r>
        <w:rPr>
          <w:w w:val="95"/>
        </w:rPr>
        <w:t>1</w:t>
      </w:r>
      <w:r>
        <w:rPr>
          <w:spacing w:val="-1"/>
          <w:w w:val="95"/>
        </w:rPr>
        <w:t xml:space="preserve">、岗位回归原则：依据各岗位职责与工作内容制定各系统  </w:t>
      </w:r>
      <w:r>
        <w:t>指标库。</w:t>
      </w:r>
    </w:p>
    <w:p>
      <w:pPr>
        <w:pStyle w:val="BodyText"/>
        <w:spacing w:before="87" w:line="228" w:lineRule="auto"/>
        <w:ind w:left="104" w:right="441" w:firstLine="961"/>
      </w:pPr>
      <w:r>
        <w:rPr>
          <w:w w:val="95"/>
        </w:rPr>
        <w:t>2</w:t>
      </w:r>
      <w:r>
        <w:rPr>
          <w:spacing w:val="-1"/>
          <w:w w:val="95"/>
        </w:rPr>
        <w:t xml:space="preserve">、简单易操作原则：指标项在指标库中易于选择，且评分  </w:t>
      </w:r>
      <w:r>
        <w:t>标准易于判断、简单明了。</w:t>
      </w:r>
    </w:p>
    <w:p>
      <w:pPr>
        <w:pStyle w:val="BodyText"/>
        <w:spacing w:before="91" w:line="228" w:lineRule="auto"/>
        <w:ind w:left="104" w:right="406" w:firstLine="961"/>
        <w:jc w:val="both"/>
      </w:pPr>
      <w:r>
        <w:rPr>
          <w:w w:val="95"/>
        </w:rPr>
        <w:t xml:space="preserve">3、符合项目各阶段原则：指标库中各指标项涵盖项目全生  </w:t>
      </w:r>
      <w:r>
        <w:rPr>
          <w:spacing w:val="-15"/>
          <w:w w:val="95"/>
        </w:rPr>
        <w:t xml:space="preserve">命周期，各阶段均有指标设计，实施过程中由项目部根据不同的  </w:t>
      </w:r>
      <w:r>
        <w:t>项目周期进行指标选择。</w:t>
      </w:r>
    </w:p>
    <w:p>
      <w:pPr>
        <w:pStyle w:val="BodyText"/>
        <w:spacing w:before="88" w:line="228" w:lineRule="auto"/>
        <w:ind w:left="104" w:right="441" w:firstLine="961"/>
      </w:pPr>
      <w:r>
        <w:rPr>
          <w:w w:val="95"/>
        </w:rPr>
        <w:t>4</w:t>
      </w:r>
      <w:r>
        <w:rPr>
          <w:spacing w:val="-1"/>
          <w:w w:val="95"/>
        </w:rPr>
        <w:t xml:space="preserve">、与岗位分工相匹配原则：同一岗位但分工不同的，指标  </w:t>
      </w:r>
      <w:r>
        <w:t>选择应根据具体工作内容确定。</w:t>
      </w:r>
    </w:p>
    <w:p>
      <w:pPr>
        <w:pStyle w:val="Heading1"/>
        <w:tabs>
          <w:tab w:val="left" w:pos="1993"/>
        </w:tabs>
        <w:spacing w:before="203"/>
      </w:pPr>
      <w:bookmarkStart w:id="6" w:name="_TOC_250032"/>
      <w:bookmarkEnd w:id="6"/>
      <w:r>
        <w:t>第五条</w:t>
        <w:tab/>
        <w:t>指标库来源</w:t>
      </w:r>
    </w:p>
    <w:p>
      <w:pPr>
        <w:pStyle w:val="BodyText"/>
        <w:spacing w:before="220" w:line="228" w:lineRule="auto"/>
        <w:ind w:left="104" w:right="434" w:firstLine="961"/>
      </w:pPr>
      <w:r>
        <w:rPr>
          <w:w w:val="95"/>
        </w:rPr>
        <w:t>1</w:t>
      </w:r>
      <w:r>
        <w:rPr>
          <w:spacing w:val="-23"/>
          <w:w w:val="95"/>
        </w:rPr>
        <w:t xml:space="preserve">、项目经理：以《项目目标责任状》、《项目季度兑现考核  </w:t>
      </w:r>
      <w:r>
        <w:t>表》中所列指标为主要考核指标。</w:t>
      </w:r>
    </w:p>
    <w:p>
      <w:pPr>
        <w:pStyle w:val="BodyText"/>
        <w:spacing w:line="228" w:lineRule="auto"/>
        <w:ind w:left="104" w:right="201" w:firstLine="961"/>
      </w:pPr>
      <w:r>
        <w:rPr>
          <w:w w:val="95"/>
        </w:rPr>
        <w:t>2</w:t>
      </w:r>
      <w:r>
        <w:rPr>
          <w:spacing w:val="-17"/>
          <w:w w:val="95"/>
        </w:rPr>
        <w:t xml:space="preserve">、项目经理以下人员：通过对项目各节点的核心业务梳理，  </w:t>
      </w:r>
      <w:r>
        <w:t>从职能和工程实体管理两方面确定各系统岗位的考核指标。</w:t>
      </w:r>
    </w:p>
    <w:p>
      <w:pPr>
        <w:pStyle w:val="Heading1"/>
        <w:tabs>
          <w:tab w:val="left" w:pos="1993"/>
        </w:tabs>
        <w:spacing w:before="203"/>
      </w:pPr>
      <w:bookmarkStart w:id="7" w:name="_TOC_250031"/>
      <w:bookmarkEnd w:id="7"/>
      <w:r>
        <w:t>第六条</w:t>
        <w:tab/>
        <w:t>指标类别</w:t>
      </w:r>
    </w:p>
    <w:p>
      <w:pPr>
        <w:pStyle w:val="BodyText"/>
        <w:spacing w:before="188" w:line="862" w:lineRule="exact"/>
        <w:ind w:left="1065"/>
      </w:pPr>
      <w:r>
        <w:t>绩效考核指标分为定量指标与定性指标。</w:t>
      </w:r>
    </w:p>
    <w:p>
      <w:pPr>
        <w:pStyle w:val="Heading1"/>
        <w:spacing w:line="841" w:lineRule="exact"/>
        <w:ind w:left="809"/>
      </w:pPr>
      <w:r>
        <w:t>1、定量指标</w:t>
      </w:r>
    </w:p>
    <w:p>
      <w:pPr>
        <w:pStyle w:val="BodyText"/>
        <w:spacing w:line="864" w:lineRule="exact"/>
        <w:ind w:left="809"/>
      </w:pPr>
      <w:r>
        <w:t>定量指标为以量化数据为主要评价信息，最终确定可量化的</w:t>
      </w:r>
    </w:p>
    <w:p>
      <w:pPr>
        <w:spacing w:after="0" w:line="864" w:lineRule="exact"/>
        <w:sectPr>
          <w:footerReference w:type="even" r:id="rId15"/>
          <w:footerReference w:type="default" r:id="rId16"/>
          <w:pgSz w:w="17860" w:h="25260"/>
          <w:pgMar w:top="2420" w:right="1820" w:bottom="2020" w:left="2280" w:header="0" w:footer="1839"/>
          <w:pgNumType w:start="3"/>
          <w:cols w:space="708"/>
        </w:sectPr>
      </w:pPr>
    </w:p>
    <w:p>
      <w:pPr>
        <w:pStyle w:val="BodyText"/>
        <w:spacing w:before="11"/>
        <w:rPr>
          <w:sz w:val="14"/>
        </w:rPr>
      </w:pPr>
    </w:p>
    <w:p>
      <w:pPr>
        <w:pStyle w:val="BodyText"/>
        <w:spacing w:line="835" w:lineRule="exact"/>
        <w:ind w:left="104"/>
      </w:pPr>
      <w:r>
        <w:t>绩效考评指标，含各系统指标库指标与项目自行制定指标两类。</w:t>
      </w:r>
    </w:p>
    <w:p>
      <w:pPr>
        <w:pStyle w:val="ListParagraph"/>
        <w:numPr>
          <w:ilvl w:val="0"/>
          <w:numId w:val="10"/>
        </w:numPr>
        <w:tabs>
          <w:tab w:val="left" w:pos="2319"/>
        </w:tabs>
        <w:spacing w:before="8" w:after="0" w:line="228" w:lineRule="auto"/>
        <w:ind w:left="104" w:right="247" w:firstLine="961"/>
        <w:jc w:val="both"/>
        <w:rPr>
          <w:sz w:val="48"/>
        </w:rPr>
      </w:pPr>
      <w:r>
        <w:rPr>
          <w:b/>
          <w:spacing w:val="-1"/>
          <w:sz w:val="48"/>
        </w:rPr>
        <w:t>各系统指标库指标：</w:t>
      </w:r>
      <w:r>
        <w:rPr>
          <w:sz w:val="48"/>
        </w:rPr>
        <w:t>根据项目工期进度，分两条线全</w:t>
      </w:r>
      <w:r>
        <w:rPr>
          <w:spacing w:val="-14"/>
          <w:sz w:val="48"/>
        </w:rPr>
        <w:t>面梳理各系统业务活动，一是根据项目总周期按节点划分的项目</w:t>
      </w:r>
      <w:r>
        <w:rPr>
          <w:spacing w:val="-15"/>
          <w:w w:val="95"/>
          <w:sz w:val="48"/>
        </w:rPr>
        <w:t xml:space="preserve">施工阶段，二是各系统业务线。以此为基础，从“管理标准化”  </w:t>
      </w:r>
      <w:r>
        <w:rPr>
          <w:sz w:val="48"/>
        </w:rPr>
        <w:t>和“实体管理”两方面建立项目各系统的核心量化指标库。</w:t>
      </w:r>
    </w:p>
    <w:p>
      <w:pPr>
        <w:pStyle w:val="ListParagraph"/>
        <w:numPr>
          <w:ilvl w:val="0"/>
          <w:numId w:val="10"/>
        </w:numPr>
        <w:tabs>
          <w:tab w:val="left" w:pos="2319"/>
        </w:tabs>
        <w:spacing w:before="2" w:after="0" w:line="228" w:lineRule="auto"/>
        <w:ind w:left="104" w:right="440" w:firstLine="961"/>
        <w:jc w:val="both"/>
        <w:rPr>
          <w:sz w:val="48"/>
        </w:rPr>
      </w:pPr>
      <w:r>
        <w:rPr>
          <w:b/>
          <w:spacing w:val="-2"/>
          <w:w w:val="95"/>
          <w:sz w:val="48"/>
        </w:rPr>
        <w:t>项目自行制定指标：</w:t>
      </w:r>
      <w:r>
        <w:rPr>
          <w:spacing w:val="-2"/>
          <w:w w:val="95"/>
          <w:sz w:val="48"/>
        </w:rPr>
        <w:t xml:space="preserve">因指标库不全而进行补充的指标 </w:t>
      </w:r>
      <w:r>
        <w:rPr>
          <w:spacing w:val="-17"/>
          <w:w w:val="95"/>
          <w:sz w:val="48"/>
        </w:rPr>
        <w:t xml:space="preserve">项，主要为临时增加的重大工作事项，该类指标由各级考核主体  </w:t>
      </w:r>
      <w:r>
        <w:rPr>
          <w:sz w:val="48"/>
        </w:rPr>
        <w:t>根据实际情况自行制定。</w:t>
      </w:r>
    </w:p>
    <w:p>
      <w:pPr>
        <w:pStyle w:val="Heading1"/>
        <w:spacing w:line="852" w:lineRule="exact"/>
        <w:ind w:left="1065"/>
      </w:pPr>
      <w:r>
        <w:t>2、定性指标</w:t>
      </w:r>
    </w:p>
    <w:p>
      <w:pPr>
        <w:pStyle w:val="BodyText"/>
        <w:spacing w:before="72" w:line="228" w:lineRule="auto"/>
        <w:ind w:left="104" w:right="408" w:firstLine="849"/>
      </w:pPr>
      <w:r>
        <w:rPr>
          <w:spacing w:val="-6"/>
          <w:w w:val="95"/>
        </w:rPr>
        <w:t xml:space="preserve">定性指标为周边绩效指标，目的是考核项目管理人员的工作  </w:t>
      </w:r>
      <w:r>
        <w:t>能力、工作态度。</w:t>
      </w:r>
    </w:p>
    <w:p>
      <w:pPr>
        <w:pStyle w:val="BodyText"/>
        <w:spacing w:before="94" w:line="228" w:lineRule="auto"/>
        <w:ind w:left="104" w:right="247" w:firstLine="849"/>
        <w:jc w:val="both"/>
      </w:pPr>
      <w:r>
        <w:t>周边绩效指标分为两种：项目班子人员周边绩效指标、项目</w:t>
      </w:r>
      <w:r>
        <w:rPr>
          <w:spacing w:val="-13"/>
        </w:rPr>
        <w:t>管理人员周边绩效指标。项目班子人员周边绩效以工作能力为考</w:t>
      </w:r>
      <w:r>
        <w:rPr>
          <w:spacing w:val="-20"/>
        </w:rPr>
        <w:t>核内容，主要评价计划与组织、指导与监督；项目管理人员周边</w:t>
      </w:r>
      <w:r>
        <w:rPr>
          <w:spacing w:val="-20"/>
          <w:w w:val="95"/>
        </w:rPr>
        <w:t>绩效以工作态度为考核内容，主要评价执行力、团队协作精神。</w:t>
      </w:r>
    </w:p>
    <w:p>
      <w:pPr>
        <w:pStyle w:val="Heading1"/>
        <w:spacing w:before="55"/>
        <w:ind w:left="953"/>
      </w:pPr>
      <w:r>
        <w:t>3、定性指标向定量指标转换</w:t>
      </w:r>
    </w:p>
    <w:p>
      <w:pPr>
        <w:pStyle w:val="BodyText"/>
        <w:spacing w:before="76" w:line="228" w:lineRule="auto"/>
        <w:ind w:left="104" w:right="401" w:firstLine="849"/>
        <w:jc w:val="both"/>
      </w:pPr>
      <w:r>
        <w:rPr>
          <w:spacing w:val="-4"/>
          <w:w w:val="95"/>
        </w:rPr>
        <w:t xml:space="preserve">当周边绩效完成情况严重影响其他管理活动，即某一岗位周  </w:t>
      </w:r>
      <w:r>
        <w:rPr>
          <w:spacing w:val="-10"/>
          <w:w w:val="95"/>
        </w:rPr>
        <w:t xml:space="preserve">边绩效严重影响了其他岗位管理工作的，可由项目班子通过讨论  </w:t>
      </w:r>
      <w:r>
        <w:rPr>
          <w:spacing w:val="-12"/>
          <w:w w:val="95"/>
        </w:rPr>
        <w:t xml:space="preserve">对该岗位周边绩效指标进行量化，调整为临时性专项量化考核指  </w:t>
      </w:r>
      <w:r>
        <w:t>标。</w:t>
      </w:r>
    </w:p>
    <w:p>
      <w:pPr>
        <w:pStyle w:val="Heading1"/>
        <w:spacing w:before="203"/>
        <w:jc w:val="both"/>
      </w:pPr>
      <w:bookmarkStart w:id="8" w:name="_TOC_250030"/>
      <w:bookmarkEnd w:id="8"/>
      <w:r>
        <w:t>第七条 定量指标与定量指标库</w:t>
      </w:r>
    </w:p>
    <w:p>
      <w:pPr>
        <w:spacing w:after="0"/>
        <w:jc w:val="both"/>
        <w:sectPr>
          <w:footerReference w:type="even" r:id="rId17"/>
          <w:footerReference w:type="default" r:id="rId18"/>
          <w:pgSz w:w="17860" w:h="25260"/>
          <w:pgMar w:top="2420" w:right="1820" w:bottom="2040" w:left="2280" w:header="0" w:footer="1843"/>
          <w:pgNumType w:start="4"/>
          <w:cols w:space="708"/>
        </w:sectPr>
      </w:pPr>
    </w:p>
    <w:p>
      <w:pPr>
        <w:pStyle w:val="BodyText"/>
        <w:spacing w:before="11"/>
        <w:rPr>
          <w:b/>
          <w:sz w:val="14"/>
        </w:rPr>
      </w:pPr>
    </w:p>
    <w:p>
      <w:pPr>
        <w:pStyle w:val="BodyText"/>
        <w:spacing w:line="858" w:lineRule="exact"/>
        <w:ind w:left="1065"/>
      </w:pPr>
      <w:r>
        <w:t>参照附件《中建三局一公司项目各系统指标库》。</w:t>
      </w:r>
    </w:p>
    <w:p>
      <w:pPr>
        <w:pStyle w:val="Heading1"/>
        <w:tabs>
          <w:tab w:val="left" w:pos="1993"/>
        </w:tabs>
        <w:spacing w:before="188" w:line="292" w:lineRule="auto"/>
        <w:ind w:left="1065" w:right="7454" w:hanging="961"/>
      </w:pPr>
      <w:r>
        <w:t>第八条</w:t>
        <w:tab/>
        <w:t>项目考核量表的制</w:t>
      </w:r>
      <w:r>
        <w:rPr>
          <w:spacing w:val="-17"/>
        </w:rPr>
        <w:t>订</w:t>
      </w:r>
      <w:r>
        <w:t>1、管理人员</w:t>
      </w:r>
    </w:p>
    <w:p>
      <w:pPr>
        <w:pStyle w:val="BodyText"/>
        <w:spacing w:line="620" w:lineRule="exact"/>
        <w:ind w:left="1065"/>
      </w:pPr>
      <w:r>
        <w:t>（一）考核量表的组成</w:t>
      </w:r>
    </w:p>
    <w:p>
      <w:pPr>
        <w:pStyle w:val="ListParagraph"/>
        <w:numPr>
          <w:ilvl w:val="0"/>
          <w:numId w:val="5"/>
        </w:numPr>
        <w:tabs>
          <w:tab w:val="left" w:pos="2305"/>
        </w:tabs>
        <w:spacing w:before="0" w:after="0" w:line="841" w:lineRule="exact"/>
        <w:ind w:left="2304" w:right="0" w:hanging="1240"/>
        <w:jc w:val="left"/>
        <w:rPr>
          <w:sz w:val="48"/>
        </w:rPr>
      </w:pPr>
      <w:r>
        <w:rPr>
          <w:sz w:val="48"/>
        </w:rPr>
        <w:t>定量指标</w:t>
      </w:r>
    </w:p>
    <w:p>
      <w:pPr>
        <w:pStyle w:val="BodyText"/>
        <w:spacing w:line="839" w:lineRule="exact"/>
        <w:ind w:left="1065"/>
      </w:pPr>
      <w:r>
        <w:t>由各系统指标库和项目自行制定指标两部分构成：</w:t>
      </w:r>
    </w:p>
    <w:p>
      <w:pPr>
        <w:pStyle w:val="BodyText"/>
        <w:spacing w:before="8" w:line="228" w:lineRule="auto"/>
        <w:ind w:left="104" w:right="715" w:firstLine="961"/>
      </w:pPr>
      <w:r>
        <w:t>①指标库指标：对应考核周期从各系统指标库中选择 3-7 条指标。</w:t>
      </w:r>
    </w:p>
    <w:p>
      <w:pPr>
        <w:pStyle w:val="BodyText"/>
        <w:spacing w:before="1" w:line="228" w:lineRule="auto"/>
        <w:ind w:left="104" w:right="428" w:firstLine="961"/>
      </w:pPr>
      <w:r>
        <w:rPr>
          <w:spacing w:val="-15"/>
          <w:w w:val="95"/>
        </w:rPr>
        <w:t xml:space="preserve">②项目自行制定指标：在指标库无法选择的情况下，由项目  </w:t>
      </w:r>
      <w:r>
        <w:rPr>
          <w:spacing w:val="-2"/>
        </w:rPr>
        <w:t xml:space="preserve">自行制定不超过 </w:t>
      </w:r>
      <w:r>
        <w:t>3</w:t>
      </w:r>
      <w:r>
        <w:rPr>
          <w:spacing w:val="-5"/>
        </w:rPr>
        <w:t xml:space="preserve"> 条指标。</w:t>
      </w:r>
    </w:p>
    <w:p>
      <w:pPr>
        <w:pStyle w:val="ListParagraph"/>
        <w:numPr>
          <w:ilvl w:val="0"/>
          <w:numId w:val="5"/>
        </w:numPr>
        <w:tabs>
          <w:tab w:val="left" w:pos="2305"/>
        </w:tabs>
        <w:spacing w:before="0" w:after="0" w:line="853" w:lineRule="exact"/>
        <w:ind w:left="2304" w:right="0" w:hanging="1240"/>
        <w:jc w:val="left"/>
        <w:rPr>
          <w:sz w:val="48"/>
        </w:rPr>
      </w:pPr>
      <w:r>
        <w:rPr>
          <w:sz w:val="48"/>
        </w:rPr>
        <w:t>定性指标</w:t>
      </w:r>
    </w:p>
    <w:p>
      <w:pPr>
        <w:spacing w:before="58"/>
        <w:ind w:left="4216" w:right="0" w:firstLine="0"/>
        <w:jc w:val="left"/>
        <w:rPr>
          <w:b/>
          <w:sz w:val="42"/>
        </w:rPr>
      </w:pPr>
      <w:r>
        <w:rPr>
          <w:b/>
          <w:sz w:val="42"/>
        </w:rPr>
        <w:t>项目班子人员周边绩效指标</w:t>
      </w:r>
    </w:p>
    <w:p>
      <w:pPr>
        <w:pStyle w:val="BodyText"/>
        <w:spacing w:before="6"/>
        <w:rPr>
          <w:b/>
          <w:sz w:val="9"/>
        </w:rPr>
      </w:pPr>
      <w:r>
        <w:pict>
          <v:group id="_x0000_s1025" style="width:587pt;height:240pt;margin-top:10.57pt;margin-left:158pt;mso-position-horizontal-relative:page;mso-wrap-distance-left:0;mso-wrap-distance-right:0;position:absolute;z-index:-251657216" coordorigin="3160,211" coordsize="11740,480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1740;height:4800;left:3160;position:absolute;top:211" stroked="f">
              <v:imagedata r:id="rId19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216;height:395;left:9941;position:absolute;top:497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b/>
                        <w:sz w:val="30"/>
                      </w:rPr>
                    </w:pPr>
                    <w:r>
                      <w:rPr>
                        <w:b/>
                        <w:sz w:val="30"/>
                      </w:rPr>
                      <w:t>评价标准</w:t>
                    </w:r>
                  </w:p>
                </w:txbxContent>
              </v:textbox>
            </v:shape>
            <v:shape id="_x0000_s1028" type="#_x0000_t202" style="width:2144;height:395;left:3341;position:absolute;top:972" filled="f" stroked="f">
              <v:textbox inset="0,0,0,0">
                <w:txbxContent>
                  <w:p>
                    <w:pPr>
                      <w:tabs>
                        <w:tab w:val="left" w:pos="928"/>
                      </w:tabs>
                      <w:spacing w:before="0" w:line="394" w:lineRule="exact"/>
                      <w:ind w:left="0" w:right="0" w:firstLine="0"/>
                      <w:jc w:val="left"/>
                      <w:rPr>
                        <w:b/>
                        <w:sz w:val="30"/>
                      </w:rPr>
                    </w:pPr>
                    <w:r>
                      <w:rPr>
                        <w:b/>
                        <w:sz w:val="30"/>
                      </w:rPr>
                      <w:t>序号</w:t>
                      <w:tab/>
                      <w:t>评价类别</w:t>
                    </w:r>
                  </w:p>
                </w:txbxContent>
              </v:textbox>
            </v:shape>
            <v:shape id="_x0000_s1029" type="#_x0000_t202" style="width:1216;height:395;left:6096;position:absolute;top:972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b/>
                        <w:sz w:val="30"/>
                      </w:rPr>
                    </w:pPr>
                    <w:r>
                      <w:rPr>
                        <w:b/>
                        <w:sz w:val="30"/>
                      </w:rPr>
                      <w:t>评价要素</w:t>
                    </w:r>
                  </w:p>
                </w:txbxContent>
              </v:textbox>
            </v:shape>
            <v:shape id="_x0000_s1030" type="#_x0000_t202" style="width:618;height:395;left:7921;position:absolute;top:972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b/>
                        <w:sz w:val="30"/>
                      </w:rPr>
                    </w:pPr>
                    <w:r>
                      <w:rPr>
                        <w:b/>
                        <w:sz w:val="30"/>
                      </w:rPr>
                      <w:t>权重</w:t>
                    </w:r>
                  </w:p>
                </w:txbxContent>
              </v:textbox>
            </v:shape>
            <v:shape id="_x0000_s1031" type="#_x0000_t202" style="width:2145;height:395;left:12558;position:absolute;top:972" filled="f" stroked="f">
              <v:textbox inset="0,0,0,0">
                <w:txbxContent>
                  <w:p>
                    <w:pPr>
                      <w:tabs>
                        <w:tab w:val="left" w:pos="929"/>
                      </w:tabs>
                      <w:spacing w:before="0" w:line="394" w:lineRule="exact"/>
                      <w:ind w:left="0" w:right="0" w:firstLine="0"/>
                      <w:jc w:val="left"/>
                      <w:rPr>
                        <w:b/>
                        <w:sz w:val="30"/>
                      </w:rPr>
                    </w:pPr>
                    <w:r>
                      <w:rPr>
                        <w:b/>
                        <w:sz w:val="30"/>
                      </w:rPr>
                      <w:t>评分</w:t>
                      <w:tab/>
                      <w:t>实际得分</w:t>
                    </w:r>
                  </w:p>
                </w:txbxContent>
              </v:textbox>
            </v:shape>
            <v:shape id="_x0000_s1032" type="#_x0000_t202" style="width:3398;height:395;left:8850;position:absolute;top:1448" filled="f" stroked="f">
              <v:textbox inset="0,0,0,0">
                <w:txbxContent>
                  <w:p>
                    <w:pPr>
                      <w:tabs>
                        <w:tab w:val="left" w:pos="925"/>
                        <w:tab w:val="left" w:pos="1854"/>
                        <w:tab w:val="left" w:pos="2779"/>
                      </w:tabs>
                      <w:spacing w:before="0" w:line="394" w:lineRule="exact"/>
                      <w:ind w:left="0" w:right="0" w:firstLine="0"/>
                      <w:jc w:val="left"/>
                      <w:rPr>
                        <w:b/>
                        <w:sz w:val="30"/>
                      </w:rPr>
                    </w:pPr>
                    <w:r>
                      <w:rPr>
                        <w:b/>
                        <w:sz w:val="30"/>
                      </w:rPr>
                      <w:t>优秀</w:t>
                      <w:tab/>
                      <w:t>良好</w:t>
                      <w:tab/>
                      <w:t>一般</w:t>
                      <w:tab/>
                      <w:t>较差</w:t>
                    </w:r>
                  </w:p>
                </w:txbxContent>
              </v:textbox>
            </v:shape>
            <v:shape id="_x0000_s1033" type="#_x0000_t202" style="width:1514;height:395;left:5945;position:absolute;top:2398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计划与组织</w:t>
                    </w:r>
                  </w:p>
                </w:txbxContent>
              </v:textbox>
            </v:shape>
            <v:shape id="_x0000_s1034" type="#_x0000_t202" style="width:461;height:395;left:8000;position:absolute;top:2398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5%</w:t>
                    </w:r>
                  </w:p>
                </w:txbxContent>
              </v:textbox>
            </v:shape>
            <v:shape id="_x0000_s1035" type="#_x0000_t202" style="width:546;height:395;left:8886;position:absolute;top:2398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100</w:t>
                    </w:r>
                  </w:p>
                </w:txbxContent>
              </v:textbox>
            </v:shape>
            <v:shape id="_x0000_s1036" type="#_x0000_t202" style="width:371;height:395;left:9902;position:absolute;top:2398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80</w:t>
                    </w:r>
                  </w:p>
                </w:txbxContent>
              </v:textbox>
            </v:shape>
            <v:shape id="_x0000_s1037" type="#_x0000_t202" style="width:371;height:395;left:10830;position:absolute;top:2398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60</w:t>
                    </w:r>
                  </w:p>
                </w:txbxContent>
              </v:textbox>
            </v:shape>
            <v:shape id="_x0000_s1038" type="#_x0000_t202" style="width:371;height:395;left:11756;position:absolute;top:2398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40</w:t>
                    </w:r>
                  </w:p>
                </w:txbxContent>
              </v:textbox>
            </v:shape>
            <v:shape id="_x0000_s1039" type="#_x0000_t202" style="width:196;height:395;left:3553;position:absolute;top:3341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1</w:t>
                    </w:r>
                  </w:p>
                </w:txbxContent>
              </v:textbox>
            </v:shape>
            <v:shape id="_x0000_s1040" type="#_x0000_t202" style="width:1216;height:395;left:4270;position:absolute;top:3341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工作能力</w:t>
                    </w:r>
                  </w:p>
                </w:txbxContent>
              </v:textbox>
            </v:shape>
            <v:shape id="_x0000_s1041" type="#_x0000_t202" style="width:3487;height:863;left:5945;position:absolute;top:3348" filled="f" stroked="f">
              <v:textbox inset="0,0,0,0">
                <w:txbxContent>
                  <w:p>
                    <w:pPr>
                      <w:spacing w:before="0" w:line="431" w:lineRule="exact"/>
                      <w:ind w:left="2102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10</w:t>
                    </w:r>
                  </w:p>
                  <w:p>
                    <w:pPr>
                      <w:tabs>
                        <w:tab w:val="right" w:pos="3466"/>
                      </w:tabs>
                      <w:spacing w:before="0" w:line="432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指导与监督</w:t>
                      <w:tab/>
                      <w:t>100</w:t>
                    </w:r>
                  </w:p>
                </w:txbxContent>
              </v:textbox>
            </v:shape>
            <v:shape id="_x0000_s1042" type="#_x0000_t202" style="width:371;height:395;left:9902;position:absolute;top:3816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80</w:t>
                    </w:r>
                  </w:p>
                </w:txbxContent>
              </v:textbox>
            </v:shape>
            <v:shape id="_x0000_s1043" type="#_x0000_t202" style="width:371;height:395;left:10830;position:absolute;top:3816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60</w:t>
                    </w:r>
                  </w:p>
                </w:txbxContent>
              </v:textbox>
            </v:shape>
            <v:shape id="_x0000_s1044" type="#_x0000_t202" style="width:371;height:395;left:11756;position:absolute;top:3816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40</w:t>
                    </w:r>
                  </w:p>
                </w:txbxContent>
              </v:textbox>
            </v:shape>
            <v:shape id="_x0000_s1045" type="#_x0000_t202" style="width:286;height:395;left:8090;position:absolute;top:4284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%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0" w:line="653" w:lineRule="exact"/>
        <w:ind w:left="0" w:right="271" w:firstLine="0"/>
        <w:jc w:val="center"/>
        <w:rPr>
          <w:b/>
          <w:sz w:val="42"/>
        </w:rPr>
      </w:pPr>
      <w:r>
        <w:rPr>
          <w:b/>
          <w:sz w:val="42"/>
        </w:rPr>
        <w:t>项目管理人员周边绩效指标</w:t>
      </w:r>
    </w:p>
    <w:p>
      <w:pPr>
        <w:pStyle w:val="BodyText"/>
        <w:spacing w:before="9"/>
        <w:rPr>
          <w:b/>
          <w:sz w:val="21"/>
        </w:rPr>
      </w:pPr>
    </w:p>
    <w:p>
      <w:pPr>
        <w:spacing w:after="0"/>
        <w:rPr>
          <w:sz w:val="21"/>
        </w:rPr>
        <w:sectPr>
          <w:footerReference w:type="even" r:id="rId20"/>
          <w:footerReference w:type="default" r:id="rId21"/>
          <w:pgSz w:w="17860" w:h="25260"/>
          <w:pgMar w:top="2420" w:right="1820" w:bottom="2020" w:left="2280" w:header="0" w:footer="1839"/>
          <w:pgNumType w:start="5"/>
          <w:cols w:space="708"/>
        </w:sectPr>
      </w:pPr>
    </w:p>
    <w:p>
      <w:pPr>
        <w:pStyle w:val="BodyText"/>
        <w:spacing w:before="17"/>
        <w:rPr>
          <w:b/>
          <w:sz w:val="26"/>
        </w:rPr>
      </w:pPr>
    </w:p>
    <w:p>
      <w:pPr>
        <w:tabs>
          <w:tab w:val="left" w:pos="1990"/>
          <w:tab w:val="left" w:pos="3816"/>
          <w:tab w:val="left" w:pos="5641"/>
        </w:tabs>
        <w:spacing w:before="0"/>
        <w:ind w:left="1061" w:right="0" w:firstLine="0"/>
        <w:jc w:val="left"/>
        <w:rPr>
          <w:b/>
          <w:sz w:val="30"/>
        </w:rPr>
      </w:pPr>
      <w:r>
        <w:rPr>
          <w:b/>
          <w:sz w:val="30"/>
        </w:rPr>
        <w:t>序号</w:t>
        <w:tab/>
        <w:t>评价类别</w:t>
        <w:tab/>
        <w:t>评价要素</w:t>
        <w:tab/>
        <w:t>权</w:t>
      </w:r>
      <w:r>
        <w:rPr>
          <w:b/>
          <w:spacing w:val="-20"/>
          <w:sz w:val="30"/>
        </w:rPr>
        <w:t>重</w:t>
      </w:r>
    </w:p>
    <w:p>
      <w:pPr>
        <w:spacing w:before="21"/>
        <w:ind w:left="291" w:right="0" w:firstLine="0"/>
        <w:jc w:val="center"/>
        <w:rPr>
          <w:b/>
          <w:sz w:val="30"/>
        </w:rPr>
      </w:pPr>
      <w:r>
        <w:br w:type="column"/>
      </w:r>
      <w:r>
        <w:rPr>
          <w:b/>
          <w:sz w:val="30"/>
        </w:rPr>
        <w:t>评价标准</w:t>
      </w:r>
    </w:p>
    <w:p>
      <w:pPr>
        <w:pStyle w:val="BodyText"/>
        <w:spacing w:before="10"/>
        <w:rPr>
          <w:b/>
          <w:sz w:val="21"/>
        </w:rPr>
      </w:pPr>
    </w:p>
    <w:p>
      <w:pPr>
        <w:tabs>
          <w:tab w:val="left" w:pos="1216"/>
          <w:tab w:val="left" w:pos="2145"/>
          <w:tab w:val="left" w:pos="3070"/>
        </w:tabs>
        <w:spacing w:before="0"/>
        <w:ind w:left="291" w:right="0" w:firstLine="0"/>
        <w:jc w:val="center"/>
        <w:rPr>
          <w:b/>
          <w:sz w:val="30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2006600</wp:posOffset>
            </wp:positionH>
            <wp:positionV relativeFrom="paragraph">
              <wp:posOffset>-729775</wp:posOffset>
            </wp:positionV>
            <wp:extent cx="7454900" cy="1244600"/>
            <wp:effectExtent l="0" t="0" r="0" b="0"/>
            <wp:wrapNone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54900" cy="1244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0"/>
        </w:rPr>
        <w:t>优秀</w:t>
        <w:tab/>
        <w:t>良好</w:t>
        <w:tab/>
        <w:t>一般</w:t>
        <w:tab/>
        <w:t>较</w:t>
      </w:r>
      <w:r>
        <w:rPr>
          <w:b/>
          <w:spacing w:val="-19"/>
          <w:sz w:val="30"/>
        </w:rPr>
        <w:t>差</w:t>
      </w:r>
    </w:p>
    <w:p>
      <w:pPr>
        <w:pStyle w:val="BodyText"/>
        <w:spacing w:before="17"/>
        <w:rPr>
          <w:b/>
          <w:sz w:val="26"/>
        </w:rPr>
      </w:pPr>
      <w:r>
        <w:br w:type="column"/>
      </w:r>
    </w:p>
    <w:p>
      <w:pPr>
        <w:tabs>
          <w:tab w:val="left" w:pos="1220"/>
        </w:tabs>
        <w:spacing w:before="0"/>
        <w:ind w:left="290" w:right="0" w:firstLine="0"/>
        <w:jc w:val="left"/>
        <w:rPr>
          <w:b/>
          <w:sz w:val="30"/>
        </w:rPr>
      </w:pPr>
      <w:r>
        <w:rPr>
          <w:b/>
          <w:sz w:val="30"/>
        </w:rPr>
        <w:t>评分</w:t>
        <w:tab/>
        <w:t>实际得分</w:t>
      </w:r>
    </w:p>
    <w:p>
      <w:pPr>
        <w:spacing w:after="0"/>
        <w:jc w:val="left"/>
        <w:rPr>
          <w:sz w:val="30"/>
        </w:rPr>
        <w:sectPr>
          <w:footerReference w:type="even" r:id="rId23"/>
          <w:footerReference w:type="default" r:id="rId24"/>
          <w:type w:val="continuous"/>
          <w:pgSz w:w="17860" w:h="25260"/>
          <w:pgMar w:top="2420" w:right="1820" w:bottom="280" w:left="2280" w:header="708" w:footer="708"/>
          <w:pgNumType w:start="6"/>
          <w:cols w:num="3" w:space="708" w:equalWidth="0">
            <w:col w:w="6240" w:space="40"/>
            <w:col w:w="3669" w:space="39"/>
            <w:col w:w="3772" w:space="0"/>
          </w:cols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3" w:after="1"/>
        <w:rPr>
          <w:b/>
          <w:sz w:val="16"/>
        </w:rPr>
      </w:pPr>
    </w:p>
    <w:tbl>
      <w:tblPr>
        <w:tblStyle w:val="TableNormal0"/>
        <w:tblW w:w="0" w:type="auto"/>
        <w:jc w:val="left"/>
        <w:tblInd w:w="12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96"/>
        <w:gridCol w:w="1632"/>
        <w:gridCol w:w="2164"/>
        <w:gridCol w:w="868"/>
        <w:gridCol w:w="993"/>
        <w:gridCol w:w="885"/>
        <w:gridCol w:w="927"/>
        <w:gridCol w:w="688"/>
      </w:tblGrid>
      <w:tr>
        <w:tblPrEx>
          <w:tblW w:w="0" w:type="auto"/>
          <w:jc w:val="left"/>
          <w:tblInd w:w="123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8"/>
          <w:jc w:val="left"/>
        </w:trPr>
        <w:tc>
          <w:tcPr>
            <w:tcW w:w="2128" w:type="dxa"/>
            <w:gridSpan w:val="2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2164" w:type="dxa"/>
          </w:tcPr>
          <w:p>
            <w:pPr>
              <w:pStyle w:val="TableParagraph"/>
              <w:spacing w:line="473" w:lineRule="exact"/>
              <w:ind w:left="143" w:right="178"/>
              <w:jc w:val="center"/>
              <w:rPr>
                <w:sz w:val="30"/>
              </w:rPr>
            </w:pPr>
            <w:r>
              <w:rPr>
                <w:sz w:val="30"/>
              </w:rPr>
              <w:t>执行力</w:t>
            </w:r>
          </w:p>
        </w:tc>
        <w:tc>
          <w:tcPr>
            <w:tcW w:w="868" w:type="dxa"/>
          </w:tcPr>
          <w:p>
            <w:pPr>
              <w:pStyle w:val="TableParagraph"/>
              <w:spacing w:line="473" w:lineRule="exact"/>
              <w:ind w:left="204"/>
              <w:rPr>
                <w:sz w:val="30"/>
              </w:rPr>
            </w:pPr>
            <w:r>
              <w:rPr>
                <w:sz w:val="30"/>
              </w:rPr>
              <w:t>5%</w:t>
            </w:r>
          </w:p>
        </w:tc>
        <w:tc>
          <w:tcPr>
            <w:tcW w:w="993" w:type="dxa"/>
          </w:tcPr>
          <w:p>
            <w:pPr>
              <w:pStyle w:val="TableParagraph"/>
              <w:spacing w:line="473" w:lineRule="exact"/>
              <w:ind w:left="202" w:right="222"/>
              <w:jc w:val="center"/>
              <w:rPr>
                <w:sz w:val="30"/>
              </w:rPr>
            </w:pPr>
            <w:r>
              <w:rPr>
                <w:sz w:val="30"/>
              </w:rPr>
              <w:t>100</w:t>
            </w:r>
          </w:p>
        </w:tc>
        <w:tc>
          <w:tcPr>
            <w:tcW w:w="885" w:type="dxa"/>
          </w:tcPr>
          <w:p>
            <w:pPr>
              <w:pStyle w:val="TableParagraph"/>
              <w:spacing w:line="473" w:lineRule="exact"/>
              <w:ind w:left="245"/>
              <w:rPr>
                <w:sz w:val="30"/>
              </w:rPr>
            </w:pPr>
            <w:r>
              <w:rPr>
                <w:sz w:val="30"/>
              </w:rPr>
              <w:t>80</w:t>
            </w:r>
          </w:p>
        </w:tc>
        <w:tc>
          <w:tcPr>
            <w:tcW w:w="927" w:type="dxa"/>
          </w:tcPr>
          <w:p>
            <w:pPr>
              <w:pStyle w:val="TableParagraph"/>
              <w:spacing w:line="473" w:lineRule="exact"/>
              <w:ind w:left="268" w:right="267"/>
              <w:jc w:val="center"/>
              <w:rPr>
                <w:sz w:val="30"/>
              </w:rPr>
            </w:pPr>
            <w:r>
              <w:rPr>
                <w:sz w:val="30"/>
              </w:rPr>
              <w:t>60</w:t>
            </w:r>
          </w:p>
        </w:tc>
        <w:tc>
          <w:tcPr>
            <w:tcW w:w="688" w:type="dxa"/>
          </w:tcPr>
          <w:p>
            <w:pPr>
              <w:pStyle w:val="TableParagraph"/>
              <w:spacing w:line="473" w:lineRule="exact"/>
              <w:ind w:right="48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40</w:t>
            </w:r>
          </w:p>
        </w:tc>
      </w:tr>
      <w:tr>
        <w:tblPrEx>
          <w:tblW w:w="0" w:type="auto"/>
          <w:jc w:val="left"/>
          <w:tblInd w:w="123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43"/>
          <w:jc w:val="left"/>
        </w:trPr>
        <w:tc>
          <w:tcPr>
            <w:tcW w:w="496" w:type="dxa"/>
          </w:tcPr>
          <w:p>
            <w:pPr>
              <w:pStyle w:val="TableParagraph"/>
              <w:spacing w:before="194"/>
              <w:ind w:left="50"/>
              <w:rPr>
                <w:sz w:val="30"/>
              </w:rPr>
            </w:pPr>
            <w:r>
              <w:rPr>
                <w:w w:val="99"/>
                <w:sz w:val="30"/>
              </w:rPr>
              <w:t>1</w:t>
            </w:r>
          </w:p>
        </w:tc>
        <w:tc>
          <w:tcPr>
            <w:tcW w:w="1632" w:type="dxa"/>
          </w:tcPr>
          <w:p>
            <w:pPr>
              <w:pStyle w:val="TableParagraph"/>
              <w:spacing w:before="194"/>
              <w:ind w:left="270"/>
              <w:rPr>
                <w:sz w:val="30"/>
              </w:rPr>
            </w:pPr>
            <w:r>
              <w:rPr>
                <w:sz w:val="30"/>
              </w:rPr>
              <w:t>工作态度</w:t>
            </w:r>
          </w:p>
        </w:tc>
        <w:tc>
          <w:tcPr>
            <w:tcW w:w="2164" w:type="dxa"/>
          </w:tcPr>
          <w:p>
            <w:pPr>
              <w:pStyle w:val="TableParagraph"/>
              <w:spacing w:before="6"/>
              <w:rPr>
                <w:b/>
                <w:sz w:val="36"/>
              </w:rPr>
            </w:pPr>
          </w:p>
          <w:p>
            <w:pPr>
              <w:pStyle w:val="TableParagraph"/>
              <w:spacing w:line="454" w:lineRule="exact"/>
              <w:ind w:left="143" w:right="180"/>
              <w:jc w:val="center"/>
              <w:rPr>
                <w:sz w:val="30"/>
              </w:rPr>
            </w:pPr>
            <w:r>
              <w:rPr>
                <w:sz w:val="30"/>
              </w:rPr>
              <w:t>团队协作精神</w:t>
            </w:r>
          </w:p>
        </w:tc>
        <w:tc>
          <w:tcPr>
            <w:tcW w:w="868" w:type="dxa"/>
          </w:tcPr>
          <w:p>
            <w:pPr>
              <w:pStyle w:val="TableParagraph"/>
              <w:spacing w:before="202"/>
              <w:ind w:left="251"/>
              <w:rPr>
                <w:sz w:val="30"/>
              </w:rPr>
            </w:pPr>
            <w:r>
              <w:rPr>
                <w:sz w:val="30"/>
              </w:rPr>
              <w:t>10</w:t>
            </w:r>
          </w:p>
        </w:tc>
        <w:tc>
          <w:tcPr>
            <w:tcW w:w="993" w:type="dxa"/>
          </w:tcPr>
          <w:p>
            <w:pPr>
              <w:pStyle w:val="TableParagraph"/>
              <w:spacing w:before="6"/>
              <w:rPr>
                <w:b/>
                <w:sz w:val="36"/>
              </w:rPr>
            </w:pPr>
          </w:p>
          <w:p>
            <w:pPr>
              <w:pStyle w:val="TableParagraph"/>
              <w:spacing w:line="454" w:lineRule="exact"/>
              <w:ind w:left="202" w:right="222"/>
              <w:jc w:val="center"/>
              <w:rPr>
                <w:sz w:val="30"/>
              </w:rPr>
            </w:pPr>
            <w:r>
              <w:rPr>
                <w:sz w:val="30"/>
              </w:rPr>
              <w:t>100</w:t>
            </w:r>
          </w:p>
        </w:tc>
        <w:tc>
          <w:tcPr>
            <w:tcW w:w="885" w:type="dxa"/>
          </w:tcPr>
          <w:p>
            <w:pPr>
              <w:pStyle w:val="TableParagraph"/>
              <w:spacing w:before="6"/>
              <w:rPr>
                <w:b/>
                <w:sz w:val="36"/>
              </w:rPr>
            </w:pPr>
          </w:p>
          <w:p>
            <w:pPr>
              <w:pStyle w:val="TableParagraph"/>
              <w:spacing w:line="454" w:lineRule="exact"/>
              <w:ind w:left="245"/>
              <w:rPr>
                <w:sz w:val="30"/>
              </w:rPr>
            </w:pPr>
            <w:r>
              <w:rPr>
                <w:sz w:val="30"/>
              </w:rPr>
              <w:t>80</w:t>
            </w:r>
          </w:p>
        </w:tc>
        <w:tc>
          <w:tcPr>
            <w:tcW w:w="927" w:type="dxa"/>
          </w:tcPr>
          <w:p>
            <w:pPr>
              <w:pStyle w:val="TableParagraph"/>
              <w:spacing w:before="6"/>
              <w:rPr>
                <w:b/>
                <w:sz w:val="36"/>
              </w:rPr>
            </w:pPr>
          </w:p>
          <w:p>
            <w:pPr>
              <w:pStyle w:val="TableParagraph"/>
              <w:spacing w:line="454" w:lineRule="exact"/>
              <w:ind w:left="268" w:right="267"/>
              <w:jc w:val="center"/>
              <w:rPr>
                <w:sz w:val="30"/>
              </w:rPr>
            </w:pPr>
            <w:r>
              <w:rPr>
                <w:sz w:val="30"/>
              </w:rPr>
              <w:t>60</w:t>
            </w:r>
          </w:p>
        </w:tc>
        <w:tc>
          <w:tcPr>
            <w:tcW w:w="688" w:type="dxa"/>
          </w:tcPr>
          <w:p>
            <w:pPr>
              <w:pStyle w:val="TableParagraph"/>
              <w:spacing w:before="6"/>
              <w:rPr>
                <w:b/>
                <w:sz w:val="36"/>
              </w:rPr>
            </w:pPr>
          </w:p>
          <w:p>
            <w:pPr>
              <w:pStyle w:val="TableParagraph"/>
              <w:spacing w:line="454" w:lineRule="exact"/>
              <w:ind w:right="48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40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spacing w:before="17"/>
        <w:rPr>
          <w:b/>
          <w:sz w:val="13"/>
        </w:rPr>
      </w:pPr>
    </w:p>
    <w:p>
      <w:pPr>
        <w:pStyle w:val="BodyText"/>
        <w:spacing w:line="837" w:lineRule="exact"/>
        <w:ind w:left="1065"/>
      </w:pPr>
      <w:r>
        <w:pict>
          <v:group id="_x0000_s1046" style="width:587pt;height:2in;margin-top:-135.15pt;margin-left:158pt;mso-position-horizontal-relative:page;position:absolute;z-index:-251655168" coordorigin="3160,-2703" coordsize="11740,2880">
            <v:shape id="_x0000_s1047" type="#_x0000_t75" style="width:11740;height:2880;left:3160;position:absolute;top:-2704" stroked="f">
              <v:imagedata r:id="rId25" o:title=""/>
            </v:shape>
            <v:shape id="_x0000_s1048" type="#_x0000_t202" style="width:286;height:395;left:8090;position:absolute;top:-552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%</w:t>
                    </w:r>
                  </w:p>
                </w:txbxContent>
              </v:textbox>
            </v:shape>
          </v:group>
        </w:pict>
      </w:r>
      <w:r>
        <w:t>（二）考核指标权重设置</w:t>
      </w:r>
    </w:p>
    <w:p>
      <w:pPr>
        <w:pStyle w:val="BodyText"/>
        <w:spacing w:before="10" w:line="228" w:lineRule="auto"/>
        <w:ind w:left="104" w:right="512" w:firstLine="961"/>
        <w:jc w:val="both"/>
      </w:pPr>
      <w:r>
        <w:rPr>
          <w:spacing w:val="-3"/>
        </w:rPr>
        <w:t xml:space="preserve">定量指标占考核量表总分值的 </w:t>
      </w:r>
      <w:r>
        <w:t>85%，定性指标占考核量表</w:t>
      </w:r>
      <w:r>
        <w:rPr>
          <w:spacing w:val="-9"/>
        </w:rPr>
        <w:t xml:space="preserve">总分值的 </w:t>
      </w:r>
      <w:r>
        <w:t>15%。定量指标中从指标库选择的指标不得低于总分</w:t>
      </w:r>
      <w:r>
        <w:rPr>
          <w:spacing w:val="-12"/>
        </w:rPr>
        <w:t xml:space="preserve">值的 </w:t>
      </w:r>
      <w:r>
        <w:t>50</w:t>
      </w:r>
      <w:r>
        <w:rPr>
          <w:spacing w:val="-1"/>
        </w:rPr>
        <w:t xml:space="preserve">%；项目自行制定指标个数不得超过 </w:t>
      </w:r>
      <w:r>
        <w:t>3</w:t>
      </w:r>
      <w:r>
        <w:rPr>
          <w:spacing w:val="-7"/>
        </w:rPr>
        <w:t xml:space="preserve"> 个，占比不得高</w:t>
      </w:r>
      <w:r>
        <w:rPr>
          <w:spacing w:val="-13"/>
        </w:rPr>
        <w:t xml:space="preserve">于 </w:t>
      </w:r>
      <w:r>
        <w:t>35%。</w:t>
      </w:r>
    </w:p>
    <w:p>
      <w:pPr>
        <w:pStyle w:val="BodyText"/>
        <w:spacing w:line="828" w:lineRule="exact"/>
        <w:ind w:left="1065"/>
      </w:pPr>
      <w:r>
        <w:t>（三）标准分值</w:t>
      </w:r>
    </w:p>
    <w:p>
      <w:pPr>
        <w:pStyle w:val="BodyText"/>
        <w:spacing w:before="9" w:line="228" w:lineRule="auto"/>
        <w:ind w:left="104" w:right="440" w:firstLine="961"/>
      </w:pPr>
      <w:r>
        <w:rPr>
          <w:spacing w:val="-15"/>
          <w:w w:val="95"/>
        </w:rPr>
        <w:t xml:space="preserve">由项目根据所选指标的数量、重要性匹配情况自行确定各指  </w:t>
      </w:r>
      <w:r>
        <w:rPr>
          <w:spacing w:val="-1"/>
        </w:rPr>
        <w:t xml:space="preserve">标的标准分值，且全表标准分值总和为 </w:t>
      </w:r>
      <w:r>
        <w:t>100</w:t>
      </w:r>
      <w:r>
        <w:rPr>
          <w:spacing w:val="-8"/>
        </w:rPr>
        <w:t xml:space="preserve"> 分。</w:t>
      </w:r>
    </w:p>
    <w:p>
      <w:pPr>
        <w:pStyle w:val="Heading1"/>
        <w:spacing w:line="831" w:lineRule="exact"/>
        <w:ind w:left="1065"/>
      </w:pPr>
      <w:r>
        <w:t>2、工勤人员</w:t>
      </w:r>
    </w:p>
    <w:p>
      <w:pPr>
        <w:pStyle w:val="BodyText"/>
        <w:spacing w:before="9" w:line="228" w:lineRule="auto"/>
        <w:ind w:left="104" w:right="431" w:firstLine="939"/>
      </w:pPr>
      <w:r>
        <w:rPr>
          <w:spacing w:val="-9"/>
          <w:w w:val="95"/>
        </w:rPr>
        <w:t xml:space="preserve">工勤人员由人力资源部统一制定考核量表进行考核，主要考  </w:t>
      </w:r>
      <w:r>
        <w:rPr>
          <w:spacing w:val="-10"/>
        </w:rPr>
        <w:t>察周边绩效，详见《项目工勤人员考核评价量表》。</w:t>
      </w:r>
    </w:p>
    <w:p>
      <w:pPr>
        <w:spacing w:after="0" w:line="228" w:lineRule="auto"/>
        <w:sectPr>
          <w:footerReference w:type="even" r:id="rId26"/>
          <w:footerReference w:type="default" r:id="rId27"/>
          <w:pgSz w:w="17860" w:h="25260"/>
          <w:pgMar w:top="2420" w:right="1820" w:bottom="2020" w:left="2280" w:header="0" w:footer="1843"/>
          <w:pgNumType w:start="7"/>
          <w:cols w:space="708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tabs>
          <w:tab w:val="left" w:pos="5518"/>
        </w:tabs>
        <w:spacing w:line="859" w:lineRule="exact"/>
        <w:ind w:left="3600"/>
      </w:pPr>
      <w:bookmarkStart w:id="9" w:name="_TOC_250029"/>
      <w:bookmarkEnd w:id="9"/>
      <w:r>
        <w:t>第三章</w:t>
        <w:tab/>
        <w:t>考核主体与考核周期</w:t>
      </w:r>
    </w:p>
    <w:p>
      <w:pPr>
        <w:pStyle w:val="Heading1"/>
        <w:tabs>
          <w:tab w:val="left" w:pos="1993"/>
        </w:tabs>
        <w:spacing w:before="191"/>
      </w:pPr>
      <w:bookmarkStart w:id="10" w:name="_TOC_250028"/>
      <w:bookmarkEnd w:id="10"/>
      <w:r>
        <w:t>第九条</w:t>
        <w:tab/>
        <w:t>考核主体</w:t>
      </w:r>
    </w:p>
    <w:p>
      <w:pPr>
        <w:pStyle w:val="BodyText"/>
        <w:spacing w:before="220" w:line="228" w:lineRule="auto"/>
        <w:ind w:left="104" w:right="392" w:firstLine="849"/>
      </w:pPr>
      <w:r>
        <w:rPr>
          <w:spacing w:val="-2"/>
        </w:rPr>
        <w:t xml:space="preserve">考核对象的直接上级是项目 </w:t>
      </w:r>
      <w:r>
        <w:t>KPI</w:t>
      </w:r>
      <w:r>
        <w:rPr>
          <w:spacing w:val="-12"/>
        </w:rPr>
        <w:t xml:space="preserve"> 考核的主要考核人，按层级</w:t>
      </w:r>
      <w:r>
        <w:t>划分如下：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"/>
        <w:rPr>
          <w:sz w:val="19"/>
        </w:rPr>
      </w:pPr>
    </w:p>
    <w:p>
      <w:pPr>
        <w:pStyle w:val="Heading1"/>
        <w:tabs>
          <w:tab w:val="left" w:pos="1993"/>
        </w:tabs>
        <w:spacing w:line="859" w:lineRule="exact"/>
      </w:pPr>
      <w:r>
        <w:pict>
          <v:group id="_x0000_s1049" style="width:695.75pt;height:520.85pt;margin-top:-523.96pt;margin-left:110pt;mso-position-horizontal-relative:page;position:absolute;z-index:-251654144" coordorigin="2200,-10479" coordsize="13915,10417">
            <v:shape id="_x0000_s1050" type="#_x0000_t75" style="width:13915;height:10417;left:2200;position:absolute;top:-10480" stroked="f">
              <v:imagedata r:id="rId28" o:title=""/>
            </v:shape>
            <v:shape id="_x0000_s1051" type="#_x0000_t202" style="width:740;height:476;left:13153;position:absolute;top:-10299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考核</w:t>
                    </w:r>
                  </w:p>
                </w:txbxContent>
              </v:textbox>
            </v:shape>
            <v:shape id="_x0000_s1052" type="#_x0000_t202" style="width:740;height:476;left:3561;position:absolute;top:-9830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层级</w:t>
                    </w:r>
                  </w:p>
                </w:txbxContent>
              </v:textbox>
            </v:shape>
            <v:shape id="_x0000_s1053" type="#_x0000_t202" style="width:1460;height:476;left:6294;position:absolute;top:-9830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被考核人</w:t>
                    </w:r>
                  </w:p>
                </w:txbxContent>
              </v:textbox>
            </v:shape>
            <v:shape id="_x0000_s1054" type="#_x0000_t202" style="width:1100;height:476;left:10028;position:absolute;top:-9830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考核人</w:t>
                    </w:r>
                  </w:p>
                </w:txbxContent>
              </v:textbox>
            </v:shape>
            <v:shape id="_x0000_s1055" type="#_x0000_t202" style="width:740;height:476;left:14824;position:absolute;top:-9830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备注</w:t>
                    </w:r>
                  </w:p>
                </w:txbxContent>
              </v:textbox>
            </v:shape>
            <v:shape id="_x0000_s1056" type="#_x0000_t202" style="width:740;height:476;left:13153;position:absolute;top:-9362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权重</w:t>
                    </w:r>
                  </w:p>
                </w:txbxContent>
              </v:textbox>
            </v:shape>
            <v:shape id="_x0000_s1057" type="#_x0000_t202" style="width:3980;height:476;left:8569;position:absolute;top:-8411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分公司项目管理部牵头，</w:t>
                    </w:r>
                  </w:p>
                </w:txbxContent>
              </v:textbox>
            </v:shape>
            <v:shape id="_x0000_s1058" type="#_x0000_t202" style="width:1460;height:476;left:3201;position:absolute;top:-7943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项目经理</w:t>
                    </w:r>
                  </w:p>
                </w:txbxContent>
              </v:textbox>
            </v:shape>
            <v:shape id="_x0000_s1059" type="#_x0000_t202" style="width:1460;height:476;left:6294;position:absolute;top:-7943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项目经理</w:t>
                    </w:r>
                  </w:p>
                </w:txbxContent>
              </v:textbox>
            </v:shape>
            <v:shape id="_x0000_s1060" type="#_x0000_t202" style="width:973;height:476;left:13034;position:absolute;top:-7943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100%</w:t>
                    </w:r>
                  </w:p>
                </w:txbxContent>
              </v:textbox>
            </v:shape>
            <v:shape id="_x0000_s1061" type="#_x0000_t202" style="width:1820;height:476;left:8569;position:absolute;top:-7475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各部门考核</w:t>
                    </w:r>
                  </w:p>
                </w:txbxContent>
              </v:textbox>
            </v:shape>
            <v:shape id="_x0000_s1062" type="#_x0000_t202" style="width:2900;height:476;left:2384;position:absolute;top:-6525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项目副经理及专业</w:t>
                    </w:r>
                  </w:p>
                </w:txbxContent>
              </v:textbox>
            </v:shape>
            <v:shape id="_x0000_s1063" type="#_x0000_t202" style="width:5583;height:476;left:2384;position:absolute;top:-5589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58"/>
                        <w:sz w:val="36"/>
                      </w:rPr>
                      <w:t>负责人</w:t>
                    </w:r>
                    <w:r>
                      <w:rPr>
                        <w:sz w:val="36"/>
                      </w:rPr>
                      <w:t>（</w:t>
                    </w:r>
                    <w:r>
                      <w:rPr>
                        <w:spacing w:val="-12"/>
                        <w:sz w:val="36"/>
                      </w:rPr>
                      <w:t>生产、技术、 项目副经理及</w:t>
                    </w:r>
                  </w:p>
                </w:txbxContent>
              </v:textbox>
            </v:shape>
            <v:shape id="_x0000_s1064" type="#_x0000_t202" style="width:1460;height:476;left:9848;position:absolute;top:-5121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项目经理</w:t>
                    </w:r>
                  </w:p>
                </w:txbxContent>
              </v:textbox>
            </v:shape>
            <v:shape id="_x0000_s1065" type="#_x0000_t202" style="width:973;height:476;left:13034;position:absolute;top:-5121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100%</w:t>
                    </w:r>
                  </w:p>
                </w:txbxContent>
              </v:textbox>
            </v:shape>
            <v:shape id="_x0000_s1066" type="#_x0000_t202" style="width:5223;height:476;left:2384;position:absolute;top:-4652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商务、质量、安全、 专业负责人</w:t>
                    </w:r>
                  </w:p>
                </w:txbxContent>
              </v:textbox>
            </v:shape>
            <v:shape id="_x0000_s1067" type="#_x0000_t202" style="width:1820;height:476;left:2384;position:absolute;top:-3716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副书记等）</w:t>
                    </w:r>
                  </w:p>
                </w:txbxContent>
              </v:textbox>
            </v:shape>
            <v:shape id="_x0000_s1068" type="#_x0000_t202" style="width:1460;height:476;left:14460;position:absolute;top:-2766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项目班子</w:t>
                    </w:r>
                  </w:p>
                </w:txbxContent>
              </v:textbox>
            </v:shape>
            <v:shape id="_x0000_s1069" type="#_x0000_t202" style="width:2180;height:476;left:5786;position:absolute;top:-2298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项目一般管理</w:t>
                    </w:r>
                  </w:p>
                </w:txbxContent>
              </v:textbox>
            </v:shape>
            <v:shape id="_x0000_s1070" type="#_x0000_t202" style="width:2900;height:476;left:2481;position:absolute;top:-1830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项目一般管理人员</w:t>
                    </w:r>
                  </w:p>
                </w:txbxContent>
              </v:textbox>
            </v:shape>
            <v:shape id="_x0000_s1071" type="#_x0000_t202" style="width:3980;height:476;left:8587;position:absolute;top:-1830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项目副经理及专业负责人</w:t>
                    </w:r>
                  </w:p>
                </w:txbxContent>
              </v:textbox>
            </v:shape>
            <v:shape id="_x0000_s1072" type="#_x0000_t202" style="width:973;height:476;left:13034;position:absolute;top:-1830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100%</w:t>
                    </w:r>
                  </w:p>
                </w:txbxContent>
              </v:textbox>
            </v:shape>
            <v:shape id="_x0000_s1073" type="#_x0000_t202" style="width:1460;height:476;left:14460;position:absolute;top:-1830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集体复核</w:t>
                    </w:r>
                  </w:p>
                </w:txbxContent>
              </v:textbox>
            </v:shape>
            <v:shape id="_x0000_s1074" type="#_x0000_t202" style="width:740;height:476;left:5786;position:absolute;top:-1362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人员</w:t>
                    </w:r>
                  </w:p>
                </w:txbxContent>
              </v:textbox>
            </v:shape>
            <v:shape id="_x0000_s1075" type="#_x0000_t202" style="width:740;height:476;left:14460;position:absolute;top:-894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确认</w:t>
                    </w:r>
                  </w:p>
                </w:txbxContent>
              </v:textbox>
            </v:shape>
          </v:group>
        </w:pict>
      </w:r>
      <w:bookmarkStart w:id="11" w:name="_TOC_250027"/>
      <w:bookmarkEnd w:id="11"/>
      <w:r>
        <w:t>第十条</w:t>
        <w:tab/>
        <w:t>考核周期</w:t>
      </w:r>
    </w:p>
    <w:p>
      <w:pPr>
        <w:pStyle w:val="BodyText"/>
        <w:spacing w:before="224" w:line="228" w:lineRule="auto"/>
        <w:ind w:left="104" w:right="425" w:firstLine="961"/>
      </w:pPr>
      <w:r>
        <w:rPr>
          <w:spacing w:val="-13"/>
          <w:w w:val="95"/>
        </w:rPr>
        <w:t xml:space="preserve">针对项目管理产出产品存在“不可逆”的特性，为更好地贴  </w:t>
      </w:r>
      <w:r>
        <w:t>合项目管理需求，根据项目管理现状实施不同的考核周期。</w:t>
      </w:r>
    </w:p>
    <w:p>
      <w:pPr>
        <w:pStyle w:val="Heading1"/>
        <w:spacing w:line="850" w:lineRule="exact"/>
        <w:ind w:left="1065"/>
      </w:pPr>
      <w:r>
        <w:rPr>
          <w:spacing w:val="-1"/>
          <w:w w:val="95"/>
        </w:rPr>
        <w:t>1</w:t>
      </w:r>
      <w:r>
        <w:rPr>
          <w:w w:val="95"/>
        </w:rPr>
        <w:t>、项目正常履约情况下，按月考核，每月进行一次。</w:t>
      </w:r>
    </w:p>
    <w:p>
      <w:pPr>
        <w:spacing w:after="0" w:line="850" w:lineRule="exact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https://d.book118.com/148131103030006040</w:t>
        </w:r>
      </w:hyperlink>
    </w:p>
    <w:p>
      <w:pPr>
        <w:spacing w:after="0" w:line="850" w:lineRule="exact"/>
      </w:pPr>
    </w:p>
    <w:sectPr>
      <w:footerReference w:type="even" r:id="rId30"/>
      <w:footerReference w:type="default" r:id="rId31"/>
      <w:pgSz w:w="17860" w:h="25260"/>
      <w:pgMar w:top="2420" w:right="1820" w:bottom="2040" w:left="2280" w:header="0" w:footer="1839"/>
      <w:pgNumType w:start="8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8.75pt;height:15.5pt;margin-top:1144.05pt;margin-left:446.38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6" w:line="273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1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8.75pt;height:15.5pt;margin-top:1159.71pt;margin-left:446.38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6" w:line="273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2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8.75pt;height:15.5pt;margin-top:1144.05pt;margin-left:446.38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36" w:line="273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1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8.75pt;height:15.5pt;margin-top:1159.71pt;margin-left:446.38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6" w:line="273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2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8.75pt;height:15.5pt;margin-top:1144.05pt;margin-left:446.38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36" w:line="273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1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8.75pt;height:15.5pt;margin-top:1159.71pt;margin-left:446.38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36" w:line="273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2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8.75pt;height:15.5pt;margin-top:1144.05pt;margin-left:446.38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36" w:line="273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1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8.75pt;height:15.5pt;margin-top:1159.71pt;margin-left:446.38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36" w:line="273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2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8.75pt;height:15.5pt;margin-top:1144.05pt;margin-left:446.38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36" w:line="273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1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8.75pt;height:15.5pt;margin-top:1159.71pt;margin-left:446.38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36" w:line="273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2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9.5pt;height:15.75pt;margin-top:1159.71pt;margin-left:441.1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36" w:line="277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9.7pt;height:15.85pt;margin-top:1159.71pt;margin-left:441.1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36" w:line="280" w:lineRule="exact"/>
                  <w:ind w:left="63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9.5pt;height:15.75pt;margin-top:1159.71pt;margin-left:441.1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36" w:line="277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9.7pt;height:15.85pt;margin-top:1159.71pt;margin-left:441.1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36" w:line="280" w:lineRule="exact"/>
                  <w:ind w:left="63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19.5pt;height:15.75pt;margin-top:1159.71pt;margin-left:441.14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36" w:line="277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19.7pt;height:15.85pt;margin-top:1159.71pt;margin-left:441.14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36" w:line="280" w:lineRule="exact"/>
                  <w:ind w:left="63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19.5pt;height:15.75pt;margin-top:1159.71pt;margin-left:441.14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36" w:line="277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19.7pt;height:15.85pt;margin-top:1159.71pt;margin-left:441.14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36" w:line="280" w:lineRule="exact"/>
                  <w:ind w:left="63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19.5pt;height:15.75pt;margin-top:1159.71pt;margin-left:441.14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36" w:line="277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19.7pt;height:15.85pt;margin-top:1159.71pt;margin-left:441.14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36" w:line="280" w:lineRule="exact"/>
                  <w:ind w:left="63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19.5pt;height:15.75pt;margin-top:1159.71pt;margin-left:441.14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36" w:line="277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19.7pt;height:15.85pt;margin-top:1159.71pt;margin-left:441.14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36" w:line="280" w:lineRule="exact"/>
                  <w:ind w:left="63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896BBB"/>
    <w:multiLevelType w:val="hybridMultilevel"/>
    <w:tmpl w:val="00000000"/>
    <w:lvl w:ilvl="0">
      <w:start w:val="1"/>
      <w:numFmt w:val="decimal"/>
      <w:lvlText w:val="（%1）"/>
      <w:lvlJc w:val="left"/>
      <w:pPr>
        <w:ind w:left="2318" w:hanging="1254"/>
        <w:jc w:val="left"/>
      </w:pPr>
      <w:rPr>
        <w:rFonts w:ascii="微软雅黑" w:eastAsia="微软雅黑" w:hAnsi="微软雅黑" w:cs="微软雅黑" w:hint="default"/>
        <w:b/>
        <w:bCs/>
        <w:spacing w:val="-1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463" w:hanging="125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07" w:hanging="12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51" w:hanging="12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95" w:hanging="12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39" w:hanging="12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83" w:hanging="12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27" w:hanging="12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71" w:hanging="1254"/>
      </w:pPr>
      <w:rPr>
        <w:rFonts w:hint="default"/>
      </w:rPr>
    </w:lvl>
  </w:abstractNum>
  <w:abstractNum w:abstractNumId="1">
    <w:nsid w:val="1884F292"/>
    <w:multiLevelType w:val="hybridMultilevel"/>
    <w:tmpl w:val="00000000"/>
    <w:lvl w:ilvl="0">
      <w:start w:val="1"/>
      <w:numFmt w:val="decimal"/>
      <w:lvlText w:val="（%1）"/>
      <w:lvlJc w:val="left"/>
      <w:pPr>
        <w:ind w:left="104" w:hanging="1254"/>
        <w:jc w:val="left"/>
      </w:pPr>
      <w:rPr>
        <w:rFonts w:ascii="微软雅黑" w:eastAsia="微软雅黑" w:hAnsi="微软雅黑" w:cs="微软雅黑" w:hint="default"/>
        <w:b/>
        <w:bCs/>
        <w:spacing w:val="-1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65" w:hanging="125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31" w:hanging="12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97" w:hanging="12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63" w:hanging="12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29" w:hanging="12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95" w:hanging="12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61" w:hanging="12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27" w:hanging="1254"/>
      </w:pPr>
      <w:rPr>
        <w:rFonts w:hint="default"/>
      </w:rPr>
    </w:lvl>
  </w:abstractNum>
  <w:abstractNum w:abstractNumId="2">
    <w:nsid w:val="21708A27"/>
    <w:multiLevelType w:val="hybridMultilevel"/>
    <w:tmpl w:val="00000000"/>
    <w:lvl w:ilvl="0">
      <w:start w:val="1"/>
      <w:numFmt w:val="decimal"/>
      <w:lvlText w:val="（%1）"/>
      <w:lvlJc w:val="left"/>
      <w:pPr>
        <w:ind w:left="104" w:hanging="1240"/>
        <w:jc w:val="left"/>
      </w:pPr>
      <w:rPr>
        <w:rFonts w:ascii="微软雅黑" w:eastAsia="微软雅黑" w:hAnsi="微软雅黑" w:cs="微软雅黑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65" w:hanging="12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31" w:hanging="12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97" w:hanging="12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63" w:hanging="12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29" w:hanging="12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95" w:hanging="12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61" w:hanging="12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27" w:hanging="1240"/>
      </w:pPr>
      <w:rPr>
        <w:rFonts w:hint="default"/>
      </w:rPr>
    </w:lvl>
  </w:abstractNum>
  <w:abstractNum w:abstractNumId="3">
    <w:nsid w:val="23665CBC"/>
    <w:multiLevelType w:val="hybridMultilevel"/>
    <w:tmpl w:val="00000000"/>
    <w:lvl w:ilvl="0">
      <w:start w:val="1"/>
      <w:numFmt w:val="decimal"/>
      <w:lvlText w:val="（%1）"/>
      <w:lvlJc w:val="left"/>
      <w:pPr>
        <w:ind w:left="2318" w:hanging="1254"/>
        <w:jc w:val="left"/>
      </w:pPr>
      <w:rPr>
        <w:rFonts w:ascii="微软雅黑" w:eastAsia="微软雅黑" w:hAnsi="微软雅黑" w:cs="微软雅黑" w:hint="default"/>
        <w:b/>
        <w:bCs/>
        <w:spacing w:val="-1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463" w:hanging="125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07" w:hanging="12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51" w:hanging="12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95" w:hanging="12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39" w:hanging="12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83" w:hanging="12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27" w:hanging="12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71" w:hanging="1254"/>
      </w:pPr>
      <w:rPr>
        <w:rFonts w:hint="default"/>
      </w:rPr>
    </w:lvl>
  </w:abstractNum>
  <w:abstractNum w:abstractNumId="4">
    <w:nsid w:val="2734BEFC"/>
    <w:multiLevelType w:val="hybridMultilevel"/>
    <w:tmpl w:val="00000000"/>
    <w:lvl w:ilvl="0">
      <w:start w:val="1"/>
      <w:numFmt w:val="decimal"/>
      <w:lvlText w:val="（%1）"/>
      <w:lvlJc w:val="left"/>
      <w:pPr>
        <w:ind w:left="104" w:hanging="1254"/>
        <w:jc w:val="left"/>
      </w:pPr>
      <w:rPr>
        <w:rFonts w:ascii="微软雅黑" w:eastAsia="微软雅黑" w:hAnsi="微软雅黑" w:cs="微软雅黑" w:hint="default"/>
        <w:b/>
        <w:bCs/>
        <w:spacing w:val="-1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65" w:hanging="125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31" w:hanging="12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97" w:hanging="12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63" w:hanging="12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29" w:hanging="12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95" w:hanging="12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61" w:hanging="12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27" w:hanging="1254"/>
      </w:pPr>
      <w:rPr>
        <w:rFonts w:hint="default"/>
      </w:rPr>
    </w:lvl>
  </w:abstractNum>
  <w:abstractNum w:abstractNumId="5">
    <w:nsid w:val="29A48F36"/>
    <w:multiLevelType w:val="hybridMultilevel"/>
    <w:tmpl w:val="00000000"/>
    <w:lvl w:ilvl="0">
      <w:start w:val="1"/>
      <w:numFmt w:val="decimal"/>
      <w:lvlText w:val="（%1）"/>
      <w:lvlJc w:val="left"/>
      <w:pPr>
        <w:ind w:left="2304" w:hanging="1240"/>
        <w:jc w:val="left"/>
      </w:pPr>
      <w:rPr>
        <w:rFonts w:ascii="微软雅黑" w:eastAsia="微软雅黑" w:hAnsi="微软雅黑" w:cs="微软雅黑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445" w:hanging="12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91" w:hanging="12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37" w:hanging="12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83" w:hanging="12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29" w:hanging="12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75" w:hanging="12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21" w:hanging="12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67" w:hanging="1240"/>
      </w:pPr>
      <w:rPr>
        <w:rFonts w:hint="default"/>
      </w:rPr>
    </w:lvl>
  </w:abstractNum>
  <w:abstractNum w:abstractNumId="6">
    <w:nsid w:val="37F30D37"/>
    <w:multiLevelType w:val="hybridMultilevel"/>
    <w:tmpl w:val="00000000"/>
    <w:lvl w:ilvl="0">
      <w:start w:val="1"/>
      <w:numFmt w:val="decimal"/>
      <w:lvlText w:val="（%1）"/>
      <w:lvlJc w:val="left"/>
      <w:pPr>
        <w:ind w:left="104" w:hanging="1240"/>
        <w:jc w:val="left"/>
      </w:pPr>
      <w:rPr>
        <w:rFonts w:ascii="微软雅黑" w:eastAsia="微软雅黑" w:hAnsi="微软雅黑" w:cs="微软雅黑" w:hint="default"/>
        <w:spacing w:val="-108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65" w:hanging="12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31" w:hanging="12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97" w:hanging="12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63" w:hanging="12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29" w:hanging="12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95" w:hanging="12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61" w:hanging="12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27" w:hanging="1240"/>
      </w:pPr>
      <w:rPr>
        <w:rFonts w:hint="default"/>
      </w:rPr>
    </w:lvl>
  </w:abstractNum>
  <w:abstractNum w:abstractNumId="7">
    <w:nsid w:val="4A297BDB"/>
    <w:multiLevelType w:val="hybridMultilevel"/>
    <w:tmpl w:val="00000000"/>
    <w:lvl w:ilvl="0">
      <w:start w:val="1"/>
      <w:numFmt w:val="decimal"/>
      <w:lvlText w:val="（%1）"/>
      <w:lvlJc w:val="left"/>
      <w:pPr>
        <w:ind w:left="104" w:hanging="1240"/>
        <w:jc w:val="left"/>
      </w:pPr>
      <w:rPr>
        <w:rFonts w:ascii="微软雅黑" w:eastAsia="微软雅黑" w:hAnsi="微软雅黑" w:cs="微软雅黑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65" w:hanging="12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31" w:hanging="12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97" w:hanging="12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63" w:hanging="12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29" w:hanging="12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95" w:hanging="12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61" w:hanging="12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27" w:hanging="1240"/>
      </w:pPr>
      <w:rPr>
        <w:rFonts w:hint="default"/>
      </w:rPr>
    </w:lvl>
  </w:abstractNum>
  <w:abstractNum w:abstractNumId="8">
    <w:nsid w:val="669FFE34"/>
    <w:multiLevelType w:val="hybridMultilevel"/>
    <w:tmpl w:val="00000000"/>
    <w:lvl w:ilvl="0">
      <w:start w:val="1"/>
      <w:numFmt w:val="decimal"/>
      <w:lvlText w:val="（%1）"/>
      <w:lvlJc w:val="left"/>
      <w:pPr>
        <w:ind w:left="104" w:hanging="1240"/>
        <w:jc w:val="left"/>
      </w:pPr>
      <w:rPr>
        <w:rFonts w:ascii="微软雅黑" w:eastAsia="微软雅黑" w:hAnsi="微软雅黑" w:cs="微软雅黑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65" w:hanging="12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31" w:hanging="12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97" w:hanging="12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63" w:hanging="12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29" w:hanging="12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95" w:hanging="12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61" w:hanging="12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27" w:hanging="1240"/>
      </w:pPr>
      <w:rPr>
        <w:rFonts w:hint="default"/>
      </w:rPr>
    </w:lvl>
  </w:abstractNum>
  <w:abstractNum w:abstractNumId="9">
    <w:nsid w:val="6883FCB2"/>
    <w:multiLevelType w:val="hybridMultilevel"/>
    <w:tmpl w:val="00000000"/>
    <w:lvl w:ilvl="0">
      <w:start w:val="1"/>
      <w:numFmt w:val="decimal"/>
      <w:lvlText w:val="（%1）"/>
      <w:lvlJc w:val="left"/>
      <w:pPr>
        <w:ind w:left="2304" w:hanging="1240"/>
        <w:jc w:val="left"/>
      </w:pPr>
      <w:rPr>
        <w:rFonts w:ascii="微软雅黑" w:eastAsia="微软雅黑" w:hAnsi="微软雅黑" w:cs="微软雅黑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445" w:hanging="12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91" w:hanging="12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37" w:hanging="12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83" w:hanging="12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29" w:hanging="12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75" w:hanging="12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21" w:hanging="12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67" w:hanging="1240"/>
      </w:pPr>
      <w:rPr>
        <w:rFonts w:hint="default"/>
      </w:r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8"/>
  </w:num>
  <w:num w:numId="5">
    <w:abstractNumId w:val="9"/>
  </w:num>
  <w:num w:numId="6">
    <w:abstractNumId w:val="1"/>
  </w:num>
  <w:num w:numId="7">
    <w:abstractNumId w:val="6"/>
  </w:num>
  <w:num w:numId="8">
    <w:abstractNumId w:val="2"/>
  </w:num>
  <w:num w:numId="9">
    <w:abstractNumId w:val="7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paragraph" w:styleId="Heading1">
    <w:name w:val="heading 1"/>
    <w:basedOn w:val="Normal"/>
    <w:uiPriority w:val="1"/>
    <w:qFormat/>
    <w:pPr>
      <w:ind w:left="104"/>
      <w:outlineLvl w:val="0"/>
    </w:pPr>
    <w:rPr>
      <w:rFonts w:ascii="微软雅黑" w:eastAsia="微软雅黑" w:hAnsi="微软雅黑" w:cs="微软雅黑"/>
      <w:b/>
      <w:bCs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237"/>
      <w:ind w:left="104"/>
    </w:pPr>
    <w:rPr>
      <w:rFonts w:ascii="微软雅黑" w:eastAsia="微软雅黑" w:hAnsi="微软雅黑" w:cs="微软雅黑"/>
      <w:sz w:val="36"/>
      <w:szCs w:val="36"/>
    </w:rPr>
  </w:style>
  <w:style w:type="paragraph" w:styleId="TOC2">
    <w:name w:val="toc 2"/>
    <w:basedOn w:val="Normal"/>
    <w:uiPriority w:val="1"/>
    <w:qFormat/>
    <w:pPr>
      <w:spacing w:before="56"/>
      <w:ind w:left="420"/>
    </w:pPr>
    <w:rPr>
      <w:rFonts w:ascii="微软雅黑" w:eastAsia="微软雅黑" w:hAnsi="微软雅黑" w:cs="微软雅黑"/>
      <w:sz w:val="36"/>
      <w:szCs w:val="36"/>
    </w:rPr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sz w:val="48"/>
      <w:szCs w:val="48"/>
    </w:rPr>
  </w:style>
  <w:style w:type="paragraph" w:styleId="Title">
    <w:name w:val="Title"/>
    <w:basedOn w:val="Normal"/>
    <w:uiPriority w:val="1"/>
    <w:qFormat/>
    <w:pPr>
      <w:spacing w:before="624"/>
      <w:ind w:right="314"/>
      <w:jc w:val="center"/>
    </w:pPr>
    <w:rPr>
      <w:rFonts w:ascii="黑体" w:eastAsia="黑体" w:hAnsi="黑体" w:cs="黑体"/>
      <w:sz w:val="78"/>
      <w:szCs w:val="78"/>
    </w:rPr>
  </w:style>
  <w:style w:type="paragraph" w:styleId="ListParagraph">
    <w:name w:val="List Paragraph"/>
    <w:basedOn w:val="Normal"/>
    <w:uiPriority w:val="1"/>
    <w:qFormat/>
    <w:pPr>
      <w:ind w:left="104" w:hanging="1240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  <w:rPr>
      <w:rFonts w:ascii="微软雅黑" w:eastAsia="微软雅黑" w:hAnsi="微软雅黑" w:cs="微软雅黑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footer" Target="footer13.xml" /><Relationship Id="rId18" Type="http://schemas.openxmlformats.org/officeDocument/2006/relationships/footer" Target="footer14.xml" /><Relationship Id="rId19" Type="http://schemas.openxmlformats.org/officeDocument/2006/relationships/image" Target="media/image2.png" /><Relationship Id="rId2" Type="http://schemas.openxmlformats.org/officeDocument/2006/relationships/webSettings" Target="webSettings.xml" /><Relationship Id="rId20" Type="http://schemas.openxmlformats.org/officeDocument/2006/relationships/footer" Target="footer15.xml" /><Relationship Id="rId21" Type="http://schemas.openxmlformats.org/officeDocument/2006/relationships/footer" Target="footer16.xml" /><Relationship Id="rId22" Type="http://schemas.openxmlformats.org/officeDocument/2006/relationships/image" Target="media/image3.png" /><Relationship Id="rId23" Type="http://schemas.openxmlformats.org/officeDocument/2006/relationships/footer" Target="footer17.xml" /><Relationship Id="rId24" Type="http://schemas.openxmlformats.org/officeDocument/2006/relationships/footer" Target="footer18.xml" /><Relationship Id="rId25" Type="http://schemas.openxmlformats.org/officeDocument/2006/relationships/image" Target="media/image4.png" /><Relationship Id="rId26" Type="http://schemas.openxmlformats.org/officeDocument/2006/relationships/footer" Target="footer19.xml" /><Relationship Id="rId27" Type="http://schemas.openxmlformats.org/officeDocument/2006/relationships/footer" Target="footer20.xml" /><Relationship Id="rId28" Type="http://schemas.openxmlformats.org/officeDocument/2006/relationships/image" Target="media/image5.png" /><Relationship Id="rId29" Type="http://schemas.openxmlformats.org/officeDocument/2006/relationships/hyperlink" Target="https://d.book118.com/148131103030006040" TargetMode="External" /><Relationship Id="rId3" Type="http://schemas.openxmlformats.org/officeDocument/2006/relationships/fontTable" Target="fontTable.xml" /><Relationship Id="rId30" Type="http://schemas.openxmlformats.org/officeDocument/2006/relationships/footer" Target="footer21.xml" /><Relationship Id="rId31" Type="http://schemas.openxmlformats.org/officeDocument/2006/relationships/footer" Target="footer22.xml" /><Relationship Id="rId32" Type="http://schemas.openxmlformats.org/officeDocument/2006/relationships/theme" Target="theme/theme1.xml" /><Relationship Id="rId33" Type="http://schemas.openxmlformats.org/officeDocument/2006/relationships/numbering" Target="numbering.xml" /><Relationship Id="rId34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2024-01-26T06:12:51Z</dcterms:created>
  <dcterms:modified xsi:type="dcterms:W3CDTF">2024-01-26T06:12:51Z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2022-11-25T00:00:00Z</vt:filetime>
  </property>
  <property fmtid="{D5CDD505-2E9C-101B-9397-08002B2CF9AE}" pid="3" name="LastSaved">
    <vt:filetime>2024-01-26T00:00:00Z</vt:filetime>
  </property>
</Properties>
</file>