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垃圾焚烧发电相关公司员工职业道路规划与管理</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972" w:history="1">
        <w:r>
          <w:rPr>
            <w:rFonts w:ascii="仿宋" w:eastAsia="仿宋" w:hAnsi="仿宋" w:cs="仿宋" w:hint="eastAsia"/>
            <w:lang w:eastAsia="zh-CN"/>
          </w:rPr>
          <w:t>概论</w:t>
        </w:r>
        <w:r>
          <w:tab/>
        </w:r>
        <w:r>
          <w:fldChar w:fldCharType="begin"/>
        </w:r>
        <w:r>
          <w:instrText xml:space="preserve"> PAGEREF _Toc5972 \h </w:instrText>
        </w:r>
        <w:r>
          <w:fldChar w:fldCharType="separate"/>
        </w:r>
        <w:r>
          <w:t>3</w:t>
        </w:r>
        <w:r>
          <w:fldChar w:fldCharType="end"/>
        </w:r>
      </w:hyperlink>
    </w:p>
    <w:p>
      <w:pPr>
        <w:pStyle w:val="TOC1"/>
        <w:tabs>
          <w:tab w:val="right" w:leader="dot" w:pos="8306"/>
        </w:tabs>
      </w:pPr>
      <w:hyperlink w:anchor="_Toc22140" w:history="1">
        <w:r>
          <w:rPr>
            <w:rFonts w:ascii="仿宋" w:eastAsia="仿宋" w:hAnsi="仿宋" w:cs="仿宋" w:hint="eastAsia"/>
            <w:lang w:eastAsia="zh-CN"/>
          </w:rPr>
          <w:t>一、员工沟通技巧培训与人际关系管理</w:t>
        </w:r>
        <w:r>
          <w:tab/>
        </w:r>
        <w:r>
          <w:fldChar w:fldCharType="begin"/>
        </w:r>
        <w:r>
          <w:instrText xml:space="preserve"> PAGEREF _Toc22140 \h </w:instrText>
        </w:r>
        <w:r>
          <w:fldChar w:fldCharType="separate"/>
        </w:r>
        <w:r>
          <w:t>3</w:t>
        </w:r>
        <w:r>
          <w:fldChar w:fldCharType="end"/>
        </w:r>
      </w:hyperlink>
    </w:p>
    <w:p>
      <w:pPr>
        <w:pStyle w:val="TOC2"/>
        <w:tabs>
          <w:tab w:val="right" w:leader="dot" w:pos="8306"/>
        </w:tabs>
      </w:pPr>
      <w:hyperlink w:anchor="_Toc29068" w:history="1">
        <w:r>
          <w:rPr>
            <w:rFonts w:ascii="仿宋" w:eastAsia="仿宋" w:hAnsi="仿宋" w:cs="仿宋" w:hint="eastAsia"/>
            <w:lang w:eastAsia="zh-CN"/>
          </w:rPr>
          <w:t>(一)、沟通技巧的重要性及培训计划</w:t>
        </w:r>
        <w:r>
          <w:tab/>
        </w:r>
        <w:r>
          <w:fldChar w:fldCharType="begin"/>
        </w:r>
        <w:r>
          <w:instrText xml:space="preserve"> PAGEREF _Toc29068 \h </w:instrText>
        </w:r>
        <w:r>
          <w:fldChar w:fldCharType="separate"/>
        </w:r>
        <w:r>
          <w:t>3</w:t>
        </w:r>
        <w:r>
          <w:fldChar w:fldCharType="end"/>
        </w:r>
      </w:hyperlink>
    </w:p>
    <w:p>
      <w:pPr>
        <w:pStyle w:val="TOC2"/>
        <w:tabs>
          <w:tab w:val="right" w:leader="dot" w:pos="8306"/>
        </w:tabs>
      </w:pPr>
      <w:hyperlink w:anchor="_Toc21365" w:history="1">
        <w:r>
          <w:rPr>
            <w:rFonts w:ascii="仿宋" w:eastAsia="仿宋" w:hAnsi="仿宋" w:cs="仿宋" w:hint="eastAsia"/>
            <w:lang w:eastAsia="zh-CN"/>
          </w:rPr>
          <w:t>(二)、人际关系管理的原则与方法</w:t>
        </w:r>
        <w:r>
          <w:tab/>
        </w:r>
        <w:r>
          <w:fldChar w:fldCharType="begin"/>
        </w:r>
        <w:r>
          <w:instrText xml:space="preserve"> PAGEREF _Toc21365 \h </w:instrText>
        </w:r>
        <w:r>
          <w:fldChar w:fldCharType="separate"/>
        </w:r>
        <w:r>
          <w:t>4</w:t>
        </w:r>
        <w:r>
          <w:fldChar w:fldCharType="end"/>
        </w:r>
      </w:hyperlink>
    </w:p>
    <w:p>
      <w:pPr>
        <w:pStyle w:val="TOC2"/>
        <w:tabs>
          <w:tab w:val="right" w:leader="dot" w:pos="8306"/>
        </w:tabs>
      </w:pPr>
      <w:hyperlink w:anchor="_Toc7772" w:history="1">
        <w:r>
          <w:rPr>
            <w:rFonts w:ascii="仿宋" w:eastAsia="仿宋" w:hAnsi="仿宋" w:cs="仿宋" w:hint="eastAsia"/>
            <w:lang w:eastAsia="zh-CN"/>
          </w:rPr>
          <w:t>(三)、良好人际关系的建立与维护</w:t>
        </w:r>
        <w:r>
          <w:tab/>
        </w:r>
        <w:r>
          <w:fldChar w:fldCharType="begin"/>
        </w:r>
        <w:r>
          <w:instrText xml:space="preserve"> PAGEREF _Toc7772 \h </w:instrText>
        </w:r>
        <w:r>
          <w:fldChar w:fldCharType="separate"/>
        </w:r>
        <w:r>
          <w:t>4</w:t>
        </w:r>
        <w:r>
          <w:fldChar w:fldCharType="end"/>
        </w:r>
      </w:hyperlink>
    </w:p>
    <w:p>
      <w:pPr>
        <w:pStyle w:val="TOC1"/>
        <w:tabs>
          <w:tab w:val="right" w:leader="dot" w:pos="8306"/>
        </w:tabs>
      </w:pPr>
      <w:hyperlink w:anchor="_Toc3567" w:history="1">
        <w:r>
          <w:rPr>
            <w:rFonts w:ascii="仿宋" w:eastAsia="仿宋" w:hAnsi="仿宋" w:cs="仿宋" w:hint="eastAsia"/>
            <w:lang w:eastAsia="zh-CN"/>
          </w:rPr>
          <w:t>二、垃圾焚烧发电行业背景分析</w:t>
        </w:r>
        <w:r>
          <w:tab/>
        </w:r>
        <w:r>
          <w:fldChar w:fldCharType="begin"/>
        </w:r>
        <w:r>
          <w:instrText xml:space="preserve"> PAGEREF _Toc3567 \h </w:instrText>
        </w:r>
        <w:r>
          <w:fldChar w:fldCharType="separate"/>
        </w:r>
        <w:r>
          <w:t>5</w:t>
        </w:r>
        <w:r>
          <w:fldChar w:fldCharType="end"/>
        </w:r>
      </w:hyperlink>
    </w:p>
    <w:p>
      <w:pPr>
        <w:pStyle w:val="TOC2"/>
        <w:tabs>
          <w:tab w:val="right" w:leader="dot" w:pos="8306"/>
        </w:tabs>
      </w:pPr>
      <w:hyperlink w:anchor="_Toc10191" w:history="1">
        <w:r>
          <w:rPr>
            <w:rFonts w:ascii="仿宋" w:eastAsia="仿宋" w:hAnsi="仿宋" w:cs="仿宋" w:hint="eastAsia"/>
            <w:lang w:eastAsia="zh-CN"/>
          </w:rPr>
          <w:t>(一)、垃圾焚烧发电行业背景分析</w:t>
        </w:r>
        <w:r>
          <w:tab/>
        </w:r>
        <w:r>
          <w:fldChar w:fldCharType="begin"/>
        </w:r>
        <w:r>
          <w:instrText xml:space="preserve"> PAGEREF _Toc10191 \h </w:instrText>
        </w:r>
        <w:r>
          <w:fldChar w:fldCharType="separate"/>
        </w:r>
        <w:r>
          <w:t>5</w:t>
        </w:r>
        <w:r>
          <w:fldChar w:fldCharType="end"/>
        </w:r>
      </w:hyperlink>
    </w:p>
    <w:p>
      <w:pPr>
        <w:pStyle w:val="TOC1"/>
        <w:tabs>
          <w:tab w:val="right" w:leader="dot" w:pos="8306"/>
        </w:tabs>
      </w:pPr>
      <w:hyperlink w:anchor="_Toc21524" w:history="1">
        <w:r>
          <w:rPr>
            <w:rFonts w:ascii="仿宋" w:eastAsia="仿宋" w:hAnsi="仿宋" w:cs="仿宋" w:hint="eastAsia"/>
            <w:lang w:eastAsia="zh-CN"/>
          </w:rPr>
          <w:t>三、员工职业生涯规划与发展</w:t>
        </w:r>
        <w:r>
          <w:tab/>
        </w:r>
        <w:r>
          <w:fldChar w:fldCharType="begin"/>
        </w:r>
        <w:r>
          <w:instrText xml:space="preserve"> PAGEREF _Toc21524 \h </w:instrText>
        </w:r>
        <w:r>
          <w:fldChar w:fldCharType="separate"/>
        </w:r>
        <w:r>
          <w:t>7</w:t>
        </w:r>
        <w:r>
          <w:fldChar w:fldCharType="end"/>
        </w:r>
      </w:hyperlink>
    </w:p>
    <w:p>
      <w:pPr>
        <w:pStyle w:val="TOC2"/>
        <w:tabs>
          <w:tab w:val="right" w:leader="dot" w:pos="8306"/>
        </w:tabs>
      </w:pPr>
      <w:hyperlink w:anchor="_Toc1672" w:history="1">
        <w:r>
          <w:rPr>
            <w:rFonts w:ascii="仿宋" w:eastAsia="仿宋" w:hAnsi="仿宋" w:cs="仿宋" w:hint="eastAsia"/>
            <w:lang w:eastAsia="zh-CN"/>
          </w:rPr>
          <w:t>(一)、职业生涯规划概述</w:t>
        </w:r>
        <w:r>
          <w:tab/>
        </w:r>
        <w:r>
          <w:fldChar w:fldCharType="begin"/>
        </w:r>
        <w:r>
          <w:instrText xml:space="preserve"> PAGEREF _Toc1672 \h </w:instrText>
        </w:r>
        <w:r>
          <w:fldChar w:fldCharType="separate"/>
        </w:r>
        <w:r>
          <w:t>7</w:t>
        </w:r>
        <w:r>
          <w:fldChar w:fldCharType="end"/>
        </w:r>
      </w:hyperlink>
    </w:p>
    <w:p>
      <w:pPr>
        <w:pStyle w:val="TOC2"/>
        <w:tabs>
          <w:tab w:val="right" w:leader="dot" w:pos="8306"/>
        </w:tabs>
      </w:pPr>
      <w:hyperlink w:anchor="_Toc6805" w:history="1">
        <w:r>
          <w:rPr>
            <w:rFonts w:ascii="仿宋" w:eastAsia="仿宋" w:hAnsi="仿宋" w:cs="仿宋" w:hint="eastAsia"/>
            <w:lang w:eastAsia="zh-CN"/>
          </w:rPr>
          <w:t>(二)、基本原则与方法</w:t>
        </w:r>
        <w:r>
          <w:tab/>
        </w:r>
        <w:r>
          <w:fldChar w:fldCharType="begin"/>
        </w:r>
        <w:r>
          <w:instrText xml:space="preserve"> PAGEREF _Toc6805 \h </w:instrText>
        </w:r>
        <w:r>
          <w:fldChar w:fldCharType="separate"/>
        </w:r>
        <w:r>
          <w:t>8</w:t>
        </w:r>
        <w:r>
          <w:fldChar w:fldCharType="end"/>
        </w:r>
      </w:hyperlink>
    </w:p>
    <w:p>
      <w:pPr>
        <w:pStyle w:val="TOC2"/>
        <w:tabs>
          <w:tab w:val="right" w:leader="dot" w:pos="8306"/>
        </w:tabs>
      </w:pPr>
      <w:hyperlink w:anchor="_Toc10404" w:history="1">
        <w:r>
          <w:rPr>
            <w:rFonts w:ascii="仿宋" w:eastAsia="仿宋" w:hAnsi="仿宋" w:cs="仿宋" w:hint="eastAsia"/>
            <w:lang w:eastAsia="zh-CN"/>
          </w:rPr>
          <w:t>(三)、员工职业生涯管理</w:t>
        </w:r>
        <w:r>
          <w:tab/>
        </w:r>
        <w:r>
          <w:fldChar w:fldCharType="begin"/>
        </w:r>
        <w:r>
          <w:instrText xml:space="preserve"> PAGEREF _Toc10404 \h </w:instrText>
        </w:r>
        <w:r>
          <w:fldChar w:fldCharType="separate"/>
        </w:r>
        <w:r>
          <w:t>9</w:t>
        </w:r>
        <w:r>
          <w:fldChar w:fldCharType="end"/>
        </w:r>
      </w:hyperlink>
    </w:p>
    <w:p>
      <w:pPr>
        <w:pStyle w:val="TOC2"/>
        <w:tabs>
          <w:tab w:val="right" w:leader="dot" w:pos="8306"/>
        </w:tabs>
      </w:pPr>
      <w:hyperlink w:anchor="_Toc31363" w:history="1">
        <w:r>
          <w:rPr>
            <w:rFonts w:ascii="仿宋" w:eastAsia="仿宋" w:hAnsi="仿宋" w:cs="仿宋" w:hint="eastAsia"/>
            <w:lang w:eastAsia="zh-CN"/>
          </w:rPr>
          <w:t>(四)、职业生涯发展支持体系</w:t>
        </w:r>
        <w:r>
          <w:tab/>
        </w:r>
        <w:r>
          <w:fldChar w:fldCharType="begin"/>
        </w:r>
        <w:r>
          <w:instrText xml:space="preserve"> PAGEREF _Toc31363 \h </w:instrText>
        </w:r>
        <w:r>
          <w:fldChar w:fldCharType="separate"/>
        </w:r>
        <w:r>
          <w:t>10</w:t>
        </w:r>
        <w:r>
          <w:fldChar w:fldCharType="end"/>
        </w:r>
      </w:hyperlink>
    </w:p>
    <w:p>
      <w:pPr>
        <w:pStyle w:val="TOC2"/>
        <w:tabs>
          <w:tab w:val="right" w:leader="dot" w:pos="8306"/>
        </w:tabs>
      </w:pPr>
      <w:hyperlink w:anchor="_Toc16564" w:history="1">
        <w:r>
          <w:rPr>
            <w:rFonts w:ascii="仿宋" w:eastAsia="仿宋" w:hAnsi="仿宋" w:cs="仿宋" w:hint="eastAsia"/>
            <w:lang w:eastAsia="zh-CN"/>
          </w:rPr>
          <w:t>(五)、公司文化与员工职业发展融合</w:t>
        </w:r>
        <w:r>
          <w:tab/>
        </w:r>
        <w:r>
          <w:fldChar w:fldCharType="begin"/>
        </w:r>
        <w:r>
          <w:instrText xml:space="preserve"> PAGEREF _Toc16564 \h </w:instrText>
        </w:r>
        <w:r>
          <w:fldChar w:fldCharType="separate"/>
        </w:r>
        <w:r>
          <w:t>12</w:t>
        </w:r>
        <w:r>
          <w:fldChar w:fldCharType="end"/>
        </w:r>
      </w:hyperlink>
    </w:p>
    <w:p>
      <w:pPr>
        <w:pStyle w:val="TOC2"/>
        <w:tabs>
          <w:tab w:val="right" w:leader="dot" w:pos="8306"/>
        </w:tabs>
      </w:pPr>
      <w:hyperlink w:anchor="_Toc27366" w:history="1">
        <w:r>
          <w:rPr>
            <w:rFonts w:ascii="仿宋" w:eastAsia="仿宋" w:hAnsi="仿宋" w:cs="仿宋" w:hint="eastAsia"/>
            <w:lang w:eastAsia="zh-CN"/>
          </w:rPr>
          <w:t>(六)、未来趋势与发展策略</w:t>
        </w:r>
        <w:r>
          <w:tab/>
        </w:r>
        <w:r>
          <w:fldChar w:fldCharType="begin"/>
        </w:r>
        <w:r>
          <w:instrText xml:space="preserve"> PAGEREF _Toc27366 \h </w:instrText>
        </w:r>
        <w:r>
          <w:fldChar w:fldCharType="separate"/>
        </w:r>
        <w:r>
          <w:t>14</w:t>
        </w:r>
        <w:r>
          <w:fldChar w:fldCharType="end"/>
        </w:r>
      </w:hyperlink>
    </w:p>
    <w:p>
      <w:pPr>
        <w:pStyle w:val="TOC1"/>
        <w:tabs>
          <w:tab w:val="right" w:leader="dot" w:pos="8306"/>
        </w:tabs>
      </w:pPr>
      <w:hyperlink w:anchor="_Toc9583" w:history="1">
        <w:r>
          <w:rPr>
            <w:rFonts w:ascii="仿宋" w:eastAsia="仿宋" w:hAnsi="仿宋" w:cs="仿宋" w:hint="eastAsia"/>
            <w:lang w:eastAsia="zh-CN"/>
          </w:rPr>
          <w:t>四、第七章员工培训与发展</w:t>
        </w:r>
        <w:r>
          <w:tab/>
        </w:r>
        <w:r>
          <w:fldChar w:fldCharType="begin"/>
        </w:r>
        <w:r>
          <w:instrText xml:space="preserve"> PAGEREF _Toc9583 \h </w:instrText>
        </w:r>
        <w:r>
          <w:fldChar w:fldCharType="separate"/>
        </w:r>
        <w:r>
          <w:t>16</w:t>
        </w:r>
        <w:r>
          <w:fldChar w:fldCharType="end"/>
        </w:r>
      </w:hyperlink>
    </w:p>
    <w:p>
      <w:pPr>
        <w:pStyle w:val="TOC2"/>
        <w:tabs>
          <w:tab w:val="right" w:leader="dot" w:pos="8306"/>
        </w:tabs>
      </w:pPr>
      <w:hyperlink w:anchor="_Toc31779" w:history="1">
        <w:r>
          <w:rPr>
            <w:rFonts w:ascii="仿宋" w:eastAsia="仿宋" w:hAnsi="仿宋" w:cs="仿宋" w:hint="eastAsia"/>
            <w:lang w:eastAsia="zh-CN"/>
          </w:rPr>
          <w:t>(一)、培训需求分析</w:t>
        </w:r>
        <w:r>
          <w:tab/>
        </w:r>
        <w:r>
          <w:fldChar w:fldCharType="begin"/>
        </w:r>
        <w:r>
          <w:instrText xml:space="preserve"> PAGEREF _Toc31779 \h </w:instrText>
        </w:r>
        <w:r>
          <w:fldChar w:fldCharType="separate"/>
        </w:r>
        <w:r>
          <w:t>16</w:t>
        </w:r>
        <w:r>
          <w:fldChar w:fldCharType="end"/>
        </w:r>
      </w:hyperlink>
    </w:p>
    <w:p>
      <w:pPr>
        <w:pStyle w:val="TOC2"/>
        <w:tabs>
          <w:tab w:val="right" w:leader="dot" w:pos="8306"/>
        </w:tabs>
      </w:pPr>
      <w:hyperlink w:anchor="_Toc4111" w:history="1">
        <w:r>
          <w:rPr>
            <w:rFonts w:ascii="仿宋" w:eastAsia="仿宋" w:hAnsi="仿宋" w:cs="仿宋" w:hint="eastAsia"/>
            <w:lang w:eastAsia="zh-CN"/>
          </w:rPr>
          <w:t>(二)、培训计划制定</w:t>
        </w:r>
        <w:r>
          <w:tab/>
        </w:r>
        <w:r>
          <w:fldChar w:fldCharType="begin"/>
        </w:r>
        <w:r>
          <w:instrText xml:space="preserve"> PAGEREF _Toc4111 \h </w:instrText>
        </w:r>
        <w:r>
          <w:fldChar w:fldCharType="separate"/>
        </w:r>
        <w:r>
          <w:t>17</w:t>
        </w:r>
        <w:r>
          <w:fldChar w:fldCharType="end"/>
        </w:r>
      </w:hyperlink>
    </w:p>
    <w:p>
      <w:pPr>
        <w:pStyle w:val="TOC2"/>
        <w:tabs>
          <w:tab w:val="right" w:leader="dot" w:pos="8306"/>
        </w:tabs>
      </w:pPr>
      <w:hyperlink w:anchor="_Toc19304" w:history="1">
        <w:r>
          <w:rPr>
            <w:rFonts w:ascii="仿宋" w:eastAsia="仿宋" w:hAnsi="仿宋" w:cs="仿宋" w:hint="eastAsia"/>
            <w:lang w:eastAsia="zh-CN"/>
          </w:rPr>
          <w:t>(三)、培训实施与评估</w:t>
        </w:r>
        <w:r>
          <w:tab/>
        </w:r>
        <w:r>
          <w:fldChar w:fldCharType="begin"/>
        </w:r>
        <w:r>
          <w:instrText xml:space="preserve"> PAGEREF _Toc19304 \h </w:instrText>
        </w:r>
        <w:r>
          <w:fldChar w:fldCharType="separate"/>
        </w:r>
        <w:r>
          <w:t>17</w:t>
        </w:r>
        <w:r>
          <w:fldChar w:fldCharType="end"/>
        </w:r>
      </w:hyperlink>
    </w:p>
    <w:p>
      <w:pPr>
        <w:pStyle w:val="TOC2"/>
        <w:tabs>
          <w:tab w:val="right" w:leader="dot" w:pos="8306"/>
        </w:tabs>
      </w:pPr>
      <w:hyperlink w:anchor="_Toc13938" w:history="1">
        <w:r>
          <w:rPr>
            <w:rFonts w:ascii="仿宋" w:eastAsia="仿宋" w:hAnsi="仿宋" w:cs="仿宋" w:hint="eastAsia"/>
            <w:lang w:eastAsia="zh-CN"/>
          </w:rPr>
          <w:t>(四)、持续学习与专业发展支持</w:t>
        </w:r>
        <w:r>
          <w:tab/>
        </w:r>
        <w:r>
          <w:fldChar w:fldCharType="begin"/>
        </w:r>
        <w:r>
          <w:instrText xml:space="preserve"> PAGEREF _Toc13938 \h </w:instrText>
        </w:r>
        <w:r>
          <w:fldChar w:fldCharType="separate"/>
        </w:r>
        <w:r>
          <w:t>19</w:t>
        </w:r>
        <w:r>
          <w:fldChar w:fldCharType="end"/>
        </w:r>
      </w:hyperlink>
    </w:p>
    <w:p>
      <w:pPr>
        <w:pStyle w:val="TOC1"/>
        <w:tabs>
          <w:tab w:val="right" w:leader="dot" w:pos="8306"/>
        </w:tabs>
      </w:pPr>
      <w:hyperlink w:anchor="_Toc22210" w:history="1">
        <w:r>
          <w:rPr>
            <w:rFonts w:ascii="仿宋" w:eastAsia="仿宋" w:hAnsi="仿宋" w:cs="仿宋" w:hint="eastAsia"/>
            <w:lang w:eastAsia="zh-CN"/>
          </w:rPr>
          <w:t>五、薪酬制度管理</w:t>
        </w:r>
        <w:r>
          <w:tab/>
        </w:r>
        <w:r>
          <w:fldChar w:fldCharType="begin"/>
        </w:r>
        <w:r>
          <w:instrText xml:space="preserve"> PAGEREF _Toc22210 \h </w:instrText>
        </w:r>
        <w:r>
          <w:fldChar w:fldCharType="separate"/>
        </w:r>
        <w:r>
          <w:t>20</w:t>
        </w:r>
        <w:r>
          <w:fldChar w:fldCharType="end"/>
        </w:r>
      </w:hyperlink>
    </w:p>
    <w:p>
      <w:pPr>
        <w:pStyle w:val="TOC2"/>
        <w:tabs>
          <w:tab w:val="right" w:leader="dot" w:pos="8306"/>
        </w:tabs>
      </w:pPr>
      <w:hyperlink w:anchor="_Toc26492" w:history="1">
        <w:r>
          <w:rPr>
            <w:rFonts w:ascii="仿宋" w:eastAsia="仿宋" w:hAnsi="仿宋" w:cs="仿宋" w:hint="eastAsia"/>
            <w:lang w:eastAsia="zh-CN"/>
          </w:rPr>
          <w:t>(一)、薪酬管理制度</w:t>
        </w:r>
        <w:r>
          <w:tab/>
        </w:r>
        <w:r>
          <w:fldChar w:fldCharType="begin"/>
        </w:r>
        <w:r>
          <w:instrText xml:space="preserve"> PAGEREF _Toc26492 \h </w:instrText>
        </w:r>
        <w:r>
          <w:fldChar w:fldCharType="separate"/>
        </w:r>
        <w:r>
          <w:t>20</w:t>
        </w:r>
        <w:r>
          <w:fldChar w:fldCharType="end"/>
        </w:r>
      </w:hyperlink>
    </w:p>
    <w:p>
      <w:pPr>
        <w:pStyle w:val="TOC2"/>
        <w:tabs>
          <w:tab w:val="right" w:leader="dot" w:pos="8306"/>
        </w:tabs>
      </w:pPr>
      <w:hyperlink w:anchor="_Toc24192" w:history="1">
        <w:r>
          <w:rPr>
            <w:rFonts w:ascii="仿宋" w:eastAsia="仿宋" w:hAnsi="仿宋" w:cs="仿宋" w:hint="eastAsia"/>
            <w:lang w:eastAsia="zh-CN"/>
          </w:rPr>
          <w:t>(二)、奖金制度的制定</w:t>
        </w:r>
        <w:r>
          <w:tab/>
        </w:r>
        <w:r>
          <w:fldChar w:fldCharType="begin"/>
        </w:r>
        <w:r>
          <w:instrText xml:space="preserve"> PAGEREF _Toc24192 \h </w:instrText>
        </w:r>
        <w:r>
          <w:fldChar w:fldCharType="separate"/>
        </w:r>
        <w:r>
          <w:t>24</w:t>
        </w:r>
        <w:r>
          <w:fldChar w:fldCharType="end"/>
        </w:r>
      </w:hyperlink>
    </w:p>
    <w:p>
      <w:pPr>
        <w:pStyle w:val="TOC2"/>
        <w:tabs>
          <w:tab w:val="right" w:leader="dot" w:pos="8306"/>
        </w:tabs>
      </w:pPr>
      <w:hyperlink w:anchor="_Toc17227" w:history="1">
        <w:r>
          <w:rPr>
            <w:rFonts w:ascii="仿宋" w:eastAsia="仿宋" w:hAnsi="仿宋" w:cs="仿宋" w:hint="eastAsia"/>
            <w:lang w:eastAsia="zh-CN"/>
          </w:rPr>
          <w:t>(三)、岗位薪酬体系设计</w:t>
        </w:r>
        <w:r>
          <w:tab/>
        </w:r>
        <w:r>
          <w:fldChar w:fldCharType="begin"/>
        </w:r>
        <w:r>
          <w:instrText xml:space="preserve"> PAGEREF _Toc17227 \h </w:instrText>
        </w:r>
        <w:r>
          <w:fldChar w:fldCharType="separate"/>
        </w:r>
        <w:r>
          <w:t>27</w:t>
        </w:r>
        <w:r>
          <w:fldChar w:fldCharType="end"/>
        </w:r>
      </w:hyperlink>
    </w:p>
    <w:p>
      <w:pPr>
        <w:pStyle w:val="TOC2"/>
        <w:tabs>
          <w:tab w:val="right" w:leader="dot" w:pos="8306"/>
        </w:tabs>
      </w:pPr>
      <w:hyperlink w:anchor="_Toc10002" w:history="1">
        <w:r>
          <w:rPr>
            <w:rFonts w:ascii="仿宋" w:eastAsia="仿宋" w:hAnsi="仿宋" w:cs="仿宋" w:hint="eastAsia"/>
            <w:lang w:eastAsia="zh-CN"/>
          </w:rPr>
          <w:t>(四)、绩效薪酬体系设计</w:t>
        </w:r>
        <w:r>
          <w:tab/>
        </w:r>
        <w:r>
          <w:fldChar w:fldCharType="begin"/>
        </w:r>
        <w:r>
          <w:instrText xml:space="preserve"> PAGEREF _Toc10002 \h </w:instrText>
        </w:r>
        <w:r>
          <w:fldChar w:fldCharType="separate"/>
        </w:r>
        <w:r>
          <w:t>28</w:t>
        </w:r>
        <w:r>
          <w:fldChar w:fldCharType="end"/>
        </w:r>
      </w:hyperlink>
    </w:p>
    <w:p>
      <w:pPr>
        <w:pStyle w:val="TOC1"/>
        <w:tabs>
          <w:tab w:val="right" w:leader="dot" w:pos="8306"/>
        </w:tabs>
      </w:pPr>
      <w:hyperlink w:anchor="_Toc13880" w:history="1">
        <w:r>
          <w:rPr>
            <w:rFonts w:ascii="仿宋" w:eastAsia="仿宋" w:hAnsi="仿宋" w:cs="仿宋" w:hint="eastAsia"/>
            <w:lang w:eastAsia="zh-CN"/>
          </w:rPr>
          <w:t>六、第十四章员工健康与安全管理</w:t>
        </w:r>
        <w:r>
          <w:tab/>
        </w:r>
        <w:r>
          <w:fldChar w:fldCharType="begin"/>
        </w:r>
        <w:r>
          <w:instrText xml:space="preserve"> PAGEREF _Toc13880 \h </w:instrText>
        </w:r>
        <w:r>
          <w:fldChar w:fldCharType="separate"/>
        </w:r>
        <w:r>
          <w:t>30</w:t>
        </w:r>
        <w:r>
          <w:fldChar w:fldCharType="end"/>
        </w:r>
      </w:hyperlink>
    </w:p>
    <w:p>
      <w:pPr>
        <w:pStyle w:val="TOC2"/>
        <w:tabs>
          <w:tab w:val="right" w:leader="dot" w:pos="8306"/>
        </w:tabs>
      </w:pPr>
      <w:hyperlink w:anchor="_Toc18056" w:history="1">
        <w:r>
          <w:rPr>
            <w:rFonts w:ascii="仿宋" w:eastAsia="仿宋" w:hAnsi="仿宋" w:cs="仿宋" w:hint="eastAsia"/>
            <w:lang w:eastAsia="zh-CN"/>
          </w:rPr>
          <w:t>(一)、健康保障计划</w:t>
        </w:r>
        <w:r>
          <w:tab/>
        </w:r>
        <w:r>
          <w:fldChar w:fldCharType="begin"/>
        </w:r>
        <w:r>
          <w:instrText xml:space="preserve"> PAGEREF _Toc18056 \h </w:instrText>
        </w:r>
        <w:r>
          <w:fldChar w:fldCharType="separate"/>
        </w:r>
        <w:r>
          <w:t>30</w:t>
        </w:r>
        <w:r>
          <w:fldChar w:fldCharType="end"/>
        </w:r>
      </w:hyperlink>
    </w:p>
    <w:p>
      <w:pPr>
        <w:pStyle w:val="TOC2"/>
        <w:tabs>
          <w:tab w:val="right" w:leader="dot" w:pos="8306"/>
        </w:tabs>
      </w:pPr>
      <w:hyperlink w:anchor="_Toc21694" w:history="1">
        <w:r>
          <w:rPr>
            <w:rFonts w:ascii="仿宋" w:eastAsia="仿宋" w:hAnsi="仿宋" w:cs="仿宋" w:hint="eastAsia"/>
            <w:lang w:eastAsia="zh-CN"/>
          </w:rPr>
          <w:t>(二)、安全管理体系</w:t>
        </w:r>
        <w:r>
          <w:tab/>
        </w:r>
        <w:r>
          <w:fldChar w:fldCharType="begin"/>
        </w:r>
        <w:r>
          <w:instrText xml:space="preserve"> PAGEREF _Toc21694 \h </w:instrText>
        </w:r>
        <w:r>
          <w:fldChar w:fldCharType="separate"/>
        </w:r>
        <w:r>
          <w:t>31</w:t>
        </w:r>
        <w:r>
          <w:fldChar w:fldCharType="end"/>
        </w:r>
      </w:hyperlink>
    </w:p>
    <w:p>
      <w:pPr>
        <w:pStyle w:val="TOC1"/>
        <w:tabs>
          <w:tab w:val="right" w:leader="dot" w:pos="8306"/>
        </w:tabs>
      </w:pPr>
      <w:hyperlink w:anchor="_Toc17241" w:history="1">
        <w:r>
          <w:rPr>
            <w:rFonts w:ascii="仿宋" w:eastAsia="仿宋" w:hAnsi="仿宋" w:cs="仿宋" w:hint="eastAsia"/>
            <w:lang w:eastAsia="zh-CN"/>
          </w:rPr>
          <w:t>七、第二十八章公司与员工法律关系</w:t>
        </w:r>
        <w:r>
          <w:tab/>
        </w:r>
        <w:r>
          <w:fldChar w:fldCharType="begin"/>
        </w:r>
        <w:r>
          <w:instrText xml:space="preserve"> PAGEREF _Toc17241 \h </w:instrText>
        </w:r>
        <w:r>
          <w:fldChar w:fldCharType="separate"/>
        </w:r>
        <w:r>
          <w:t>33</w:t>
        </w:r>
        <w:r>
          <w:fldChar w:fldCharType="end"/>
        </w:r>
      </w:hyperlink>
    </w:p>
    <w:p>
      <w:pPr>
        <w:pStyle w:val="TOC2"/>
        <w:tabs>
          <w:tab w:val="right" w:leader="dot" w:pos="8306"/>
        </w:tabs>
      </w:pPr>
      <w:hyperlink w:anchor="_Toc26557" w:history="1">
        <w:r>
          <w:rPr>
            <w:rFonts w:ascii="仿宋" w:eastAsia="仿宋" w:hAnsi="仿宋" w:cs="仿宋" w:hint="eastAsia"/>
            <w:lang w:eastAsia="zh-CN"/>
          </w:rPr>
          <w:t>(一)、劳动合同管理</w:t>
        </w:r>
        <w:r>
          <w:tab/>
        </w:r>
        <w:r>
          <w:fldChar w:fldCharType="begin"/>
        </w:r>
        <w:r>
          <w:instrText xml:space="preserve"> PAGEREF _Toc26557 \h </w:instrText>
        </w:r>
        <w:r>
          <w:fldChar w:fldCharType="separate"/>
        </w:r>
        <w:r>
          <w:t>33</w:t>
        </w:r>
        <w:r>
          <w:fldChar w:fldCharType="end"/>
        </w:r>
      </w:hyperlink>
    </w:p>
    <w:p>
      <w:pPr>
        <w:pStyle w:val="TOC2"/>
        <w:tabs>
          <w:tab w:val="right" w:leader="dot" w:pos="8306"/>
        </w:tabs>
      </w:pPr>
      <w:hyperlink w:anchor="_Toc13857" w:history="1">
        <w:r>
          <w:rPr>
            <w:rFonts w:ascii="仿宋" w:eastAsia="仿宋" w:hAnsi="仿宋" w:cs="仿宋" w:hint="eastAsia"/>
            <w:lang w:eastAsia="zh-CN"/>
          </w:rPr>
          <w:t>(二)、法定假期与劳动保障</w:t>
        </w:r>
        <w:r>
          <w:tab/>
        </w:r>
        <w:r>
          <w:fldChar w:fldCharType="begin"/>
        </w:r>
        <w:r>
          <w:instrText xml:space="preserve"> PAGEREF _Toc13857 \h </w:instrText>
        </w:r>
        <w:r>
          <w:fldChar w:fldCharType="separate"/>
        </w:r>
        <w:r>
          <w:t>33</w:t>
        </w:r>
        <w:r>
          <w:fldChar w:fldCharType="end"/>
        </w:r>
      </w:hyperlink>
    </w:p>
    <w:p>
      <w:pPr>
        <w:pStyle w:val="TOC2"/>
        <w:tabs>
          <w:tab w:val="right" w:leader="dot" w:pos="8306"/>
        </w:tabs>
      </w:pPr>
      <w:hyperlink w:anchor="_Toc13237" w:history="1">
        <w:r>
          <w:rPr>
            <w:rFonts w:ascii="仿宋" w:eastAsia="仿宋" w:hAnsi="仿宋" w:cs="仿宋" w:hint="eastAsia"/>
            <w:lang w:eastAsia="zh-CN"/>
          </w:rPr>
          <w:t>(三)、合规经营与风险防范</w:t>
        </w:r>
        <w:r>
          <w:tab/>
        </w:r>
        <w:r>
          <w:fldChar w:fldCharType="begin"/>
        </w:r>
        <w:r>
          <w:instrText xml:space="preserve"> PAGEREF _Toc13237 \h </w:instrText>
        </w:r>
        <w:r>
          <w:fldChar w:fldCharType="separate"/>
        </w:r>
        <w:r>
          <w:t>34</w:t>
        </w:r>
        <w:r>
          <w:fldChar w:fldCharType="end"/>
        </w:r>
      </w:hyperlink>
    </w:p>
    <w:p>
      <w:pPr>
        <w:pStyle w:val="TOC1"/>
        <w:tabs>
          <w:tab w:val="right" w:leader="dot" w:pos="8306"/>
        </w:tabs>
      </w:pPr>
      <w:hyperlink w:anchor="_Toc28267" w:history="1">
        <w:r>
          <w:rPr>
            <w:rFonts w:ascii="仿宋" w:eastAsia="仿宋" w:hAnsi="仿宋" w:cs="仿宋" w:hint="eastAsia"/>
            <w:lang w:eastAsia="zh-CN"/>
          </w:rPr>
          <w:t>八、第三十二章未来发展愿景</w:t>
        </w:r>
        <w:r>
          <w:tab/>
        </w:r>
        <w:r>
          <w:fldChar w:fldCharType="begin"/>
        </w:r>
        <w:r>
          <w:instrText xml:space="preserve"> PAGEREF _Toc28267 \h </w:instrText>
        </w:r>
        <w:r>
          <w:fldChar w:fldCharType="separate"/>
        </w:r>
        <w:r>
          <w:t>35</w:t>
        </w:r>
        <w:r>
          <w:fldChar w:fldCharType="end"/>
        </w:r>
      </w:hyperlink>
    </w:p>
    <w:p>
      <w:pPr>
        <w:pStyle w:val="TOC2"/>
        <w:tabs>
          <w:tab w:val="right" w:leader="dot" w:pos="8306"/>
        </w:tabs>
      </w:pPr>
      <w:hyperlink w:anchor="_Toc6887" w:history="1">
        <w:r>
          <w:rPr>
            <w:rFonts w:ascii="仿宋" w:eastAsia="仿宋" w:hAnsi="仿宋" w:cs="仿宋" w:hint="eastAsia"/>
            <w:lang w:eastAsia="zh-CN"/>
          </w:rPr>
          <w:t>(一)、员工职业生涯管理的未来趋势</w:t>
        </w:r>
        <w:r>
          <w:tab/>
        </w:r>
        <w:r>
          <w:fldChar w:fldCharType="begin"/>
        </w:r>
        <w:r>
          <w:instrText xml:space="preserve"> PAGEREF _Toc6887 \h </w:instrText>
        </w:r>
        <w:r>
          <w:fldChar w:fldCharType="separate"/>
        </w:r>
        <w:r>
          <w:t>35</w:t>
        </w:r>
        <w:r>
          <w:fldChar w:fldCharType="end"/>
        </w:r>
      </w:hyperlink>
    </w:p>
    <w:p>
      <w:pPr>
        <w:pStyle w:val="TOC2"/>
        <w:tabs>
          <w:tab w:val="right" w:leader="dot" w:pos="8306"/>
        </w:tabs>
      </w:pPr>
      <w:hyperlink w:anchor="_Toc23243" w:history="1">
        <w:r>
          <w:rPr>
            <w:rFonts w:ascii="仿宋" w:eastAsia="仿宋" w:hAnsi="仿宋" w:cs="仿宋" w:hint="eastAsia"/>
            <w:lang w:eastAsia="zh-CN"/>
          </w:rPr>
          <w:t>(二)、公司在员工发展中的未来愿景</w:t>
        </w:r>
        <w:r>
          <w:tab/>
        </w:r>
        <w:r>
          <w:fldChar w:fldCharType="begin"/>
        </w:r>
        <w:r>
          <w:instrText xml:space="preserve"> PAGEREF _Toc23243 \h </w:instrText>
        </w:r>
        <w:r>
          <w:fldChar w:fldCharType="separate"/>
        </w:r>
        <w:r>
          <w:t>36</w:t>
        </w:r>
        <w:r>
          <w:fldChar w:fldCharType="end"/>
        </w:r>
      </w:hyperlink>
    </w:p>
    <w:p>
      <w:pPr>
        <w:pStyle w:val="TOC1"/>
        <w:tabs>
          <w:tab w:val="right" w:leader="dot" w:pos="8306"/>
        </w:tabs>
      </w:pPr>
      <w:hyperlink w:anchor="_Toc31109" w:history="1">
        <w:r>
          <w:rPr>
            <w:rFonts w:ascii="仿宋" w:eastAsia="仿宋" w:hAnsi="仿宋" w:cs="仿宋" w:hint="eastAsia"/>
            <w:lang w:eastAsia="zh-CN"/>
          </w:rPr>
          <w:t>九、第十二章职业伦理与社会责任</w:t>
        </w:r>
        <w:r>
          <w:tab/>
        </w:r>
        <w:r>
          <w:fldChar w:fldCharType="begin"/>
        </w:r>
        <w:r>
          <w:instrText xml:space="preserve"> PAGEREF _Toc31109 \h </w:instrText>
        </w:r>
        <w:r>
          <w:fldChar w:fldCharType="separate"/>
        </w:r>
        <w:r>
          <w:t>36</w:t>
        </w:r>
        <w:r>
          <w:fldChar w:fldCharType="end"/>
        </w:r>
      </w:hyperlink>
    </w:p>
    <w:p>
      <w:pPr>
        <w:pStyle w:val="TOC2"/>
        <w:tabs>
          <w:tab w:val="right" w:leader="dot" w:pos="8306"/>
        </w:tabs>
      </w:pPr>
      <w:hyperlink w:anchor="_Toc14038" w:history="1">
        <w:r>
          <w:rPr>
            <w:rFonts w:ascii="仿宋" w:eastAsia="仿宋" w:hAnsi="仿宋" w:cs="仿宋" w:hint="eastAsia"/>
            <w:lang w:eastAsia="zh-CN"/>
          </w:rPr>
          <w:t>(一)、职业道德规范</w:t>
        </w:r>
        <w:r>
          <w:tab/>
        </w:r>
        <w:r>
          <w:fldChar w:fldCharType="begin"/>
        </w:r>
        <w:r>
          <w:instrText xml:space="preserve"> PAGEREF _Toc14038 \h </w:instrText>
        </w:r>
        <w:r>
          <w:fldChar w:fldCharType="separate"/>
        </w:r>
        <w:r>
          <w:t>36</w:t>
        </w:r>
        <w:r>
          <w:fldChar w:fldCharType="end"/>
        </w:r>
      </w:hyperlink>
    </w:p>
    <w:p>
      <w:pPr>
        <w:pStyle w:val="TOC2"/>
        <w:tabs>
          <w:tab w:val="right" w:leader="dot" w:pos="8306"/>
        </w:tabs>
      </w:pPr>
      <w:hyperlink w:anchor="_Toc21590" w:history="1">
        <w:r>
          <w:rPr>
            <w:rFonts w:ascii="仿宋" w:eastAsia="仿宋" w:hAnsi="仿宋" w:cs="仿宋" w:hint="eastAsia"/>
            <w:lang w:eastAsia="zh-CN"/>
          </w:rPr>
          <w:t>(二)、社会责任履行</w:t>
        </w:r>
        <w:r>
          <w:tab/>
        </w:r>
        <w:r>
          <w:fldChar w:fldCharType="begin"/>
        </w:r>
        <w:r>
          <w:instrText xml:space="preserve"> PAGEREF _Toc21590 \h </w:instrText>
        </w:r>
        <w:r>
          <w:fldChar w:fldCharType="separate"/>
        </w:r>
        <w:r>
          <w:t>37</w:t>
        </w:r>
        <w:r>
          <w:fldChar w:fldCharType="end"/>
        </w:r>
      </w:hyperlink>
    </w:p>
    <w:p>
      <w:pPr>
        <w:pStyle w:val="TOC1"/>
        <w:tabs>
          <w:tab w:val="right" w:leader="dot" w:pos="8306"/>
        </w:tabs>
      </w:pPr>
      <w:hyperlink w:anchor="_Toc21939" w:history="1">
        <w:r>
          <w:rPr>
            <w:rFonts w:ascii="仿宋" w:eastAsia="仿宋" w:hAnsi="仿宋" w:cs="仿宋" w:hint="eastAsia"/>
            <w:lang w:eastAsia="zh-CN"/>
          </w:rPr>
          <w:t>十、员工家庭与工作平衡支持计划</w:t>
        </w:r>
        <w:r>
          <w:tab/>
        </w:r>
        <w:r>
          <w:fldChar w:fldCharType="begin"/>
        </w:r>
        <w:r>
          <w:instrText xml:space="preserve"> PAGEREF _Toc21939 \h </w:instrText>
        </w:r>
        <w:r>
          <w:fldChar w:fldCharType="separate"/>
        </w:r>
        <w:r>
          <w:t>38</w:t>
        </w:r>
        <w:r>
          <w:fldChar w:fldCharType="end"/>
        </w:r>
      </w:hyperlink>
    </w:p>
    <w:p>
      <w:pPr>
        <w:pStyle w:val="TOC2"/>
        <w:tabs>
          <w:tab w:val="right" w:leader="dot" w:pos="8306"/>
        </w:tabs>
      </w:pPr>
      <w:hyperlink w:anchor="_Toc30067" w:history="1">
        <w:r>
          <w:rPr>
            <w:rFonts w:ascii="仿宋" w:eastAsia="仿宋" w:hAnsi="仿宋" w:cs="仿宋" w:hint="eastAsia"/>
            <w:lang w:eastAsia="zh-CN"/>
          </w:rPr>
          <w:t>(一)、家庭与工作平衡的重要性分析</w:t>
        </w:r>
        <w:r>
          <w:tab/>
        </w:r>
        <w:r>
          <w:fldChar w:fldCharType="begin"/>
        </w:r>
        <w:r>
          <w:instrText xml:space="preserve"> PAGEREF _Toc30067 \h </w:instrText>
        </w:r>
        <w:r>
          <w:fldChar w:fldCharType="separate"/>
        </w:r>
        <w:r>
          <w:t>38</w:t>
        </w:r>
        <w:r>
          <w:fldChar w:fldCharType="end"/>
        </w:r>
      </w:hyperlink>
    </w:p>
    <w:p>
      <w:pPr>
        <w:pStyle w:val="TOC2"/>
        <w:tabs>
          <w:tab w:val="right" w:leader="dot" w:pos="8306"/>
        </w:tabs>
      </w:pPr>
      <w:hyperlink w:anchor="_Toc22108" w:history="1">
        <w:r>
          <w:rPr>
            <w:rFonts w:ascii="仿宋" w:eastAsia="仿宋" w:hAnsi="仿宋" w:cs="仿宋" w:hint="eastAsia"/>
            <w:lang w:eastAsia="zh-CN"/>
          </w:rPr>
          <w:t>(二)、支持计划的制定与实施步骤</w:t>
        </w:r>
        <w:r>
          <w:tab/>
        </w:r>
        <w:r>
          <w:fldChar w:fldCharType="begin"/>
        </w:r>
        <w:r>
          <w:instrText xml:space="preserve"> PAGEREF _Toc22108 \h </w:instrText>
        </w:r>
        <w:r>
          <w:fldChar w:fldCharType="separate"/>
        </w:r>
        <w:r>
          <w:t>38</w:t>
        </w:r>
        <w:r>
          <w:fldChar w:fldCharType="end"/>
        </w:r>
      </w:hyperlink>
    </w:p>
    <w:p>
      <w:pPr>
        <w:pStyle w:val="TOC2"/>
        <w:tabs>
          <w:tab w:val="right" w:leader="dot" w:pos="8306"/>
        </w:tabs>
      </w:pPr>
      <w:hyperlink w:anchor="_Toc12307" w:history="1">
        <w:r>
          <w:rPr>
            <w:rFonts w:ascii="仿宋" w:eastAsia="仿宋" w:hAnsi="仿宋" w:cs="仿宋" w:hint="eastAsia"/>
            <w:lang w:eastAsia="zh-CN"/>
          </w:rPr>
          <w:t>(三)、平衡效果的评估及调整优化</w:t>
        </w:r>
        <w:r>
          <w:tab/>
        </w:r>
        <w:r>
          <w:fldChar w:fldCharType="begin"/>
        </w:r>
        <w:r>
          <w:instrText xml:space="preserve"> PAGEREF _Toc12307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027" w:history="1">
        <w:r>
          <w:rPr>
            <w:rFonts w:ascii="仿宋" w:eastAsia="仿宋" w:hAnsi="仿宋" w:cs="仿宋" w:hint="eastAsia"/>
            <w:lang w:eastAsia="zh-CN"/>
          </w:rPr>
          <w:t>十一、第四十五章员工品牌建设</w:t>
        </w:r>
        <w:r>
          <w:tab/>
        </w:r>
        <w:r>
          <w:fldChar w:fldCharType="begin"/>
        </w:r>
        <w:r>
          <w:instrText xml:space="preserve"> PAGEREF _Toc14027 \h </w:instrText>
        </w:r>
        <w:r>
          <w:fldChar w:fldCharType="separate"/>
        </w:r>
        <w:r>
          <w:t>40</w:t>
        </w:r>
        <w:r>
          <w:fldChar w:fldCharType="end"/>
        </w:r>
      </w:hyperlink>
    </w:p>
    <w:p>
      <w:pPr>
        <w:pStyle w:val="TOC2"/>
        <w:tabs>
          <w:tab w:val="right" w:leader="dot" w:pos="8306"/>
        </w:tabs>
      </w:pPr>
      <w:hyperlink w:anchor="_Toc2935" w:history="1">
        <w:r>
          <w:rPr>
            <w:rFonts w:ascii="仿宋" w:eastAsia="仿宋" w:hAnsi="仿宋" w:cs="仿宋" w:hint="eastAsia"/>
            <w:lang w:eastAsia="zh-CN"/>
          </w:rPr>
          <w:t>(一)、个人品牌管理</w:t>
        </w:r>
        <w:r>
          <w:tab/>
        </w:r>
        <w:r>
          <w:fldChar w:fldCharType="begin"/>
        </w:r>
        <w:r>
          <w:instrText xml:space="preserve"> PAGEREF _Toc2935 \h </w:instrText>
        </w:r>
        <w:r>
          <w:fldChar w:fldCharType="separate"/>
        </w:r>
        <w:r>
          <w:t>40</w:t>
        </w:r>
        <w:r>
          <w:fldChar w:fldCharType="end"/>
        </w:r>
      </w:hyperlink>
    </w:p>
    <w:p>
      <w:pPr>
        <w:pStyle w:val="TOC2"/>
        <w:tabs>
          <w:tab w:val="right" w:leader="dot" w:pos="8306"/>
        </w:tabs>
      </w:pPr>
      <w:hyperlink w:anchor="_Toc9638" w:history="1">
        <w:r>
          <w:rPr>
            <w:rFonts w:ascii="仿宋" w:eastAsia="仿宋" w:hAnsi="仿宋" w:cs="仿宋" w:hint="eastAsia"/>
            <w:lang w:eastAsia="zh-CN"/>
          </w:rPr>
          <w:t>(二)、在垃圾焚烧发电行业内建立个人影响力</w:t>
        </w:r>
        <w:r>
          <w:tab/>
        </w:r>
        <w:r>
          <w:fldChar w:fldCharType="begin"/>
        </w:r>
        <w:r>
          <w:instrText xml:space="preserve"> PAGEREF _Toc9638 \h </w:instrText>
        </w:r>
        <w:r>
          <w:fldChar w:fldCharType="separate"/>
        </w:r>
        <w:r>
          <w:t>40</w:t>
        </w:r>
        <w:r>
          <w:fldChar w:fldCharType="end"/>
        </w:r>
      </w:hyperlink>
    </w:p>
    <w:p>
      <w:pPr>
        <w:pStyle w:val="TOC2"/>
        <w:tabs>
          <w:tab w:val="right" w:leader="dot" w:pos="8306"/>
        </w:tabs>
      </w:pPr>
      <w:hyperlink w:anchor="_Toc22134" w:history="1">
        <w:r>
          <w:rPr>
            <w:rFonts w:ascii="仿宋" w:eastAsia="仿宋" w:hAnsi="仿宋" w:cs="仿宋" w:hint="eastAsia"/>
            <w:lang w:eastAsia="zh-CN"/>
          </w:rPr>
          <w:t>(三)、个人品牌与公司品牌的关联</w:t>
        </w:r>
        <w:r>
          <w:tab/>
        </w:r>
        <w:r>
          <w:fldChar w:fldCharType="begin"/>
        </w:r>
        <w:r>
          <w:instrText xml:space="preserve"> PAGEREF _Toc22134 \h </w:instrText>
        </w:r>
        <w:r>
          <w:fldChar w:fldCharType="separate"/>
        </w:r>
        <w:r>
          <w:t>42</w:t>
        </w:r>
        <w:r>
          <w:fldChar w:fldCharType="end"/>
        </w:r>
      </w:hyperlink>
    </w:p>
    <w:p>
      <w:pPr>
        <w:pStyle w:val="TOC2"/>
        <w:tabs>
          <w:tab w:val="right" w:leader="dot" w:pos="8306"/>
        </w:tabs>
      </w:pPr>
      <w:hyperlink w:anchor="_Toc11808" w:history="1">
        <w:r>
          <w:rPr>
            <w:rFonts w:ascii="仿宋" w:eastAsia="仿宋" w:hAnsi="仿宋" w:cs="仿宋" w:hint="eastAsia"/>
            <w:lang w:eastAsia="zh-CN"/>
          </w:rPr>
          <w:t>(四)、社交媒体与个人品牌</w:t>
        </w:r>
        <w:r>
          <w:tab/>
        </w:r>
        <w:r>
          <w:fldChar w:fldCharType="begin"/>
        </w:r>
        <w:r>
          <w:instrText xml:space="preserve"> PAGEREF _Toc11808 \h </w:instrText>
        </w:r>
        <w:r>
          <w:fldChar w:fldCharType="separate"/>
        </w:r>
        <w:r>
          <w:t>42</w:t>
        </w:r>
        <w:r>
          <w:fldChar w:fldCharType="end"/>
        </w:r>
      </w:hyperlink>
    </w:p>
    <w:p>
      <w:pPr>
        <w:pStyle w:val="TOC2"/>
        <w:tabs>
          <w:tab w:val="right" w:leader="dot" w:pos="8306"/>
        </w:tabs>
      </w:pPr>
      <w:hyperlink w:anchor="_Toc28736" w:history="1">
        <w:r>
          <w:rPr>
            <w:rFonts w:ascii="仿宋" w:eastAsia="仿宋" w:hAnsi="仿宋" w:cs="仿宋" w:hint="eastAsia"/>
            <w:lang w:eastAsia="zh-CN"/>
          </w:rPr>
          <w:t>(五)、个人品牌的社交媒体传播</w:t>
        </w:r>
        <w:r>
          <w:tab/>
        </w:r>
        <w:r>
          <w:fldChar w:fldCharType="begin"/>
        </w:r>
        <w:r>
          <w:instrText xml:space="preserve"> PAGEREF _Toc28736 \h </w:instrText>
        </w:r>
        <w:r>
          <w:fldChar w:fldCharType="separate"/>
        </w:r>
        <w:r>
          <w:t>43</w:t>
        </w:r>
        <w:r>
          <w:fldChar w:fldCharType="end"/>
        </w:r>
      </w:hyperlink>
    </w:p>
    <w:p>
      <w:pPr>
        <w:pStyle w:val="TOC2"/>
        <w:tabs>
          <w:tab w:val="right" w:leader="dot" w:pos="8306"/>
        </w:tabs>
      </w:pPr>
      <w:hyperlink w:anchor="_Toc30774" w:history="1">
        <w:r>
          <w:rPr>
            <w:rFonts w:ascii="仿宋" w:eastAsia="仿宋" w:hAnsi="仿宋" w:cs="仿宋" w:hint="eastAsia"/>
            <w:lang w:eastAsia="zh-CN"/>
          </w:rPr>
          <w:t>(六)、员工品牌建设与公司形象一致性</w:t>
        </w:r>
        <w:r>
          <w:tab/>
        </w:r>
        <w:r>
          <w:fldChar w:fldCharType="begin"/>
        </w:r>
        <w:r>
          <w:instrText xml:space="preserve"> PAGEREF _Toc30774 \h </w:instrText>
        </w:r>
        <w:r>
          <w:fldChar w:fldCharType="separate"/>
        </w:r>
        <w:r>
          <w:t>44</w:t>
        </w:r>
        <w:r>
          <w:fldChar w:fldCharType="end"/>
        </w:r>
      </w:hyperlink>
    </w:p>
    <w:p>
      <w:pPr>
        <w:pStyle w:val="TOC1"/>
        <w:tabs>
          <w:tab w:val="right" w:leader="dot" w:pos="8306"/>
        </w:tabs>
      </w:pPr>
      <w:hyperlink w:anchor="_Toc14407" w:history="1">
        <w:r>
          <w:rPr>
            <w:rFonts w:ascii="仿宋" w:eastAsia="仿宋" w:hAnsi="仿宋" w:cs="仿宋" w:hint="eastAsia"/>
            <w:lang w:eastAsia="zh-CN"/>
          </w:rPr>
          <w:t>十二、员工多元化与包容性管理</w:t>
        </w:r>
        <w:r>
          <w:tab/>
        </w:r>
        <w:r>
          <w:fldChar w:fldCharType="begin"/>
        </w:r>
        <w:r>
          <w:instrText xml:space="preserve"> PAGEREF _Toc14407 \h </w:instrText>
        </w:r>
        <w:r>
          <w:fldChar w:fldCharType="separate"/>
        </w:r>
        <w:r>
          <w:t>45</w:t>
        </w:r>
        <w:r>
          <w:fldChar w:fldCharType="end"/>
        </w:r>
      </w:hyperlink>
    </w:p>
    <w:p>
      <w:pPr>
        <w:pStyle w:val="TOC2"/>
        <w:tabs>
          <w:tab w:val="right" w:leader="dot" w:pos="8306"/>
        </w:tabs>
      </w:pPr>
      <w:hyperlink w:anchor="_Toc26473" w:history="1">
        <w:r>
          <w:rPr>
            <w:rFonts w:ascii="仿宋" w:eastAsia="仿宋" w:hAnsi="仿宋" w:cs="仿宋" w:hint="eastAsia"/>
            <w:lang w:eastAsia="zh-CN"/>
          </w:rPr>
          <w:t>(一)、员工多元化的价值与挑战</w:t>
        </w:r>
        <w:r>
          <w:tab/>
        </w:r>
        <w:r>
          <w:fldChar w:fldCharType="begin"/>
        </w:r>
        <w:r>
          <w:instrText xml:space="preserve"> PAGEREF _Toc26473 \h </w:instrText>
        </w:r>
        <w:r>
          <w:fldChar w:fldCharType="separate"/>
        </w:r>
        <w:r>
          <w:t>45</w:t>
        </w:r>
        <w:r>
          <w:fldChar w:fldCharType="end"/>
        </w:r>
      </w:hyperlink>
    </w:p>
    <w:p>
      <w:pPr>
        <w:pStyle w:val="TOC2"/>
        <w:tabs>
          <w:tab w:val="right" w:leader="dot" w:pos="8306"/>
        </w:tabs>
      </w:pPr>
      <w:hyperlink w:anchor="_Toc26231" w:history="1">
        <w:r>
          <w:rPr>
            <w:rFonts w:ascii="仿宋" w:eastAsia="仿宋" w:hAnsi="仿宋" w:cs="仿宋" w:hint="eastAsia"/>
            <w:lang w:eastAsia="zh-CN"/>
          </w:rPr>
          <w:t>(二)、员工包容性政策与实践</w:t>
        </w:r>
        <w:r>
          <w:tab/>
        </w:r>
        <w:r>
          <w:fldChar w:fldCharType="begin"/>
        </w:r>
        <w:r>
          <w:instrText xml:space="preserve"> PAGEREF _Toc26231 \h </w:instrText>
        </w:r>
        <w:r>
          <w:fldChar w:fldCharType="separate"/>
        </w:r>
        <w:r>
          <w:t>46</w:t>
        </w:r>
        <w:r>
          <w:fldChar w:fldCharType="end"/>
        </w:r>
      </w:hyperlink>
    </w:p>
    <w:p>
      <w:pPr>
        <w:pStyle w:val="TOC2"/>
        <w:tabs>
          <w:tab w:val="right" w:leader="dot" w:pos="8306"/>
        </w:tabs>
      </w:pPr>
      <w:hyperlink w:anchor="_Toc29854" w:history="1">
        <w:r>
          <w:rPr>
            <w:rFonts w:ascii="仿宋" w:eastAsia="仿宋" w:hAnsi="仿宋" w:cs="仿宋" w:hint="eastAsia"/>
            <w:lang w:eastAsia="zh-CN"/>
          </w:rPr>
          <w:t>(三)、多元与包容性文化的培育与维护</w:t>
        </w:r>
        <w:r>
          <w:tab/>
        </w:r>
        <w:r>
          <w:fldChar w:fldCharType="begin"/>
        </w:r>
        <w:r>
          <w:instrText xml:space="preserve"> PAGEREF _Toc29854 \h </w:instrText>
        </w:r>
        <w:r>
          <w:fldChar w:fldCharType="separate"/>
        </w:r>
        <w:r>
          <w:t>47</w:t>
        </w:r>
        <w:r>
          <w:fldChar w:fldCharType="end"/>
        </w:r>
      </w:hyperlink>
    </w:p>
    <w:p>
      <w:pPr>
        <w:pStyle w:val="TOC1"/>
        <w:tabs>
          <w:tab w:val="right" w:leader="dot" w:pos="8306"/>
        </w:tabs>
      </w:pPr>
      <w:hyperlink w:anchor="_Toc22051" w:history="1">
        <w:r>
          <w:rPr>
            <w:rFonts w:ascii="仿宋" w:eastAsia="仿宋" w:hAnsi="仿宋" w:cs="仿宋" w:hint="eastAsia"/>
            <w:lang w:eastAsia="zh-CN"/>
          </w:rPr>
          <w:t>十三、第四十七章全球人才流动与交流</w:t>
        </w:r>
        <w:r>
          <w:tab/>
        </w:r>
        <w:r>
          <w:fldChar w:fldCharType="begin"/>
        </w:r>
        <w:r>
          <w:instrText xml:space="preserve"> PAGEREF _Toc22051 \h </w:instrText>
        </w:r>
        <w:r>
          <w:fldChar w:fldCharType="separate"/>
        </w:r>
        <w:r>
          <w:t>47</w:t>
        </w:r>
        <w:r>
          <w:fldChar w:fldCharType="end"/>
        </w:r>
      </w:hyperlink>
    </w:p>
    <w:p>
      <w:pPr>
        <w:pStyle w:val="TOC2"/>
        <w:tabs>
          <w:tab w:val="right" w:leader="dot" w:pos="8306"/>
        </w:tabs>
      </w:pPr>
      <w:hyperlink w:anchor="_Toc17371" w:history="1">
        <w:r>
          <w:rPr>
            <w:rFonts w:ascii="仿宋" w:eastAsia="仿宋" w:hAnsi="仿宋" w:cs="仿宋" w:hint="eastAsia"/>
            <w:lang w:eastAsia="zh-CN"/>
          </w:rPr>
          <w:t>(一)、跨国项目与团队</w:t>
        </w:r>
        <w:r>
          <w:tab/>
        </w:r>
        <w:r>
          <w:fldChar w:fldCharType="begin"/>
        </w:r>
        <w:r>
          <w:instrText xml:space="preserve"> PAGEREF _Toc17371 \h </w:instrText>
        </w:r>
        <w:r>
          <w:fldChar w:fldCharType="separate"/>
        </w:r>
        <w:r>
          <w:t>47</w:t>
        </w:r>
        <w:r>
          <w:fldChar w:fldCharType="end"/>
        </w:r>
      </w:hyperlink>
    </w:p>
    <w:p>
      <w:pPr>
        <w:pStyle w:val="TOC2"/>
        <w:tabs>
          <w:tab w:val="right" w:leader="dot" w:pos="8306"/>
        </w:tabs>
      </w:pPr>
      <w:hyperlink w:anchor="_Toc24904" w:history="1">
        <w:r>
          <w:rPr>
            <w:rFonts w:ascii="仿宋" w:eastAsia="仿宋" w:hAnsi="仿宋" w:cs="仿宋" w:hint="eastAsia"/>
            <w:lang w:eastAsia="zh-CN"/>
          </w:rPr>
          <w:t>(二)、全球项目经验的累积</w:t>
        </w:r>
        <w:r>
          <w:tab/>
        </w:r>
        <w:r>
          <w:fldChar w:fldCharType="begin"/>
        </w:r>
        <w:r>
          <w:instrText xml:space="preserve"> PAGEREF _Toc24904 \h </w:instrText>
        </w:r>
        <w:r>
          <w:fldChar w:fldCharType="separate"/>
        </w:r>
        <w:r>
          <w:t>48</w:t>
        </w:r>
        <w:r>
          <w:fldChar w:fldCharType="end"/>
        </w:r>
      </w:hyperlink>
    </w:p>
    <w:p>
      <w:pPr>
        <w:pStyle w:val="TOC2"/>
        <w:tabs>
          <w:tab w:val="right" w:leader="dot" w:pos="8306"/>
        </w:tabs>
      </w:pPr>
      <w:hyperlink w:anchor="_Toc15599" w:history="1">
        <w:r>
          <w:rPr>
            <w:rFonts w:ascii="仿宋" w:eastAsia="仿宋" w:hAnsi="仿宋" w:cs="仿宋" w:hint="eastAsia"/>
            <w:lang w:eastAsia="zh-CN"/>
          </w:rPr>
          <w:t>(三)、跨文化团队领导与协作</w:t>
        </w:r>
        <w:r>
          <w:tab/>
        </w:r>
        <w:r>
          <w:fldChar w:fldCharType="begin"/>
        </w:r>
        <w:r>
          <w:instrText xml:space="preserve"> PAGEREF _Toc15599 \h </w:instrText>
        </w:r>
        <w:r>
          <w:fldChar w:fldCharType="separate"/>
        </w:r>
        <w:r>
          <w:t>49</w:t>
        </w:r>
        <w:r>
          <w:fldChar w:fldCharType="end"/>
        </w:r>
      </w:hyperlink>
    </w:p>
    <w:p>
      <w:pPr>
        <w:pStyle w:val="TOC2"/>
        <w:tabs>
          <w:tab w:val="right" w:leader="dot" w:pos="8306"/>
        </w:tabs>
      </w:pPr>
      <w:hyperlink w:anchor="_Toc5921" w:history="1">
        <w:r>
          <w:rPr>
            <w:rFonts w:ascii="仿宋" w:eastAsia="仿宋" w:hAnsi="仿宋" w:cs="仿宋" w:hint="eastAsia"/>
            <w:lang w:eastAsia="zh-CN"/>
          </w:rPr>
          <w:t>(四)、跨国交流与人才培养</w:t>
        </w:r>
        <w:r>
          <w:tab/>
        </w:r>
        <w:r>
          <w:fldChar w:fldCharType="begin"/>
        </w:r>
        <w:r>
          <w:instrText xml:space="preserve"> PAGEREF _Toc5921 \h </w:instrText>
        </w:r>
        <w:r>
          <w:fldChar w:fldCharType="separate"/>
        </w:r>
        <w:r>
          <w:t>50</w:t>
        </w:r>
        <w:r>
          <w:fldChar w:fldCharType="end"/>
        </w:r>
      </w:hyperlink>
    </w:p>
    <w:p>
      <w:pPr>
        <w:pStyle w:val="TOC2"/>
        <w:tabs>
          <w:tab w:val="right" w:leader="dot" w:pos="8306"/>
        </w:tabs>
      </w:pPr>
      <w:hyperlink w:anchor="_Toc26181" w:history="1">
        <w:r>
          <w:rPr>
            <w:rFonts w:ascii="仿宋" w:eastAsia="仿宋" w:hAnsi="仿宋" w:cs="仿宋" w:hint="eastAsia"/>
            <w:lang w:eastAsia="zh-CN"/>
          </w:rPr>
          <w:t>(五)、跨国交流计划的实施</w:t>
        </w:r>
        <w:r>
          <w:tab/>
        </w:r>
        <w:r>
          <w:fldChar w:fldCharType="begin"/>
        </w:r>
        <w:r>
          <w:instrText xml:space="preserve"> PAGEREF _Toc26181 \h </w:instrText>
        </w:r>
        <w:r>
          <w:fldChar w:fldCharType="separate"/>
        </w:r>
        <w:r>
          <w:t>51</w:t>
        </w:r>
        <w:r>
          <w:fldChar w:fldCharType="end"/>
        </w:r>
      </w:hyperlink>
    </w:p>
    <w:p>
      <w:pPr>
        <w:pStyle w:val="TOC2"/>
        <w:tabs>
          <w:tab w:val="right" w:leader="dot" w:pos="8306"/>
        </w:tabs>
      </w:pPr>
      <w:hyperlink w:anchor="_Toc12319" w:history="1">
        <w:r>
          <w:rPr>
            <w:rFonts w:ascii="仿宋" w:eastAsia="仿宋" w:hAnsi="仿宋" w:cs="仿宋" w:hint="eastAsia"/>
            <w:lang w:eastAsia="zh-CN"/>
          </w:rPr>
          <w:t>(六)、跨国培训与知识转移</w:t>
        </w:r>
        <w:r>
          <w:tab/>
        </w:r>
        <w:r>
          <w:fldChar w:fldCharType="begin"/>
        </w:r>
        <w:r>
          <w:instrText xml:space="preserve"> PAGEREF _Toc12319 \h </w:instrText>
        </w:r>
        <w:r>
          <w:fldChar w:fldCharType="separate"/>
        </w:r>
        <w:r>
          <w:t>51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97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竞争激烈的商业环境中，垃圾焚烧发电行业相关公司员工职业生涯规划与管理具有重要意义。职业生涯规划与管理通过引导员工认识自己、明确个人职业目标，并采取相应行动，使员工能够在职业发展中达到更高的高度。本文档将探讨职业生涯规划与管理的方法和实施步骤，以提供给员工建立个人职业发展计划的指导。不可做为商业用途，只用作学习交流。</w:t>
      </w:r>
    </w:p>
    <w:p>
      <w:pPr>
        <w:pStyle w:val="Heading1"/>
        <w:ind w:firstLine="560" w:firstLineChars="200"/>
        <w:rPr>
          <w:rFonts w:ascii="仿宋" w:eastAsia="仿宋" w:hAnsi="仿宋" w:cs="仿宋" w:hint="eastAsia"/>
          <w:sz w:val="28"/>
          <w:lang w:eastAsia="zh-CN"/>
        </w:rPr>
      </w:pPr>
      <w:bookmarkStart w:id="2" w:name="_Toc22140"/>
      <w:r>
        <w:rPr>
          <w:rFonts w:ascii="仿宋" w:eastAsia="仿宋" w:hAnsi="仿宋" w:cs="仿宋" w:hint="eastAsia"/>
          <w:sz w:val="28"/>
          <w:lang w:eastAsia="zh-CN"/>
        </w:rPr>
        <w:t>一、员工沟通技巧培训与人际关系管理</w:t>
      </w:r>
      <w:bookmarkEnd w:id="2"/>
    </w:p>
    <w:p>
      <w:pPr>
        <w:pStyle w:val="Heading2"/>
        <w:rPr>
          <w:rFonts w:ascii="仿宋" w:eastAsia="仿宋" w:hAnsi="仿宋" w:cs="仿宋" w:hint="eastAsia"/>
          <w:lang w:eastAsia="zh-CN"/>
        </w:rPr>
      </w:pPr>
      <w:bookmarkStart w:id="3" w:name="_Toc29068"/>
      <w:r>
        <w:rPr>
          <w:rFonts w:ascii="仿宋" w:eastAsia="仿宋" w:hAnsi="仿宋" w:cs="仿宋" w:hint="eastAsia"/>
          <w:lang w:eastAsia="zh-CN"/>
        </w:rPr>
        <w:t>(一)、沟通技巧的重要性及培训计划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有效的沟通技巧是建立协作关系、提高工作效率和解决问题的关键。良好的沟通有助于减少误解，促进信息的准确传递，增强团队协作，提高整体工作氛围。因此，公司决定实施员工沟通技巧培训计划，以提高员工在沟通方面的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培训计划将包括以下方面：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有效听力技巧： 强调倾听的重要性，培养员工主动聆听、理解对方观点的能力，以确保双方都能够真正理解沟通的内容。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清晰表达： 提供有效的表达工具，帮助员工清晰、明确地传达自己的意思，减少沟通中的歧义和误解。</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非语言沟通： 强调身体语言、面部表情和姿态对沟通的重要影响。员工将学习如何通过肢体语言传递积极的信息，增强沟通效果。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冲突解决技巧： 提供冲突识别和解决的方法，教授员工如何在发生冲突时保持冷静、理性，并找到合适的解决方案。</w:t>
      </w:r>
    </w:p>
    <w:p>
      <w:pPr>
        <w:pStyle w:val="Heading2"/>
        <w:ind w:firstLine="560" w:firstLineChars="200"/>
        <w:rPr>
          <w:rFonts w:ascii="仿宋" w:eastAsia="仿宋" w:hAnsi="仿宋" w:cs="仿宋" w:hint="eastAsia"/>
          <w:sz w:val="28"/>
          <w:lang w:eastAsia="zh-CN"/>
        </w:rPr>
      </w:pPr>
      <w:bookmarkStart w:id="4" w:name="_Toc21365"/>
      <w:r>
        <w:rPr>
          <w:rFonts w:ascii="仿宋" w:eastAsia="仿宋" w:hAnsi="仿宋" w:cs="仿宋" w:hint="eastAsia"/>
          <w:sz w:val="28"/>
          <w:lang w:eastAsia="zh-CN"/>
        </w:rPr>
        <w:t>(二)、人际关系管理的原则与方法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良好的人际关系管理对于公司内部团队的协作和成功至关重要。人际关系管理旨在促进员工之间的积极互动、建立强有力的工作关系。为了实现这一目标，公司将采用以下原则和方法：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尊重和理解： 员工将被鼓励尊重彼此的观点和背景，理解不同个体之间的差异。通过创造一个尊重多元性的环境，可以提高团队合作的凝聚力。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积极沟通： 提倡积极的沟通文化，鼓励员工分享信息、经验和建议。通过积极沟通，可以加强团队之间的合作，提高工作效率。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建立信任： 信任是良好人际关系的基石。公司将通过透明的管理风格、履行承诺以及支持员工发展等方式来建立和维护信任关系。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解决冲突： 提供冲突解决的培训，帮助员工学会以积极的方式处理冲突，确保问题得到及时解决，不影响整个团队的合作氛围。</w:t>
      </w:r>
    </w:p>
    <w:p>
      <w:pPr>
        <w:pStyle w:val="Heading2"/>
        <w:ind w:firstLine="560" w:firstLineChars="200"/>
        <w:rPr>
          <w:rFonts w:ascii="仿宋" w:eastAsia="仿宋" w:hAnsi="仿宋" w:cs="仿宋" w:hint="eastAsia"/>
          <w:sz w:val="28"/>
          <w:lang w:eastAsia="zh-CN"/>
        </w:rPr>
      </w:pPr>
      <w:bookmarkStart w:id="5" w:name="_Toc7772"/>
      <w:r>
        <w:rPr>
          <w:rFonts w:ascii="仿宋" w:eastAsia="仿宋" w:hAnsi="仿宋" w:cs="仿宋" w:hint="eastAsia"/>
          <w:sz w:val="28"/>
          <w:lang w:eastAsia="zh-CN"/>
        </w:rPr>
        <w:t>(三)、良好人际关系的建立与维护</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建立和维护良好的人际关系是一个长期而持续的过程，需要公司制定明确的战略和实施方法。公司将着重以下方面：</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团队建设活动： 定期组织团队建设活动，以加强员工之间的互动和合作。这有助于打破冰冷氛围，促进团队之间的友好关系。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认可与奖励： 设立认可和奖励制度，表彰在人际关系方面做出积极贡献的员工。通过激励机制，公司将鼓励员工积极参与团队建设，创造更好的工作氛围。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员工支持系统： 制定员工支持系统，为员工提供心理健康支持、职业发展指导等服务。通过关怀和支持，公司将助力员工更好地适应工作环境。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定期评估和调整： 定期评估人际关系的健康状况，收集反馈，并根据评估结果调整人际关系管理策略。这有助于公司不断优化管理方法，确保人际关系的持续改善。</w:t>
      </w:r>
    </w:p>
    <w:p>
      <w:pPr>
        <w:pStyle w:val="Heading1"/>
        <w:ind w:firstLine="560" w:firstLineChars="200"/>
        <w:rPr>
          <w:rFonts w:ascii="仿宋" w:eastAsia="仿宋" w:hAnsi="仿宋" w:cs="仿宋" w:hint="eastAsia"/>
          <w:sz w:val="28"/>
          <w:lang w:eastAsia="zh-CN"/>
        </w:rPr>
      </w:pPr>
      <w:bookmarkStart w:id="6" w:name="_Toc3567"/>
      <w:r>
        <w:rPr>
          <w:rFonts w:ascii="仿宋" w:eastAsia="仿宋" w:hAnsi="仿宋" w:cs="仿宋" w:hint="eastAsia"/>
          <w:sz w:val="28"/>
          <w:lang w:eastAsia="zh-CN"/>
        </w:rPr>
        <w:t>二、垃圾焚烧发电行业背景分析</w:t>
      </w:r>
      <w:bookmarkEnd w:id="6"/>
    </w:p>
    <w:p>
      <w:pPr>
        <w:pStyle w:val="Heading2"/>
        <w:rPr>
          <w:rFonts w:ascii="仿宋" w:eastAsia="仿宋" w:hAnsi="仿宋" w:cs="仿宋" w:hint="eastAsia"/>
          <w:lang w:eastAsia="zh-CN"/>
        </w:rPr>
      </w:pPr>
      <w:bookmarkStart w:id="7" w:name="_Toc10191"/>
      <w:r>
        <w:rPr>
          <w:rFonts w:ascii="仿宋" w:eastAsia="仿宋" w:hAnsi="仿宋" w:cs="仿宋" w:hint="eastAsia"/>
          <w:lang w:eastAsia="zh-CN"/>
        </w:rPr>
        <w:t>(一)、垃圾焚烧发电行业背景分析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垃圾焚烧发电行业是一个充满活力且不断演变的领域。近年来，该垃圾焚烧发电行业经历了显著的增长，这一增长主要受益于多方面的推动因素，尤其是技术创新和市场需求的持续增加。技术创新为垃圾焚烧发电行业带来了新的商业模式和解决方案，而不断增长的市场需求则推动了垃圾焚烧发电行业的整体扩张。这使得 垃圾焚烧发电行业成为当前经济中备受关注的一个重要组成部分。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市场规模与趋势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垃圾焚烧发电行业的市场规模持续扩大，预计未来几年仍将保持良好的增长势头。这一趋势得益于多种因素，其中包括数字化转型、全球化市场和消费者需求的多样化。数字化转型推动了垃圾焚烧发电行业内各个环节的效率提升，全球化市场为企业提供了更广阔的业务机会，而消费者需求的多样化则促使垃圾焚烧发电行业不断创新，满足不同层次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垃圾焚烧发电行业呈现激烈的竞争格局，主要由一些领先的企业主导市场。这些企业通常在创新、市场份额和客户忠诚度等方面表现出强大的竞争力。随着垃圾焚烧发电行业的发展，新的参与者可能加入市场，加剧了竞争。因此，企业需要保持敏锐的市场洞察，不断提升竞争力，以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焚烧发电行业受到一系列政府政策和法规的影响，涉及到环保标准、贸易政策、知识产权等多个领域。企业需要密切关注并遵守这些法规，以确保业务的可持续发展。合规经营不仅有助于维护企业的声誉，还为企业在复杂多变的法规环境中保持稳健运营提供了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技术与创新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技术创新是推动 垃圾焚烧发电行业发展的关键因素之一。新技术的引入，如 [相关技术]，为企业提供了更高效、智能化的解决方案，同时也创造了新的商业机会。在这个快速变化的环境中，企业需要不断调整自己的技术策略，以保持竞争力。积极采用新技术，拥抱创新是垃圾焚烧发电行业参与者取得成功的关键路径之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未来展望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垃圾焚烧发电行业仍然充满挑战和机遇。随着全球经济的发展和技术的不断进步，垃圾焚烧发电行业参与者将面临着更多的发展机会。然而，需要时刻保持敏锐的市场洞察，灵活调整战略，以适应变化中的环境。对于 垃圾焚烧发电行业的未来，持乐观但谨慎的态度，不断优化业务模式和提升核心竞争力是至关重要的。</w:t>
      </w:r>
    </w:p>
    <w:p>
      <w:pPr>
        <w:pStyle w:val="Heading1"/>
        <w:ind w:firstLine="560" w:firstLineChars="200"/>
        <w:rPr>
          <w:rFonts w:ascii="仿宋" w:eastAsia="仿宋" w:hAnsi="仿宋" w:cs="仿宋" w:hint="eastAsia"/>
          <w:sz w:val="28"/>
          <w:lang w:eastAsia="zh-CN"/>
        </w:rPr>
      </w:pPr>
      <w:bookmarkStart w:id="8" w:name="_Toc21524"/>
      <w:r>
        <w:rPr>
          <w:rFonts w:ascii="仿宋" w:eastAsia="仿宋" w:hAnsi="仿宋" w:cs="仿宋" w:hint="eastAsia"/>
          <w:sz w:val="28"/>
          <w:lang w:eastAsia="zh-CN"/>
        </w:rPr>
        <w:t>三、员工职业生涯规划与发展</w:t>
      </w:r>
      <w:bookmarkEnd w:id="8"/>
    </w:p>
    <w:p>
      <w:pPr>
        <w:pStyle w:val="Heading2"/>
        <w:rPr>
          <w:rFonts w:ascii="仿宋" w:eastAsia="仿宋" w:hAnsi="仿宋" w:cs="仿宋" w:hint="eastAsia"/>
          <w:lang w:eastAsia="zh-CN"/>
        </w:rPr>
      </w:pPr>
      <w:bookmarkStart w:id="9" w:name="_Toc1672"/>
      <w:r>
        <w:rPr>
          <w:rFonts w:ascii="仿宋" w:eastAsia="仿宋" w:hAnsi="仿宋" w:cs="仿宋" w:hint="eastAsia"/>
          <w:lang w:eastAsia="zh-CN"/>
        </w:rPr>
        <w:t>(一)、职业生涯规划概述</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职业生涯规划概述:</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是个人在职业生涯中制定的一系列目标、计划和行动，旨在实现职业发展、提升工作满意度、获取专业技能以及实现个人和职业目标。它是一个系统性的过程，涵盖了对个人兴趣、价值观、技能和职业机会的深入了解，以及相应的目标设定和执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在职业生涯规划中，个人通常会考虑以下方面：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自我评估: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这包括个人的技能、兴趣、价值观和性格特点的评估。了解自己的优势和劣势，明确个人的职业目标和价值观，是制定职业生涯规划的基础。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职业目标设定: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设定长期和短期的职业目标，明确想要达到的职业高度和成就。这有助于个人更有针对性地制定相应的计划和行动步骤。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职业市场调研: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了解当前和未来的职业市场趋势，以及所处垃圾焚烧发电行业的发展方向，有助于调整个人的职业规划，确保与市场需求保持一致。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学习和发展计划: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制定学习计划，包括获取新技能、参与培训、追求学历提升等，以满足个人职业目标和适应职业市场的需求。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行动计划: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制定明确的行动计划，包括就业策略、职业网络建设、个人品牌塑造等，以有条不紊地实施职业生涯规划。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职业生涯规划有助于个人更有目的地投入职业生涯，提高职业发展的有效性和满意度。通过持续的自我评估和规划，个人能够更好地适应职业环境的变化，取得更好的职业成就。</w:t>
      </w:r>
    </w:p>
    <w:p>
      <w:pPr>
        <w:pStyle w:val="Heading2"/>
        <w:ind w:firstLine="560" w:firstLineChars="200"/>
        <w:rPr>
          <w:rFonts w:ascii="仿宋" w:eastAsia="仿宋" w:hAnsi="仿宋" w:cs="仿宋" w:hint="eastAsia"/>
          <w:sz w:val="28"/>
          <w:lang w:eastAsia="zh-CN"/>
        </w:rPr>
      </w:pPr>
      <w:bookmarkStart w:id="10" w:name="_Toc6805"/>
      <w:r>
        <w:rPr>
          <w:rFonts w:ascii="仿宋" w:eastAsia="仿宋" w:hAnsi="仿宋" w:cs="仿宋" w:hint="eastAsia"/>
          <w:sz w:val="28"/>
          <w:lang w:eastAsia="zh-CN"/>
        </w:rPr>
        <w:t>(二)、基本原则与方法</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这一过程中，首要任务是明确定义个体的职业目标。员工需要深入思考短期和长期的职业追求，将其与组织的战略愿景相契合。通过对个人兴趣的深入挖掘和对垃圾焚烧发电行业趋势的敏锐洞察，个体可以更加准确地定位自己的职业目标，使其在个体发展的同时与组织保持紧密的协调。</w:t>
      </w:r>
    </w:p>
    <w:p>
      <w:pPr>
        <w:pStyle w:val="Heading2"/>
        <w:ind w:firstLine="560" w:firstLineChars="200"/>
        <w:rPr>
          <w:rFonts w:ascii="仿宋" w:eastAsia="仿宋" w:hAnsi="仿宋" w:cs="仿宋" w:hint="eastAsia"/>
          <w:sz w:val="28"/>
          <w:lang w:eastAsia="zh-CN"/>
        </w:rPr>
      </w:pPr>
      <w:bookmarkStart w:id="11" w:name="_Toc10404"/>
      <w:r>
        <w:rPr>
          <w:rFonts w:ascii="仿宋" w:eastAsia="仿宋" w:hAnsi="仿宋" w:cs="仿宋" w:hint="eastAsia"/>
          <w:sz w:val="28"/>
          <w:lang w:eastAsia="zh-CN"/>
        </w:rPr>
        <w:t>(三)、员工职业生涯管理</w:t>
      </w:r>
      <w:bookmarkEnd w:id="11"/>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员工职业生涯管理是一项关键的组织战略，旨在支持员工的个体发展，同时与组织的长远目标保持协调。这一管理实践包含多层次的支持和引导，确保员工能够在职业生涯中实现个人目标的同时为组织作出贡献。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导向个体发展的定制计划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的核心在于定制个体化的发展计划。这需要组织深入了解员工的兴趣、技能和职业目标，并通过有针对性的培训和发展计划为其提供支持。这不仅激发员工的积极性，还使其能够更好地适应组织的变化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晋升通道与发展机会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的职业生涯管理需建立明确的晋升通道和发展机会。组织应提供清晰的晋升路径，让员工明白他们在组织中的职业前景。同时，通过为员工提供参与创新项目、领导小组或跨部门工作的机会，拓宽他们的经验范围，为职业发展创造更多可能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培训与反馈机制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培训和反馈是员工职业生涯管理中的两个关键元素。通过定期的培训，员工能够不断提升技能，适应职业环境的变化。而有效的反馈机制则为员工提供了改进的方向，帮助他们更好地理解自己的强项和发展领域。</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平衡工作与生活</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职业生涯管理还需要关注员工的工作与生活平衡。通过弹性工作安排、健康福利和心理健康支持，组织可以帮助员工更好地处理工作压力，保持身心健康，从而更好地投入职业生涯的发展。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提供多元化的发展资源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为了支持员工的职业生涯管理，组织需提供多元化的发展资源。这包括在线学习平台、导师计划、专业培训等，使员工能够根据自己的需要和兴趣选择适宜的发展途径。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建立良好的沟通渠道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良好的沟通是员工职业生涯管理的基础。组织需要建立开放的沟通渠道，鼓励员工表达自己的职业期望和需求。同时，领导层的透明沟通有助于员工更好地理解组织的发展方向和自己在其中的角色。</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员工职业生涯管理是一项复杂而综合的工作，需要组织通过个性化的支持、发展机会和有效的沟通，确保员工在职业生涯中实现个人目标的同时，为组织的整体成功做出贡献。</w:t>
      </w:r>
    </w:p>
    <w:p>
      <w:pPr>
        <w:pStyle w:val="Heading2"/>
        <w:ind w:firstLine="560" w:firstLineChars="200"/>
        <w:rPr>
          <w:rFonts w:ascii="仿宋" w:eastAsia="仿宋" w:hAnsi="仿宋" w:cs="仿宋" w:hint="eastAsia"/>
          <w:sz w:val="28"/>
          <w:lang w:eastAsia="zh-CN"/>
        </w:rPr>
      </w:pPr>
      <w:bookmarkStart w:id="12" w:name="_Toc31363"/>
      <w:r>
        <w:rPr>
          <w:rFonts w:ascii="仿宋" w:eastAsia="仿宋" w:hAnsi="仿宋" w:cs="仿宋" w:hint="eastAsia"/>
          <w:sz w:val="28"/>
          <w:lang w:eastAsia="zh-CN"/>
        </w:rPr>
        <w:t>(四)、职业生涯发展支持体系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职业生涯发展支持体系是一个涵盖多方面资源和计划的框架，旨在协助员工规划和实现其职业生涯目标。这一体系涵盖了培训、导师制度、资源支持等多个方面，以确保员工在职业生涯中得到全面的发展和支持。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 综合培训计划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发展支持体系的核心是综合的培训计划，旨在提供员工所需的技能和知识。这包括定期的专业培训、工作坊、在线学习资源等。通过投资于员工的终身学习，组织能够确保员工在不同阶段都能保持竞争力。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导师制度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建立导师制度是支持员工职业生涯发展的有效途径。导师可以为新员工提供指导，分享经验，并在整个职业生涯中成为可信赖的顾问。这种双向的知识传递有助于形成良好的组织文化，并加速员工的专业成长。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职业规划咨询服务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为员工提供专业的职业规划咨询服务，帮助他们明确职业目标、评估职业选择，是支持体系的关键组成部分。这种服务可以通过专业咨询师、在线平台或内部专家提供，以确保员工在职业决策中有明晰的方向。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多样性的发展机会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发展支持体系应包含多样性的发展机会，涵盖不同的职业领域和发展方向。这可以包括参与创新项目、领导小组、国际交流等，以拓展员工的经验和视野，为其职业生涯提供更多选择。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5. 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职业生涯发展的成功不仅仅取决于技能的提升，还与员工的心理健康密切相关。支持体系应该包括心理健康资源，为员工提供心理咨询、工作压力管理等服务，确保他们在职业发展过程中能够保持平衡。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为员工提供灵活的工作安排是职业生涯发展支持的一部分。这可以包括远程工作、弹性工作时间等，以帮助员工更好地平衡工作与生活，提高其职业生涯的可持续性。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职业发展资源中心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建立一个职业发展资源中心，集中提供各类有关职业发展的信息和工具，有助于员工更便捷地获取所需的资源。这可以包括在线平台、内部文档、垃圾焚烧发电行业报告等。</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持续的绩效反馈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发展支持体系需要与绩效管理相结合，通过定期的绩效反馈为员工提供指导。这有助于员工了解自己的优势和改进点，从而更好地规划自己的职业生涯路径。</w:t>
      </w:r>
    </w:p>
    <w:p>
      <w:pPr>
        <w:pStyle w:val="Heading2"/>
        <w:ind w:firstLine="560" w:firstLineChars="200"/>
        <w:rPr>
          <w:rFonts w:ascii="仿宋" w:eastAsia="仿宋" w:hAnsi="仿宋" w:cs="仿宋" w:hint="eastAsia"/>
          <w:sz w:val="28"/>
          <w:lang w:eastAsia="zh-CN"/>
        </w:rPr>
      </w:pPr>
      <w:bookmarkStart w:id="13" w:name="_Toc16564"/>
      <w:r>
        <w:rPr>
          <w:rFonts w:ascii="仿宋" w:eastAsia="仿宋" w:hAnsi="仿宋" w:cs="仿宋" w:hint="eastAsia"/>
          <w:sz w:val="28"/>
          <w:lang w:eastAsia="zh-CN"/>
        </w:rPr>
        <w:t>(五)、公司文化与员工职业发展融合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价值观一致性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公司文化的核心价值观与员工的个人价值观一致。当员工认同并践行公司的核心价值时，他们更有可能在职业生涯中找到共鸣，并为公司取得成功贡献力量。因此，公司应强调价值观一致性，以促使员工在公司文化中融入。</w:t>
      </w:r>
    </w:p>
    <w:p>
      <w:pPr>
        <w:ind w:firstLine="560" w:firstLineChars="200"/>
        <w:rPr>
          <w:rFonts w:ascii="仿宋" w:eastAsia="仿宋" w:hAnsi="仿宋" w:cs="仿宋" w:hint="eastAsia"/>
          <w:sz w:val="28"/>
        </w:rPr>
      </w:pPr>
      <w:r>
        <w:rPr>
          <w:rFonts w:ascii="仿宋" w:eastAsia="仿宋" w:hAnsi="仿宋" w:cs="仿宋" w:hint="eastAsia"/>
          <w:sz w:val="28"/>
          <w:lang w:eastAsia="zh-CN"/>
        </w:rPr>
        <w:t>2. 发展机会与公司使命关联</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将员工的发展机会与公司的使命和愿景相关联。公司文化应强调个体的成长与公司目标的一致性，使员工在追求个人职业发展的同时，为公司的长期愿景贡献力量。这可以通过明确的发展路径、培训计划以及晋升机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文化体现在领导风格中</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公司文化应该在领导层的行为中得以体现。领导者是文化的塑造者和传播者，他们的行为应与公司文化相一致。通过领导者的示范作用，员工更容易理解和融入公司的价值观，从而更好地规划自己的职业生涯。</w:t>
      </w:r>
    </w:p>
    <w:p>
      <w:pPr>
        <w:ind w:firstLine="560" w:firstLineChars="200"/>
        <w:rPr>
          <w:rFonts w:ascii="仿宋" w:eastAsia="仿宋" w:hAnsi="仿宋" w:cs="仿宋" w:hint="eastAsia"/>
          <w:sz w:val="28"/>
        </w:rPr>
      </w:pPr>
      <w:r>
        <w:rPr>
          <w:rFonts w:ascii="仿宋" w:eastAsia="仿宋" w:hAnsi="仿宋" w:cs="仿宋" w:hint="eastAsia"/>
          <w:sz w:val="28"/>
          <w:lang w:eastAsia="zh-CN"/>
        </w:rPr>
        <w:t>4. 开放沟通与透明度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开放的沟通渠道和透明的企业文化。员工需要清晰地了解公司的战略方向、目标和文化价值观，以便他们能够将个人职业发展与公司的长远计划相对应。透明的信息传递有助于员工更好地理解公司文化，从而更好地与之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5. 奖励与认可机制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公司文化应该通过奖励和认可机制来鼓励员工的积极贡献。这不仅包括直接与工作业绩相关的奖励，还包括对符合公司文化的行为和态度的认可。通过这种方式，公司文化成为员工职业发展的动力源泉。</w:t>
      </w:r>
    </w:p>
    <w:p>
      <w:pPr>
        <w:ind w:firstLine="560" w:firstLineChars="200"/>
        <w:rPr>
          <w:rFonts w:ascii="仿宋" w:eastAsia="仿宋" w:hAnsi="仿宋" w:cs="仿宋" w:hint="eastAsia"/>
          <w:sz w:val="28"/>
        </w:rPr>
      </w:pPr>
      <w:r>
        <w:rPr>
          <w:rFonts w:ascii="仿宋" w:eastAsia="仿宋" w:hAnsi="仿宋" w:cs="仿宋" w:hint="eastAsia"/>
          <w:sz w:val="28"/>
          <w:lang w:eastAsia="zh-CN"/>
        </w:rPr>
        <w:t>6. 文化与创新的结合</w:t>
      </w:r>
    </w:p>
    <w:p>
      <w:pPr>
        <w:ind w:firstLine="560" w:firstLineChars="200"/>
        <w:rPr>
          <w:rFonts w:ascii="仿宋" w:eastAsia="仿宋" w:hAnsi="仿宋" w:cs="仿宋" w:hint="eastAsia"/>
          <w:sz w:val="28"/>
        </w:rPr>
      </w:pPr>
      <w:r>
        <w:rPr>
          <w:rFonts w:ascii="仿宋" w:eastAsia="仿宋" w:hAnsi="仿宋" w:cs="仿宋" w:hint="eastAsia"/>
          <w:sz w:val="28"/>
          <w:lang w:eastAsia="zh-CN"/>
        </w:rPr>
        <w:t>将公司文化与创新有机结合。培养一种文化，鼓励员工不断尝试新想法、追求卓越，并接受失败作为学习的机会。这种鼓励创新的文化有助于激发员工的创造力，推动他们在职业发展中实现更高水平的成就。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7. 员工参与文化塑造</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鼓励员工参与到文化的塑造中。公司文化应该是一个共同建构的过程，员工的参与感和归属感将进一步加强。这可以通过员工参与决策、文化活动和团队建设来实现。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8. 灵活性与多样性的融合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公司文化应该具有足够的灵活性，以容纳和融合多样性。不同背景和观点的员工都应该在公司文化中找到归属感，从而更好地发展自己的职业生涯。</w:t>
      </w:r>
    </w:p>
    <w:p>
      <w:pPr>
        <w:pStyle w:val="Heading2"/>
        <w:ind w:firstLine="560" w:firstLineChars="200"/>
        <w:rPr>
          <w:rFonts w:ascii="仿宋" w:eastAsia="仿宋" w:hAnsi="仿宋" w:cs="仿宋" w:hint="eastAsia"/>
          <w:sz w:val="28"/>
          <w:lang w:eastAsia="zh-CN"/>
        </w:rPr>
      </w:pPr>
      <w:bookmarkStart w:id="14" w:name="_Toc27366"/>
      <w:r>
        <w:rPr>
          <w:rFonts w:ascii="仿宋" w:eastAsia="仿宋" w:hAnsi="仿宋" w:cs="仿宋" w:hint="eastAsia"/>
          <w:sz w:val="28"/>
          <w:lang w:eastAsia="zh-CN"/>
        </w:rPr>
        <w:t>(六)、未来趋势与发展策略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未来职业生涯发展面临着不断演变的挑战和机遇。理解并应对这些趋势，制定相应的发展策略对于组织和员工都至关重要。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技术驱动的职业发展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技术将继续成为职业发展的关键驱动力。新兴技术如人工智能、大数据分析、区块链等将改变许多垃圾焚烧发电行业的工作方式。组织应鼓励员工获取与这些技术相关的新技能，通过培训和发展计划提升员工的数字素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远程工作与弹性工作制度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工作已经成为趋势，并有望在未来进一步发展。组织需要制定相应的政策和技术支持，以适应远程工作的需求。同时，弹性工作制度的实施可以更好地满足员工的工作与生活平衡需求，提高员工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多元化与包容性发展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未来的职场将更加多元化，员工来自不同文化、背景和年龄群体。组织需要创建一个包容性的工作环境，鼓励多元化的思想和团队合作。多元团队的优势将体现在创新和问题解决能力的提升上。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自主学习与发展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未来职业发展将更加强调自主学习和个人发展。员工需要具备不断学习的能力，以适应快速变化的工作环境。组织可以提供在线学习平台、导师制度等支持，激发员工的学习兴趣和动力。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绿色与可持续发展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可持续性将成为未来职业生涯规划的重要考量因素。员工对于公司的环保和社会责任感兴趣，组织应积极参与可持续发展，提供与环保相关的培训和发展机会，满足员工对于社会责任的追求。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技能培训与更新： 投资于员工的技能培训，确保他们具备未来工作所需的新技能。与垃圾焚烧发电行业专业机构建立合作关系，提供最新的垃圾焚烧发电行业培训。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灵活的工作制度： 制定灵活的工作制度，支持远程工作和弹性工作时间。倡导结果导向的工作文化，注重工作成果而非传统的办公时间。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3. 多元化和包容性： 制定多元化招聘策略，鼓励不同背景的员工加入。建立培训项目，提升员工对多元化工作环境的适应能力。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 个人发展计划： 激励员工制定个人发展计划，设立明确的职业目标，并提供发展路径和支持。鼓励员工参与自主学习，提供学习资源和平台。</w:t>
      </w:r>
    </w:p>
    <w:p>
      <w:pPr>
        <w:ind w:firstLine="560" w:firstLineChars="200"/>
        <w:rPr>
          <w:rFonts w:ascii="仿宋" w:eastAsia="仿宋" w:hAnsi="仿宋" w:cs="仿宋" w:hint="eastAsia"/>
          <w:sz w:val="28"/>
        </w:rPr>
      </w:pPr>
      <w:r>
        <w:rPr>
          <w:rFonts w:ascii="仿宋" w:eastAsia="仿宋" w:hAnsi="仿宋" w:cs="仿宋" w:hint="eastAsia"/>
          <w:sz w:val="28"/>
          <w:lang w:eastAsia="zh-CN"/>
        </w:rPr>
        <w:t>5. 可持续发展实践： 将可持续发展纳入公司价值观和战略中，并将其融入员工的职业发展计划。设立可持续发展目标，激励员工积极参与可持续性项目。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在这个不断变化的时代，有效的职业生涯发展策略需要紧跟潮流，促使组织和员工共同适应未来的挑战与机遇。</w:t>
      </w:r>
    </w:p>
    <w:p>
      <w:pPr>
        <w:pStyle w:val="Heading1"/>
        <w:ind w:firstLine="560" w:firstLineChars="200"/>
        <w:rPr>
          <w:rFonts w:ascii="仿宋" w:eastAsia="仿宋" w:hAnsi="仿宋" w:cs="仿宋" w:hint="eastAsia"/>
          <w:sz w:val="28"/>
          <w:lang w:eastAsia="zh-CN"/>
        </w:rPr>
      </w:pPr>
      <w:bookmarkStart w:id="15" w:name="_Toc9583"/>
      <w:r>
        <w:rPr>
          <w:rFonts w:ascii="仿宋" w:eastAsia="仿宋" w:hAnsi="仿宋" w:cs="仿宋" w:hint="eastAsia"/>
          <w:sz w:val="28"/>
          <w:lang w:eastAsia="zh-CN"/>
        </w:rPr>
        <w:t>四、第七章员工培训与发展</w:t>
      </w:r>
      <w:bookmarkEnd w:id="15"/>
    </w:p>
    <w:p>
      <w:pPr>
        <w:pStyle w:val="Heading2"/>
        <w:rPr>
          <w:rFonts w:ascii="仿宋" w:eastAsia="仿宋" w:hAnsi="仿宋" w:cs="仿宋" w:hint="eastAsia"/>
          <w:lang w:eastAsia="zh-CN"/>
        </w:rPr>
      </w:pPr>
      <w:bookmarkStart w:id="16" w:name="_Toc31779"/>
      <w:r>
        <w:rPr>
          <w:rFonts w:ascii="仿宋" w:eastAsia="仿宋" w:hAnsi="仿宋" w:cs="仿宋" w:hint="eastAsia"/>
          <w:lang w:eastAsia="zh-CN"/>
        </w:rPr>
        <w:t>(一)、培训需求分析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员工绩效评估： 通过对员工的绩效评估，可以清晰了解他们在当前职责和任务中的表现。这提供了一个基础线索，帮助确定员工在特定领域或技能上可能存在的不足之处。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工作岗位要求分析： 仔细分析各个岗位的工作要求，以确保员工具备完成工作所需的技能和知识。通过与不同岗位的相关人员交流，可以更准确地了解不同职位的技能需求，从而有针对性地进行培训。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3. 员工反馈机制： 设立员工反馈渠道，鼓励员工表达对个人发展和培训需求的看法。这种双向沟通有助于发现潜在问题和机会，使培训计划更具针对性和灵活性。</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4. 个性化和差异化原则： 在培训需求分析过程中，重视员工的个性差异。不同员工拥有不同的技能、经验和学习偏好，因此培训计划应该根据个体需求制定，以确保个性化的发展路径。</w:t>
      </w:r>
    </w:p>
    <w:p>
      <w:pPr>
        <w:ind w:firstLine="560" w:firstLineChars="200"/>
        <w:rPr>
          <w:rFonts w:ascii="仿宋" w:eastAsia="仿宋" w:hAnsi="仿宋" w:cs="仿宋" w:hint="eastAsia"/>
          <w:sz w:val="28"/>
        </w:rPr>
      </w:pPr>
      <w:r>
        <w:rPr>
          <w:rFonts w:ascii="仿宋" w:eastAsia="仿宋" w:hAnsi="仿宋" w:cs="仿宋" w:hint="eastAsia"/>
          <w:sz w:val="28"/>
          <w:lang w:eastAsia="zh-CN"/>
        </w:rPr>
        <w:t>5. 考虑未来发展方向： 不仅仅关注当前技能需求，还要考虑员工未来职业生涯的发展方向。通过了解员工个人的职业规划和目标，可以更好地规划长期的培训计划，使其与组织的战略方向保持一致。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6. 制定调查问卷和访谈： 制定系统的调查问卷和面对面访谈，收集员工对培训需求的直接反馈。这有助于深入了解员工对特定领域或技能的需求和期望。</w:t>
      </w:r>
    </w:p>
    <w:p>
      <w:pPr>
        <w:pStyle w:val="Heading2"/>
        <w:ind w:firstLine="560" w:firstLineChars="200"/>
        <w:rPr>
          <w:rFonts w:ascii="仿宋" w:eastAsia="仿宋" w:hAnsi="仿宋" w:cs="仿宋" w:hint="eastAsia"/>
          <w:sz w:val="28"/>
          <w:lang w:eastAsia="zh-CN"/>
        </w:rPr>
      </w:pPr>
      <w:bookmarkStart w:id="17" w:name="_Toc4111"/>
      <w:r>
        <w:rPr>
          <w:rFonts w:ascii="仿宋" w:eastAsia="仿宋" w:hAnsi="仿宋" w:cs="仿宋" w:hint="eastAsia"/>
          <w:sz w:val="28"/>
          <w:lang w:eastAsia="zh-CN"/>
        </w:rPr>
        <w:t>(二)、培训计划制定</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目标设定： 制定培训计划的首要任务是明确培训的具体目标。这些目标应与员工的个人发展计划和组织的战略目标相一致。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内容规划： 根据培训需求分析的结果，确定培训内容，包括技能培训、领导力发展、团队协作等方面。确保培训内容与员工的实际工作相关，具有实际应用性。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方法与工具： 制定灵活多样的培训方法，包括面对面培训、在线学习、导师制度等。结合现代科技，利用虚拟现实、模拟培训等先进工具，提高培训的效果。</w:t>
      </w:r>
    </w:p>
    <w:p>
      <w:pPr>
        <w:pStyle w:val="Heading2"/>
        <w:ind w:firstLine="560" w:firstLineChars="200"/>
        <w:rPr>
          <w:rFonts w:ascii="仿宋" w:eastAsia="仿宋" w:hAnsi="仿宋" w:cs="仿宋" w:hint="eastAsia"/>
          <w:sz w:val="28"/>
          <w:lang w:eastAsia="zh-CN"/>
        </w:rPr>
      </w:pPr>
      <w:bookmarkStart w:id="18" w:name="_Toc19304"/>
      <w:r>
        <w:rPr>
          <w:rFonts w:ascii="仿宋" w:eastAsia="仿宋" w:hAnsi="仿宋" w:cs="仿宋" w:hint="eastAsia"/>
          <w:sz w:val="28"/>
          <w:lang w:eastAsia="zh-CN"/>
        </w:rPr>
        <w:t>(三)、培训实施与评估</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培训实施：</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1. 灵活的教学方法： 采用多样化的教学方法，包括面对面培训、在线学习、实际操作等，以适应不同学习风格和需求。确保培训内容生动有趣，激发学员的学习兴趣。</w:t>
      </w:r>
    </w:p>
    <w:p>
      <w:pPr>
        <w:ind w:firstLine="560" w:firstLineChars="200"/>
        <w:rPr>
          <w:rFonts w:ascii="仿宋" w:eastAsia="仿宋" w:hAnsi="仿宋" w:cs="仿宋" w:hint="eastAsia"/>
          <w:sz w:val="28"/>
        </w:rPr>
      </w:pPr>
      <w:r>
        <w:rPr>
          <w:rFonts w:ascii="仿宋" w:eastAsia="仿宋" w:hAnsi="仿宋" w:cs="仿宋" w:hint="eastAsia"/>
          <w:sz w:val="28"/>
          <w:lang w:eastAsia="zh-CN"/>
        </w:rPr>
        <w:t>2. 专业培训师资： 选择具备专业知识和教学经验的培训师，能够与学员互动，解答疑问，提供实用的案例和经验分享，提高培训的实效性。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实践机会： 在培训中提供实践机会，例如模拟项目、案例分析等，帮助学员将理论知识应用到实际工作中，加深理解并提高技能水平。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定期反馈与互动： 建立学员与培训师之间的积极反馈机制，鼓励学员提出问题，分享观点，保持培训过程中的积极互动。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5. 跟踪学员进展： 在培训过程中进行学员进展的跟踪，及时发现并解决学习障碍，确保学员能够达到培训设定的学习目标。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学员反馈： 收集学员的培训反馈，包括对培训内容、教学方法和培训师的评价。这有助于了解学员的满意度，发现改进建议，并及时调整培训方案。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知识测试： 进行培训后的知识测试，验证学员对培训内容的掌握程度。测试结果可以作为培训效果的一个客观指标，同时也为学员提供了自我评估的机会。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应用能力评估： 评估学员在工作中应用培训所学知识和技能的能力。这可以通过实际工作表现、项目成果等来检验学员的学习成果是否能够有效地转化为实际工作中的应用。</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培训成本效益分析：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对培训成本和效益进行综合分析，评估培训对组织绩效的贡献。这有助于确定培训投资的合理性，并为未来的培训计划提供经验教训。</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 根据培训评估的结果，及时调整和改进培训计划，以确保培训活动的持续优化。定期回顾和更新培训内容，使其与业务需求和员工发展需求保持一致。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通过实施上述建议，组织可以更全面地评估培训的有效性，确保培训计划达到预期目标，提高员工的综合素质和组织的竞争力。</w:t>
      </w:r>
    </w:p>
    <w:p>
      <w:pPr>
        <w:pStyle w:val="Heading2"/>
        <w:ind w:firstLine="560" w:firstLineChars="200"/>
        <w:rPr>
          <w:rFonts w:ascii="仿宋" w:eastAsia="仿宋" w:hAnsi="仿宋" w:cs="仿宋" w:hint="eastAsia"/>
          <w:sz w:val="28"/>
          <w:lang w:eastAsia="zh-CN"/>
        </w:rPr>
      </w:pPr>
      <w:bookmarkStart w:id="19" w:name="_Toc13938"/>
      <w:r>
        <w:rPr>
          <w:rFonts w:ascii="仿宋" w:eastAsia="仿宋" w:hAnsi="仿宋" w:cs="仿宋" w:hint="eastAsia"/>
          <w:sz w:val="28"/>
          <w:lang w:eastAsia="zh-CN"/>
        </w:rPr>
        <w:t>(四)、持续学习与专业发展支持</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个性化学习计划： 为员工制定个性化的学习计划，根据其职业发展目标和现有技能水平，为其提供量身定制的培训和学习资源。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在线学习平台： 提供灵活的在线学习平台，使员工可以随时随地获取各类学习资源。这包括垃圾焚烧发电行业报告、网络课程、研讨会等，帮助员工自主学习和获取最新的专业知识。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3. 导师制度： 建立导师制度，由经验丰富的员工担任导师，与新员工或需要发展的员工分享经验和知识。这种导师制度可以促进知识传承和团队合作。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4. 专业认证支持： 鼓励并支持员工获取相关的专业认证，例如垃圾焚烧发电行业认可的证书或资格。组织可以提供学习资源、报名费用支持等，以激发员工的学习积极性。</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5. 定期培训活动： 定期组织专业培训活动，邀请垃圾焚烧发电行业专家或内外部讲师进行知识分享和培训。这有助于员工深入了解垃圾焚烧发电行业趋势，拓展视野，提高综合素质。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6. 职业发展辅导： 提供职业发展辅导服务，帮助员工规划职业生涯，识别职业发展的机会和挑战。辅导可以涵盖个人目标、职业规划、技能提升等方面。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7. 学术支持： 对于涉及到深度学科的领域，组织可以提供学术支持，例如支持员工参与学术研究项目、提供学术资源等，以促进员工在专业领域的深入发展。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8. 知识管理平台： 建立知识管理平台，鼓励员工分享经验、垃圾焚烧发电行业见解和学习心得。这有助于构建学习型组织，促使知识在团队内部流动和共享。</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通过提供多样化的学习资源、建立导师制度、支持专业认证等手段，组织可以为员工的持续学习和专业发展提供有力支持，确保员工保持竞争力，并为组织的长远发展提供坚实的人才基础。</w:t>
      </w:r>
    </w:p>
    <w:p>
      <w:pPr>
        <w:pStyle w:val="Heading1"/>
        <w:ind w:firstLine="560" w:firstLineChars="200"/>
        <w:rPr>
          <w:rFonts w:ascii="仿宋" w:eastAsia="仿宋" w:hAnsi="仿宋" w:cs="仿宋" w:hint="eastAsia"/>
          <w:sz w:val="28"/>
          <w:lang w:eastAsia="zh-CN"/>
        </w:rPr>
      </w:pPr>
      <w:bookmarkStart w:id="20" w:name="_Toc22210"/>
      <w:r>
        <w:rPr>
          <w:rFonts w:ascii="仿宋" w:eastAsia="仿宋" w:hAnsi="仿宋" w:cs="仿宋" w:hint="eastAsia"/>
          <w:sz w:val="28"/>
          <w:lang w:eastAsia="zh-CN"/>
        </w:rPr>
        <w:t>五、薪酬制度管理</w:t>
      </w:r>
      <w:bookmarkEnd w:id="20"/>
    </w:p>
    <w:p>
      <w:pPr>
        <w:pStyle w:val="Heading2"/>
        <w:rPr>
          <w:rFonts w:ascii="仿宋" w:eastAsia="仿宋" w:hAnsi="仿宋" w:cs="仿宋" w:hint="eastAsia"/>
          <w:lang w:eastAsia="zh-CN"/>
        </w:rPr>
      </w:pPr>
      <w:bookmarkStart w:id="21" w:name="_Toc26492"/>
      <w:r>
        <w:rPr>
          <w:rFonts w:ascii="仿宋" w:eastAsia="仿宋" w:hAnsi="仿宋" w:cs="仿宋" w:hint="eastAsia"/>
          <w:lang w:eastAsia="zh-CN"/>
        </w:rPr>
        <w:t>(一)、薪酬管理制度</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薪酬管理制度是企业规章制度的一部分，属于组织劳动过程和进行劳动管理的规则和制度的总和。它在企业内部扮演着类似“法律”的角色，为员工和雇主提供了关于薪酬体系的设计理念、方法、水平、支付方式等方面的规定性说明。薪酬管理制度的核心是将薪酬体系制度化，确保员工和雇主对薪酬安排的满意度。</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具体而言，薪酬制度在企业中体现为对薪酬管理运行目标、任务和手段的选择。这包括了企业对员工薪酬所采取的竞争策略、公平原则、薪酬成本与预算控制方式等内容。综合而言，薪酬制度是一个广泛的概念，它牵涉到企业的薪酬战略、薪酬体系、薪酬结构、薪酬政策、薪酬水平以及薪酬管理等多个方面的内容。通过制度化的薪酬管理，企业能够更好地达成对员工激励、公平公正和成本控制等方面的管理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 薪酬政策和目标：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承着坚持公平、竞争力和绩效导向的核心原则，确立了明晰的薪酬政策和目标，以引领员工向更高目标迈进。在制定薪酬政策时，公司注重将薪酬定位与市场对人才的需求相匹配，以确保薪酬水平具有竞争力。同时，薪酬发放标准坚持绩效导向，以员工的工作成果为核心评价标准，以激发员工的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定薪酬的核心原则方面，公司坚持公平原则，确保同等工作量和贡献的员工能够获得相应的薪酬。竞争力原则则体现在公司提供具有竞争力的薪酬水平，以吸引、留住和激励高素质的人才。同时，绩效导向原则体现在公司奖励那些在工作中取得优异成绩的员工，以激发全员积极性，推动整体绩效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2. 薪酬结构设计：</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制定差异化的薪酬结构，包括基本工资、绩效奖金、福利和其他激励机制，以全方位满足员工的多层次需求。在基本工资方面，公司根据员工的职务层级和业务部门的特点，制定了合理的基准薪资，确保与市场水平保持一致。绩效奖金则是根据员工的实际绩效表现进行差异化分配，激励员工追求卓越。</w:t>
      </w:r>
    </w:p>
    <w:p>
      <w:pPr>
        <w:ind w:firstLine="560" w:firstLineChars="200"/>
        <w:rPr>
          <w:rFonts w:ascii="仿宋" w:eastAsia="仿宋" w:hAnsi="仿宋" w:cs="仿宋" w:hint="eastAsia"/>
          <w:sz w:val="28"/>
        </w:rPr>
      </w:pPr>
      <w:r>
        <w:rPr>
          <w:rFonts w:ascii="仿宋" w:eastAsia="仿宋" w:hAnsi="仿宋" w:cs="仿宋" w:hint="eastAsia"/>
          <w:sz w:val="28"/>
          <w:lang w:eastAsia="zh-CN"/>
        </w:rPr>
        <w:t>差异化的薪酬结构不仅仅体现在金钱激励上，公司还注重提供全面福利和其他激励机制。这包括社会保险、商业保险、节假日福利等全面福利体系，以及津贴和补贴政策的合理设计，以满足员工在工作和生活中的多元需求。这一差异化的设计旨在更好地调动员工的工作积极性，促进员工的全方位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岗位薪酬测算：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薪酬水平的合理性，公司制定了详细的岗位薪酬测算方案。首先，公司对各个岗位进行了仔细的分类，考虑了市场薪酬水平、垃圾焚烧发电行业标准等多方面因素，确定了各岗位的基准薪资。在薪酬测算方法上，公司充分考虑了员工的工作经验、学历、技能等因素，以科学的方法为员工提供具有竞争力的薪酬待遇。</w:t>
      </w:r>
    </w:p>
    <w:p>
      <w:pPr>
        <w:ind w:firstLine="560" w:firstLineChars="200"/>
        <w:rPr>
          <w:rFonts w:ascii="仿宋" w:eastAsia="仿宋" w:hAnsi="仿宋" w:cs="仿宋" w:hint="eastAsia"/>
          <w:sz w:val="28"/>
        </w:rPr>
      </w:pPr>
      <w:r>
        <w:rPr>
          <w:rFonts w:ascii="仿宋" w:eastAsia="仿宋" w:hAnsi="仿宋" w:cs="仿宋" w:hint="eastAsia"/>
          <w:sz w:val="28"/>
          <w:lang w:eastAsia="zh-CN"/>
        </w:rPr>
        <w:t>4. 绩效考核与奖金制度：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设立了明确的绩效考核标准和流程，与公司战略目标相一致。这包括个人、团队和部门的绩效考核，确保每个员工的工作贡献都能被充分评估。公司制定了奖金分配机制，将绩效与薪酬挂钩，对于表现优异的员工给予更为丰厚的奖励，以激发员工的工作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福利和补贴：</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8" w:history="1">
        <w:r>
          <w:rPr>
            <w:rFonts w:ascii="SimSun" w:eastAsia="SimSun" w:hAnsi="SimSun" w:cs="SimSun"/>
            <w:b/>
            <w:bCs/>
            <w:color w:val="0000EE"/>
            <w:kern w:val="0"/>
            <w:sz w:val="30"/>
            <w:szCs w:val="30"/>
            <w:u w:val="single" w:color="0000EE"/>
          </w:rPr>
          <w:t>https://d.book118.com/148141036037006026</w:t>
        </w:r>
      </w:hyperlink>
    </w:p>
    <w:p>
      <w:pPr>
        <w:ind w:firstLine="560" w:firstLineChars="200"/>
        <w:rPr>
          <w:rFonts w:ascii="仿宋" w:eastAsia="仿宋" w:hAnsi="仿宋" w:cs="仿宋" w:hint="eastAsia"/>
          <w:sz w:val="28"/>
        </w:rPr>
      </w:pPr>
    </w:p>
    <w:sectPr>
      <w:headerReference w:type="default" r:id="rId49"/>
      <w:footerReference w:type="default" r:id="rId50"/>
      <w:type w:val="nextPage"/>
      <w:pgSz w:w="11906" w:h="16838"/>
      <w:pgMar w:top="1440" w:right="1800" w:bottom="1440" w:left="1800" w:header="851" w:footer="992" w:gutter="0"/>
      <w:pgNumType w:start="23"/>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垃圾焚烧发电相关公司员工职业道路规划与管理</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垃圾焚烧发电相关公司员工职业道路规划与管理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垃圾焚烧发电相关公司员工职业道路规划与管理</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垃圾焚烧发电相关公司员工职业道路规划与管理</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垃圾焚烧发电相关公司员工职业道路规划与管理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垃圾焚烧发电相关公司员工职业道路规划与管理</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垃圾焚烧发电相关公司员工职业道路规划与管理</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垃圾焚烧发电相关公司员工职业道路规划与管理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垃圾焚烧发电相关公司员工职业道路规划与管理</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垃圾焚烧发电相关公司员工职业道路规划与管理</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垃圾焚烧发电相关公司员工职业道路规划与管理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垃圾焚烧发电相关公司员工职业道路规划与管理</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垃圾焚烧发电相关公司员工职业道路规划与管理</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垃圾焚烧发电相关公司员工职业道路规划与管理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垃圾焚烧发电相关公司员工职业道路规划与管理</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垃圾焚烧发电相关公司员工职业道路规划与管理</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垃圾焚烧发电相关公司员工职业道路规划与管理</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垃圾焚烧发电相关公司员工职业道路规划与管理</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垃圾焚烧发电相关公司员工职业道路规划与管理</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垃圾焚烧发电相关公司员工职业道路规划与管理</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垃圾焚烧发电相关公司员工职业道路规划与管理</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垃圾焚烧发电相关公司员工职业道路规划与管理</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垃圾焚烧发电相关公司员工职业道路规划与管理</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7611E9"/>
    <w:rsid w:val="287611E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yperlink" Target="https://d.book118.com/148141036037006026" TargetMode="External" /><Relationship Id="rId49" Type="http://schemas.openxmlformats.org/officeDocument/2006/relationships/header" Target="header23.xml" /><Relationship Id="rId5" Type="http://schemas.openxmlformats.org/officeDocument/2006/relationships/footer" Target="footer1.xml" /><Relationship Id="rId50" Type="http://schemas.openxmlformats.org/officeDocument/2006/relationships/footer" Target="footer23.xml" /><Relationship Id="rId51" Type="http://schemas.openxmlformats.org/officeDocument/2006/relationships/theme" Target="theme/theme1.xml" /><Relationship Id="rId52"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2023-12-18T23:46:00Z</dcterms:created>
  <dcterms:modified xsi:type="dcterms:W3CDTF">2023-12-18T23:47:00Z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B09150125A3942459422761C982D542D_11</vt:lpwstr>
  </property>
  <property fmtid="{D5CDD505-2E9C-101B-9397-08002B2CF9AE}" pid="3" name="KSOProductBuildVer">
    <vt:lpwstr>2052-12.1.0.16120</vt:lpwstr>
  </property>
</Properties>
</file>