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172" w:line="223" w:lineRule="auto"/>
        <w:ind w:left="9099"/>
        <w:rPr>
          <w:sz w:val="31"/>
          <w:szCs w:val="3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553212</wp:posOffset>
            </wp:positionH>
            <wp:positionV relativeFrom="page">
              <wp:posOffset>647700</wp:posOffset>
            </wp:positionV>
            <wp:extent cx="1784604" cy="48768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84604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  <w:szCs w:val="31"/>
          <w14:textOutline w14:w="5793" w14:cap="sq">
            <w14:solidFill>
              <w14:srgbClr w14:val="000000"/>
            </w14:solidFill>
            <w14:prstDash w14:val="solid"/>
            <w14:bevel/>
          </w14:textOutline>
        </w:rPr>
        <w:t>电力设备</w:t>
      </w:r>
    </w:p>
    <w:p>
      <w:pPr>
        <w:pStyle w:val="BodyText"/>
        <w:spacing w:before="25" w:line="226" w:lineRule="auto"/>
        <w:ind w:left="8314"/>
        <w:rPr>
          <w:sz w:val="24"/>
          <w:szCs w:val="24"/>
        </w:rPr>
      </w:pPr>
      <w:r>
        <w:rPr>
          <w:spacing w:val="-2"/>
          <w:sz w:val="24"/>
          <w:szCs w:val="24"/>
        </w:rPr>
        <w:t>行业研究</w:t>
      </w:r>
      <w:r>
        <w:rPr>
          <w:rFonts w:ascii="SimSun" w:eastAsia="SimSun" w:hAnsi="SimSun" w:cs="SimSun"/>
          <w:spacing w:val="-2"/>
          <w:sz w:val="24"/>
          <w:szCs w:val="24"/>
        </w:rPr>
        <w:t>/</w:t>
      </w:r>
      <w:r>
        <w:rPr>
          <w:spacing w:val="-2"/>
          <w:sz w:val="24"/>
          <w:szCs w:val="24"/>
        </w:rPr>
        <w:t>行业周报</w:t>
      </w:r>
    </w:p>
    <w:p>
      <w:pPr>
        <w:spacing w:line="28" w:lineRule="exact"/>
      </w:pPr>
      <w:r>
        <w:pict>
          <v:shape id="_x0000_i1025" style="width:510.35pt;height:1.45pt;mso-position-horizontal-relative:char;mso-position-vertical-relative:line" coordorigin="0,0" coordsize="10207,29" path="m,14l10206,14e" filled="f" strokecolor="#b0bfd6" strokeweight="1.44pt">
            <v:stroke joinstyle="bevel"/>
            <w10:wrap type="none"/>
          </v:shape>
        </w:pict>
      </w:r>
    </w:p>
    <w:p>
      <w:pPr>
        <w:pStyle w:val="BodyText"/>
        <w:spacing w:before="87" w:line="215" w:lineRule="auto"/>
        <w:ind w:left="320"/>
        <w:outlineLvl w:val="0"/>
        <w:rPr>
          <w:sz w:val="43"/>
          <w:szCs w:val="43"/>
        </w:rPr>
      </w:pPr>
      <w:r>
        <w:rPr>
          <w:color w:val="002060"/>
          <w:spacing w:val="4"/>
          <w:sz w:val="43"/>
          <w:szCs w:val="43"/>
        </w:rPr>
        <w:t>国内储能有望高增，关注</w:t>
      </w:r>
      <w:r>
        <w:rPr>
          <w:color w:val="002060"/>
          <w:spacing w:val="-76"/>
          <w:sz w:val="43"/>
          <w:szCs w:val="43"/>
        </w:rPr>
        <w:t xml:space="preserve"> </w:t>
      </w:r>
      <w:r>
        <w:rPr>
          <w:color w:val="002060"/>
          <w:sz w:val="43"/>
          <w:szCs w:val="43"/>
        </w:rPr>
        <w:t>GTC</w:t>
      </w:r>
      <w:r>
        <w:rPr>
          <w:color w:val="002060"/>
          <w:spacing w:val="-60"/>
          <w:sz w:val="43"/>
          <w:szCs w:val="43"/>
        </w:rPr>
        <w:t xml:space="preserve"> </w:t>
      </w:r>
      <w:r>
        <w:rPr>
          <w:color w:val="002060"/>
          <w:spacing w:val="4"/>
          <w:sz w:val="43"/>
          <w:szCs w:val="43"/>
        </w:rPr>
        <w:t>大会人形机器人进展</w:t>
      </w:r>
    </w:p>
    <w:p>
      <w:pPr>
        <w:spacing w:line="130" w:lineRule="exact"/>
      </w:pPr>
    </w:p>
    <w:p>
      <w:pPr>
        <w:spacing w:line="130" w:lineRule="exact"/>
        <w:sectPr>
          <w:footerReference w:type="default" r:id="rId5"/>
          <w:pgSz w:w="11906" w:h="16839"/>
          <w:pgMar w:top="1020" w:right="752" w:bottom="1216" w:left="742" w:header="0" w:footer="816" w:gutter="0"/>
          <w:cols w:num="1" w:space="708" w:equalWidth="0">
            <w:col w:w="10410" w:space="0"/>
          </w:cols>
        </w:sectPr>
      </w:pPr>
    </w:p>
    <w:tbl>
      <w:tblPr>
        <w:tblStyle w:val="TableNormal"/>
        <w:tblW w:w="3262" w:type="dxa"/>
        <w:tblInd w:w="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83"/>
        <w:gridCol w:w="2379"/>
      </w:tblGrid>
      <w:tr>
        <w:tblPrEx>
          <w:tblW w:w="3262" w:type="dxa"/>
          <w:tblInd w:w="1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748"/>
        </w:trPr>
        <w:tc>
          <w:tcPr>
            <w:tcW w:w="3262" w:type="dxa"/>
            <w:gridSpan w:val="2"/>
            <w:tcBorders>
              <w:top w:val="single" w:sz="8" w:space="0" w:color="4F81BD"/>
            </w:tcBorders>
            <w:vAlign w:val="top"/>
          </w:tcPr>
          <w:p>
            <w:pPr>
              <w:spacing w:before="71" w:line="215" w:lineRule="auto"/>
              <w:ind w:left="652"/>
              <w:rPr>
                <w:rFonts w:ascii="KaiTi" w:eastAsia="KaiTi" w:hAnsi="KaiTi" w:cs="KaiTi"/>
                <w:sz w:val="28"/>
                <w:szCs w:val="28"/>
              </w:rPr>
            </w:pPr>
            <w:r>
              <w:drawing>
                <wp:anchor distT="0" distB="0" distL="0" distR="0" simplePos="0" relativeHeight="251659264" behindDoc="1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-72</wp:posOffset>
                  </wp:positionV>
                  <wp:extent cx="2071370" cy="476884"/>
                  <wp:effectExtent l="0" t="0" r="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xmlns:r="http://schemas.openxmlformats.org/officeDocument/2006/relationships"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71370" cy="4768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KaiTi" w:eastAsia="KaiTi" w:hAnsi="KaiTi" w:cs="KaiTi"/>
                <w:color w:val="FFFFFF"/>
                <w:sz w:val="28"/>
                <w:szCs w:val="28"/>
                <w14:textOutline w14:w="5103" w14:cap="sq">
                  <w14:solidFill>
                    <w14:srgbClr w14:val="FFFFFF"/>
                  </w14:solidFill>
                  <w14:prstDash w14:val="solid"/>
                  <w14:bevel/>
                </w14:textOutline>
              </w:rPr>
              <w:t>行业评级：增持</w:t>
            </w:r>
          </w:p>
          <w:p>
            <w:pPr>
              <w:spacing w:before="106" w:line="224" w:lineRule="auto"/>
              <w:ind w:left="109"/>
              <w:rPr>
                <w:rFonts w:ascii="SimSun" w:eastAsia="SimSun" w:hAnsi="SimSun" w:cs="SimSun"/>
                <w:sz w:val="19"/>
                <w:szCs w:val="19"/>
              </w:rPr>
            </w:pPr>
            <w:r>
              <w:rPr>
                <w:rFonts w:ascii="KaiTi" w:eastAsia="KaiTi" w:hAnsi="KaiTi" w:cs="KaiTi"/>
                <w:color w:val="FFFFFF"/>
                <w:spacing w:val="4"/>
                <w:sz w:val="19"/>
                <w:szCs w:val="19"/>
              </w:rPr>
              <w:t>报告日期：</w:t>
            </w:r>
            <w:r>
              <w:rPr>
                <w:rFonts w:ascii="KaiTi" w:eastAsia="KaiTi" w:hAnsi="KaiTi" w:cs="KaiTi"/>
                <w:color w:val="FFFFFF"/>
                <w:spacing w:val="14"/>
                <w:sz w:val="19"/>
                <w:szCs w:val="19"/>
              </w:rPr>
              <w:t xml:space="preserve">    </w:t>
            </w:r>
            <w:r>
              <w:rPr>
                <w:rFonts w:ascii="SimSun" w:eastAsia="SimSun" w:hAnsi="SimSun" w:cs="SimSun"/>
                <w:color w:val="FFFFFF"/>
                <w:spacing w:val="4"/>
                <w:sz w:val="19"/>
                <w:szCs w:val="19"/>
              </w:rPr>
              <w:t>2024-2-25</w:t>
            </w:r>
          </w:p>
        </w:tc>
      </w:tr>
      <w:tr>
        <w:tblPrEx>
          <w:tblW w:w="3262" w:type="dxa"/>
          <w:tblInd w:w="17" w:type="dxa"/>
          <w:tblLayout w:type="fixed"/>
        </w:tblPrEx>
        <w:trPr>
          <w:trHeight w:val="534"/>
        </w:trPr>
        <w:tc>
          <w:tcPr>
            <w:tcW w:w="3262" w:type="dxa"/>
            <w:gridSpan w:val="2"/>
            <w:tcBorders>
              <w:bottom w:val="single" w:sz="10" w:space="0" w:color="B0BFD6"/>
            </w:tcBorders>
            <w:vAlign w:val="top"/>
          </w:tcPr>
          <w:p>
            <w:pPr>
              <w:spacing w:before="258" w:line="204" w:lineRule="auto"/>
              <w:ind w:left="5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color w:val="4F81BD"/>
                <w:spacing w:val="-2"/>
                <w:sz w:val="24"/>
                <w:szCs w:val="24"/>
                <w14:textOutline w14:w="4358" w14:cap="sq">
                  <w14:solidFill>
                    <w14:srgbClr w14:val="4F81BD"/>
                  </w14:solidFill>
                  <w14:prstDash w14:val="solid"/>
                  <w14:bevel/>
                </w14:textOutline>
              </w:rPr>
              <w:t>行业指数与沪深</w:t>
            </w:r>
            <w:r>
              <w:rPr>
                <w:rFonts w:ascii="KaiTi" w:eastAsia="KaiTi" w:hAnsi="KaiTi" w:cs="KaiTi"/>
                <w:color w:val="4F81BD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SimSun" w:eastAsia="SimSun" w:hAnsi="SimSun" w:cs="SimSun"/>
                <w:color w:val="4F81BD"/>
                <w:spacing w:val="-2"/>
                <w:sz w:val="24"/>
                <w:szCs w:val="24"/>
                <w14:textOutline w14:w="4358" w14:cap="sq">
                  <w14:solidFill>
                    <w14:srgbClr w14:val="4F81BD"/>
                  </w14:solidFill>
                  <w14:prstDash w14:val="solid"/>
                  <w14:bevel/>
                </w14:textOutline>
              </w:rPr>
              <w:t>300</w:t>
            </w:r>
            <w:r>
              <w:rPr>
                <w:rFonts w:ascii="SimSun" w:eastAsia="SimSun" w:hAnsi="SimSun" w:cs="SimSun"/>
                <w:color w:val="4F81BD"/>
                <w:spacing w:val="-55"/>
                <w:sz w:val="24"/>
                <w:szCs w:val="24"/>
              </w:rPr>
              <w:t xml:space="preserve"> </w:t>
            </w:r>
            <w:r>
              <w:rPr>
                <w:rFonts w:ascii="KaiTi" w:eastAsia="KaiTi" w:hAnsi="KaiTi" w:cs="KaiTi"/>
                <w:color w:val="4F81BD"/>
                <w:spacing w:val="-2"/>
                <w:sz w:val="24"/>
                <w:szCs w:val="24"/>
                <w14:textOutline w14:w="4358" w14:cap="sq">
                  <w14:solidFill>
                    <w14:srgbClr w14:val="4F81BD"/>
                  </w14:solidFill>
                  <w14:prstDash w14:val="solid"/>
                  <w14:bevel/>
                </w14:textOutline>
              </w:rPr>
              <w:t>走势比较</w:t>
            </w:r>
          </w:p>
        </w:tc>
      </w:tr>
      <w:tr>
        <w:tblPrEx>
          <w:tblW w:w="3262" w:type="dxa"/>
          <w:tblInd w:w="17" w:type="dxa"/>
          <w:tblLayout w:type="fixed"/>
        </w:tblPrEx>
        <w:trPr>
          <w:trHeight w:val="2140"/>
        </w:trPr>
        <w:tc>
          <w:tcPr>
            <w:tcW w:w="3262" w:type="dxa"/>
            <w:gridSpan w:val="2"/>
            <w:tcBorders>
              <w:top w:val="single" w:sz="10" w:space="0" w:color="B0BFD6"/>
            </w:tcBorders>
            <w:vAlign w:val="top"/>
          </w:tcPr>
          <w:p>
            <w:pPr>
              <w:spacing w:before="21" w:line="2108" w:lineRule="exact"/>
              <w:ind w:firstLine="41"/>
            </w:pPr>
            <w:r>
              <w:rPr>
                <w:position w:val="-42"/>
              </w:rPr>
              <w:drawing>
                <wp:inline distT="0" distB="0" distL="0" distR="0">
                  <wp:extent cx="2018029" cy="1338581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8029" cy="13385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3262" w:type="dxa"/>
          <w:tblInd w:w="17" w:type="dxa"/>
          <w:tblLayout w:type="fixed"/>
        </w:tblPrEx>
        <w:trPr>
          <w:trHeight w:val="785"/>
        </w:trPr>
        <w:tc>
          <w:tcPr>
            <w:tcW w:w="883" w:type="dxa"/>
            <w:tcBorders>
              <w:bottom w:val="single" w:sz="10" w:space="0" w:color="B0BFD6"/>
            </w:tcBorders>
            <w:vAlign w:val="top"/>
          </w:tcPr>
          <w:p>
            <w:pPr>
              <w:pStyle w:val="TableText"/>
              <w:spacing w:line="431" w:lineRule="auto"/>
              <w:rPr>
                <w:sz w:val="21"/>
              </w:rPr>
            </w:pPr>
          </w:p>
          <w:p>
            <w:pPr>
              <w:spacing w:before="78" w:line="202" w:lineRule="auto"/>
              <w:jc w:val="right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color w:val="4F81BD"/>
                <w:spacing w:val="-22"/>
                <w:sz w:val="24"/>
                <w:szCs w:val="24"/>
                <w14:textOutline w14:w="4358" w14:cap="sq">
                  <w14:solidFill>
                    <w14:srgbClr w14:val="4F81BD"/>
                  </w14:solidFill>
                  <w14:prstDash w14:val="solid"/>
                  <w14:bevel/>
                </w14:textOutline>
              </w:rPr>
              <w:t>分析师：</w:t>
            </w:r>
          </w:p>
        </w:tc>
        <w:tc>
          <w:tcPr>
            <w:tcW w:w="2379" w:type="dxa"/>
            <w:tcBorders>
              <w:bottom w:val="single" w:sz="10" w:space="0" w:color="B0BFD6"/>
            </w:tcBorders>
            <w:vAlign w:val="top"/>
          </w:tcPr>
          <w:p>
            <w:pPr>
              <w:pStyle w:val="TableText"/>
              <w:spacing w:line="431" w:lineRule="auto"/>
              <w:rPr>
                <w:sz w:val="21"/>
              </w:rPr>
            </w:pPr>
          </w:p>
          <w:p>
            <w:pPr>
              <w:spacing w:before="78" w:line="202" w:lineRule="auto"/>
              <w:ind w:left="104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color w:val="4F81BD"/>
                <w:spacing w:val="-8"/>
                <w:sz w:val="24"/>
                <w:szCs w:val="24"/>
                <w14:textOutline w14:w="4358" w14:cap="sq">
                  <w14:solidFill>
                    <w14:srgbClr w14:val="4F81BD"/>
                  </w14:solidFill>
                  <w14:prstDash w14:val="solid"/>
                  <w14:bevel/>
                </w14:textOutline>
              </w:rPr>
              <w:t>张志邦</w:t>
            </w:r>
          </w:p>
        </w:tc>
      </w:tr>
      <w:tr>
        <w:tblPrEx>
          <w:tblW w:w="3262" w:type="dxa"/>
          <w:tblInd w:w="17" w:type="dxa"/>
          <w:tblLayout w:type="fixed"/>
        </w:tblPrEx>
        <w:trPr>
          <w:trHeight w:val="832"/>
        </w:trPr>
        <w:tc>
          <w:tcPr>
            <w:tcW w:w="3262" w:type="dxa"/>
            <w:gridSpan w:val="2"/>
            <w:tcBorders>
              <w:top w:val="single" w:sz="10" w:space="0" w:color="B0BFD6"/>
              <w:bottom w:val="single" w:sz="10" w:space="0" w:color="B0BFD6"/>
            </w:tcBorders>
            <w:vAlign w:val="top"/>
          </w:tcPr>
          <w:p>
            <w:pPr>
              <w:pStyle w:val="TableText"/>
              <w:spacing w:before="37" w:line="216" w:lineRule="auto"/>
              <w:ind w:left="3"/>
            </w:pPr>
            <w:r>
              <w:rPr>
                <w:rFonts w:ascii="KaiTi" w:eastAsia="KaiTi" w:hAnsi="KaiTi" w:cs="KaiTi"/>
                <w:spacing w:val="6"/>
              </w:rPr>
              <w:t>执业证书号：</w:t>
            </w:r>
            <w:r>
              <w:rPr>
                <w:spacing w:val="6"/>
              </w:rPr>
              <w:t>S0010523120004</w:t>
            </w:r>
          </w:p>
          <w:p>
            <w:pPr>
              <w:pStyle w:val="TableText"/>
              <w:spacing w:line="271" w:lineRule="exact"/>
              <w:ind w:left="13"/>
            </w:pPr>
            <w:r>
              <w:rPr>
                <w:rFonts w:ascii="KaiTi" w:eastAsia="KaiTi" w:hAnsi="KaiTi" w:cs="KaiTi"/>
                <w:spacing w:val="26"/>
                <w:position w:val="3"/>
              </w:rPr>
              <w:t>邮箱：</w:t>
            </w:r>
            <w:r>
              <w:rPr>
                <w:position w:val="3"/>
              </w:rPr>
              <w:t>zhangzhibang</w:t>
            </w:r>
            <w:r>
              <w:rPr>
                <w:spacing w:val="26"/>
                <w:position w:val="3"/>
              </w:rPr>
              <w:t>@</w:t>
            </w:r>
            <w:r>
              <w:rPr>
                <w:position w:val="3"/>
              </w:rPr>
              <w:t>hazq</w:t>
            </w:r>
            <w:r>
              <w:rPr>
                <w:spacing w:val="26"/>
                <w:position w:val="3"/>
              </w:rPr>
              <w:t>.</w:t>
            </w:r>
            <w:r>
              <w:rPr>
                <w:position w:val="3"/>
              </w:rPr>
              <w:t>com</w:t>
            </w:r>
          </w:p>
          <w:p>
            <w:pPr>
              <w:spacing w:before="30" w:line="201" w:lineRule="auto"/>
              <w:ind w:left="5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color w:val="4F81BD"/>
                <w:spacing w:val="-1"/>
                <w:sz w:val="24"/>
                <w:szCs w:val="24"/>
                <w14:textOutline w14:w="4358" w14:cap="sq">
                  <w14:solidFill>
                    <w14:srgbClr w14:val="4F81BD"/>
                  </w14:solidFill>
                  <w14:prstDash w14:val="solid"/>
                  <w14:bevel/>
                </w14:textOutline>
              </w:rPr>
              <w:t>联系人：牛义杰</w:t>
            </w:r>
          </w:p>
        </w:tc>
      </w:tr>
      <w:tr>
        <w:tblPrEx>
          <w:tblW w:w="3262" w:type="dxa"/>
          <w:tblInd w:w="17" w:type="dxa"/>
          <w:tblLayout w:type="fixed"/>
        </w:tblPrEx>
        <w:trPr>
          <w:trHeight w:val="2629"/>
        </w:trPr>
        <w:tc>
          <w:tcPr>
            <w:tcW w:w="3262" w:type="dxa"/>
            <w:gridSpan w:val="2"/>
            <w:tcBorders>
              <w:top w:val="single" w:sz="10" w:space="0" w:color="B0BFD6"/>
              <w:bottom w:val="single" w:sz="10" w:space="0" w:color="B0BFD6"/>
            </w:tcBorders>
            <w:vAlign w:val="top"/>
          </w:tcPr>
          <w:p>
            <w:pPr>
              <w:pStyle w:val="TableText"/>
              <w:spacing w:before="39" w:line="216" w:lineRule="auto"/>
              <w:ind w:left="3"/>
            </w:pPr>
            <w:r>
              <w:rPr>
                <w:rFonts w:ascii="KaiTi" w:eastAsia="KaiTi" w:hAnsi="KaiTi" w:cs="KaiTi"/>
                <w:spacing w:val="6"/>
              </w:rPr>
              <w:t>执业证书号：</w:t>
            </w:r>
            <w:r>
              <w:rPr>
                <w:spacing w:val="6"/>
              </w:rPr>
              <w:t>S0010121120038</w:t>
            </w:r>
          </w:p>
          <w:p>
            <w:pPr>
              <w:pStyle w:val="TableText"/>
              <w:spacing w:line="271" w:lineRule="exact"/>
              <w:ind w:left="13"/>
            </w:pPr>
            <w:r>
              <w:rPr>
                <w:rFonts w:ascii="KaiTi" w:eastAsia="KaiTi" w:hAnsi="KaiTi" w:cs="KaiTi"/>
                <w:spacing w:val="17"/>
                <w:position w:val="3"/>
              </w:rPr>
              <w:t>邮箱：</w:t>
            </w:r>
            <w:r>
              <w:rPr>
                <w:position w:val="3"/>
              </w:rPr>
              <w:t>niuyj</w:t>
            </w:r>
            <w:r>
              <w:rPr>
                <w:spacing w:val="17"/>
                <w:position w:val="3"/>
              </w:rPr>
              <w:t>@</w:t>
            </w:r>
            <w:r>
              <w:rPr>
                <w:position w:val="3"/>
              </w:rPr>
              <w:t>hazq</w:t>
            </w:r>
            <w:r>
              <w:rPr>
                <w:spacing w:val="17"/>
                <w:position w:val="3"/>
              </w:rPr>
              <w:t>.</w:t>
            </w:r>
            <w:r>
              <w:rPr>
                <w:position w:val="3"/>
              </w:rPr>
              <w:t>com</w:t>
            </w:r>
          </w:p>
          <w:p>
            <w:pPr>
              <w:pStyle w:val="TableText"/>
              <w:spacing w:line="245" w:lineRule="auto"/>
              <w:rPr>
                <w:sz w:val="21"/>
              </w:rPr>
            </w:pPr>
          </w:p>
          <w:p>
            <w:pPr>
              <w:pStyle w:val="TableText"/>
              <w:spacing w:line="245" w:lineRule="auto"/>
              <w:rPr>
                <w:sz w:val="21"/>
              </w:rPr>
            </w:pP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pStyle w:val="TableText"/>
              <w:spacing w:line="246" w:lineRule="auto"/>
              <w:rPr>
                <w:sz w:val="21"/>
              </w:rPr>
            </w:pPr>
          </w:p>
          <w:p>
            <w:pPr>
              <w:spacing w:before="78" w:line="213" w:lineRule="auto"/>
              <w:ind w:left="1"/>
              <w:rPr>
                <w:rFonts w:ascii="KaiTi" w:eastAsia="KaiTi" w:hAnsi="KaiTi" w:cs="KaiTi"/>
                <w:sz w:val="24"/>
                <w:szCs w:val="24"/>
              </w:rPr>
            </w:pPr>
            <w:r>
              <w:rPr>
                <w:rFonts w:ascii="KaiTi" w:eastAsia="KaiTi" w:hAnsi="KaiTi" w:cs="KaiTi"/>
                <w:color w:val="4F81BD"/>
                <w:sz w:val="24"/>
                <w:szCs w:val="24"/>
                <w14:textOutline w14:w="4358" w14:cap="sq">
                  <w14:solidFill>
                    <w14:srgbClr w14:val="4F81BD"/>
                  </w14:solidFill>
                  <w14:prstDash w14:val="solid"/>
                  <w14:bevel/>
                </w14:textOutline>
              </w:rPr>
              <w:t>相关报告</w:t>
            </w:r>
          </w:p>
        </w:tc>
      </w:tr>
    </w:tbl>
    <w:p>
      <w:pPr>
        <w:pStyle w:val="BodyText"/>
        <w:spacing w:before="63" w:line="272" w:lineRule="auto"/>
        <w:ind w:left="20" w:right="225" w:firstLine="18"/>
      </w:pPr>
      <w:r>
        <w:rPr>
          <w:rFonts w:ascii="SimSun" w:eastAsia="SimSun" w:hAnsi="SimSun" w:cs="SimSun"/>
          <w:spacing w:val="7"/>
        </w:rPr>
        <w:t xml:space="preserve">1. </w:t>
      </w:r>
      <w:r>
        <w:rPr>
          <w:spacing w:val="7"/>
        </w:rPr>
        <w:t>《硅基负极，锂电材料升级的必经</w:t>
      </w:r>
      <w:r>
        <w:rPr>
          <w:spacing w:val="13"/>
        </w:rPr>
        <w:t xml:space="preserve"> </w:t>
      </w:r>
      <w:r>
        <w:rPr>
          <w:spacing w:val="9"/>
        </w:rPr>
        <w:t>之路</w:t>
      </w:r>
      <w:r>
        <w:rPr>
          <w:rFonts w:ascii="SimSun" w:eastAsia="SimSun" w:hAnsi="SimSun" w:cs="SimSun"/>
          <w:spacing w:val="9"/>
        </w:rPr>
        <w:t>-</w:t>
      </w:r>
      <w:r>
        <w:rPr>
          <w:spacing w:val="9"/>
        </w:rPr>
        <w:t>新能源锂电池系列报告之九》</w:t>
      </w:r>
    </w:p>
    <w:p>
      <w:pPr>
        <w:spacing w:before="123" w:line="190" w:lineRule="auto"/>
        <w:ind w:left="27"/>
        <w:rPr>
          <w:rFonts w:ascii="SimSun" w:eastAsia="SimSun" w:hAnsi="SimSun" w:cs="SimSun"/>
          <w:sz w:val="18"/>
          <w:szCs w:val="18"/>
        </w:rPr>
      </w:pPr>
      <w:r>
        <w:rPr>
          <w:rFonts w:ascii="SimSun" w:eastAsia="SimSun" w:hAnsi="SimSun" w:cs="SimSun"/>
          <w:spacing w:val="4"/>
          <w:sz w:val="18"/>
          <w:szCs w:val="18"/>
        </w:rPr>
        <w:t>2022-5-27</w:t>
      </w:r>
    </w:p>
    <w:p>
      <w:pPr>
        <w:pStyle w:val="BodyText"/>
        <w:spacing w:before="97" w:line="288" w:lineRule="auto"/>
        <w:ind w:left="20" w:right="225" w:firstLine="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 xml:space="preserve">5. </w:t>
      </w:r>
      <w:r>
        <w:rPr>
          <w:spacing w:val="8"/>
        </w:rPr>
        <w:t>《隔膜壁垒高，涂覆一体化加速，</w:t>
      </w:r>
      <w:r>
        <w:rPr>
          <w:spacing w:val="6"/>
        </w:rPr>
        <w:t xml:space="preserve"> </w:t>
      </w:r>
      <w:r>
        <w:rPr>
          <w:spacing w:val="9"/>
        </w:rPr>
        <w:t>龙头强二梯队降本增利弹性大</w:t>
      </w:r>
      <w:r>
        <w:rPr>
          <w:rFonts w:ascii="SimSun" w:eastAsia="SimSun" w:hAnsi="SimSun" w:cs="SimSun"/>
          <w:spacing w:val="9"/>
        </w:rPr>
        <w:t>-</w:t>
      </w:r>
      <w:r>
        <w:rPr>
          <w:spacing w:val="9"/>
        </w:rPr>
        <w:t>新能源</w:t>
      </w:r>
      <w:r>
        <w:rPr>
          <w:spacing w:val="6"/>
        </w:rPr>
        <w:t xml:space="preserve"> </w:t>
      </w:r>
      <w:r>
        <w:rPr>
          <w:spacing w:val="7"/>
        </w:rPr>
        <w:t>锂电池系列报告之十一》</w:t>
      </w:r>
      <w:r>
        <w:rPr>
          <w:rFonts w:ascii="SimSun" w:eastAsia="SimSun" w:hAnsi="SimSun" w:cs="SimSun"/>
          <w:spacing w:val="7"/>
        </w:rPr>
        <w:t>2022-7-17</w:t>
      </w:r>
    </w:p>
    <w:p>
      <w:pPr>
        <w:pStyle w:val="BodyText"/>
        <w:spacing w:before="95" w:line="289" w:lineRule="auto"/>
        <w:ind w:left="20" w:right="225" w:firstLine="8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 xml:space="preserve">5. </w:t>
      </w:r>
      <w:r>
        <w:rPr>
          <w:spacing w:val="8"/>
        </w:rPr>
        <w:t>《磷酸锰铁锂性能优成本低，工艺</w:t>
      </w:r>
      <w:r>
        <w:rPr>
          <w:spacing w:val="6"/>
        </w:rPr>
        <w:t xml:space="preserve"> </w:t>
      </w:r>
      <w:r>
        <w:rPr>
          <w:spacing w:val="9"/>
        </w:rPr>
        <w:t>改进产业加速</w:t>
      </w:r>
      <w:r>
        <w:rPr>
          <w:rFonts w:ascii="SimSun" w:eastAsia="SimSun" w:hAnsi="SimSun" w:cs="SimSun"/>
          <w:spacing w:val="9"/>
        </w:rPr>
        <w:t>-</w:t>
      </w:r>
      <w:r>
        <w:rPr>
          <w:spacing w:val="9"/>
        </w:rPr>
        <w:t>新能源锂电池系列报告</w:t>
      </w:r>
      <w:r>
        <w:rPr>
          <w:spacing w:val="5"/>
        </w:rPr>
        <w:t xml:space="preserve"> </w:t>
      </w:r>
      <w:r>
        <w:rPr>
          <w:spacing w:val="6"/>
        </w:rPr>
        <w:t>之十二》</w:t>
      </w:r>
      <w:r>
        <w:rPr>
          <w:rFonts w:ascii="SimSun" w:eastAsia="SimSun" w:hAnsi="SimSun" w:cs="SimSun"/>
          <w:spacing w:val="6"/>
        </w:rPr>
        <w:t>2022-11-10</w:t>
      </w:r>
    </w:p>
    <w:p>
      <w:pPr>
        <w:pStyle w:val="BodyText"/>
        <w:spacing w:before="90" w:line="288" w:lineRule="auto"/>
        <w:ind w:left="30" w:right="222" w:hanging="1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8"/>
        </w:rPr>
        <w:t xml:space="preserve">5. </w:t>
      </w:r>
      <w:r>
        <w:rPr>
          <w:spacing w:val="8"/>
        </w:rPr>
        <w:t>《增效进本安全高，全方位对比测</w:t>
      </w:r>
      <w:r>
        <w:rPr>
          <w:spacing w:val="6"/>
        </w:rPr>
        <w:t xml:space="preserve"> </w:t>
      </w:r>
      <w:r>
        <w:rPr>
          <w:spacing w:val="8"/>
        </w:rPr>
        <w:t>算复合铜箔与传统铜箔</w:t>
      </w:r>
      <w:r>
        <w:rPr>
          <w:rFonts w:ascii="SimSun" w:eastAsia="SimSun" w:hAnsi="SimSun" w:cs="SimSun"/>
          <w:spacing w:val="8"/>
        </w:rPr>
        <w:t>-</w:t>
      </w:r>
      <w:r>
        <w:rPr>
          <w:spacing w:val="8"/>
        </w:rPr>
        <w:t>新能源锂电池</w:t>
      </w:r>
      <w:r>
        <w:rPr>
          <w:spacing w:val="15"/>
        </w:rPr>
        <w:t xml:space="preserve"> </w:t>
      </w:r>
      <w:r>
        <w:rPr>
          <w:spacing w:val="6"/>
        </w:rPr>
        <w:t>系列报告之十三》</w:t>
      </w:r>
      <w:r>
        <w:rPr>
          <w:rFonts w:ascii="SimSun" w:eastAsia="SimSun" w:hAnsi="SimSun" w:cs="SimSun"/>
          <w:spacing w:val="6"/>
        </w:rPr>
        <w:t>2023-4-13</w:t>
      </w:r>
    </w:p>
    <w:p>
      <w:pPr>
        <w:pStyle w:val="BodyText"/>
        <w:spacing w:before="93" w:line="278" w:lineRule="auto"/>
        <w:ind w:left="20" w:right="181" w:firstLine="8"/>
        <w:jc w:val="both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6"/>
        </w:rPr>
        <w:t>5.</w:t>
      </w:r>
      <w:r>
        <w:rPr>
          <w:rFonts w:ascii="SimSun" w:eastAsia="SimSun" w:hAnsi="SimSun" w:cs="SimSun"/>
          <w:spacing w:val="-5"/>
        </w:rPr>
        <w:t xml:space="preserve"> </w:t>
      </w:r>
      <w:r>
        <w:rPr>
          <w:spacing w:val="6"/>
        </w:rPr>
        <w:t>《锂电回收经济性凸显，渠道</w:t>
      </w:r>
      <w:r>
        <w:rPr>
          <w:rFonts w:ascii="SimSun" w:eastAsia="SimSun" w:hAnsi="SimSun" w:cs="SimSun"/>
          <w:spacing w:val="6"/>
        </w:rPr>
        <w:t>+</w:t>
      </w:r>
      <w:r>
        <w:rPr>
          <w:spacing w:val="6"/>
        </w:rPr>
        <w:t>工艺</w:t>
      </w:r>
      <w:r>
        <w:t xml:space="preserve"> </w:t>
      </w:r>
      <w:r>
        <w:rPr>
          <w:spacing w:val="9"/>
        </w:rPr>
        <w:t>助力企业突围</w:t>
      </w:r>
      <w:r>
        <w:rPr>
          <w:rFonts w:ascii="SimSun" w:eastAsia="SimSun" w:hAnsi="SimSun" w:cs="SimSun"/>
          <w:spacing w:val="9"/>
        </w:rPr>
        <w:t>-</w:t>
      </w:r>
      <w:r>
        <w:rPr>
          <w:spacing w:val="9"/>
        </w:rPr>
        <w:t>新能源锂电池系列报告</w:t>
      </w:r>
      <w:r>
        <w:rPr>
          <w:spacing w:val="5"/>
        </w:rPr>
        <w:t xml:space="preserve"> </w:t>
      </w:r>
      <w:r>
        <w:rPr>
          <w:spacing w:val="6"/>
        </w:rPr>
        <w:t>之十四》</w:t>
      </w:r>
      <w:r>
        <w:rPr>
          <w:rFonts w:ascii="SimSun" w:eastAsia="SimSun" w:hAnsi="SimSun" w:cs="SimSun"/>
          <w:spacing w:val="6"/>
        </w:rPr>
        <w:t>2023-4-16</w:t>
      </w:r>
    </w:p>
    <w:p>
      <w:pPr>
        <w:spacing w:line="14" w:lineRule="auto"/>
        <w:rPr>
          <w:rFonts w:ascii="Arial"/>
          <w:sz w:val="2"/>
        </w:rPr>
        <w:sectPr>
          <w:footerReference w:type="default" r:id="rId8"/>
          <w:type w:val="continuous"/>
          <w:pgSz w:w="11906" w:h="16839"/>
          <w:pgMar w:top="1020" w:right="752" w:bottom="1216" w:left="742" w:header="0" w:footer="816" w:gutter="0"/>
          <w:pgNumType w:start="2"/>
          <w:cols w:num="2" w:space="708" w:equalWidth="0">
            <w:col w:w="3376" w:space="100"/>
            <w:col w:w="6935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424" w:lineRule="exact"/>
        <w:ind w:firstLine="33"/>
      </w:pPr>
      <w:r>
        <w:rPr>
          <w:position w:val="-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6" type="#_x0000_t202" style="width:345.1pt;height:21.3pt;mso-position-horizontal-relative:char;mso-position-vertical-relative:line" filled="t" fillcolor="#4f81bd" stroked="f">
            <o:lock v:ext="edit" aspectratio="f"/>
            <v:textbox inset="0,0,0,0">
              <w:txbxContent>
                <w:p>
                  <w:pPr>
                    <w:spacing w:before="78" w:line="229" w:lineRule="auto"/>
                    <w:ind w:left="257"/>
                    <w:rPr>
                      <w:rFonts w:ascii="KaiTi" w:eastAsia="KaiTi" w:hAnsi="KaiTi" w:cs="KaiTi"/>
                      <w:sz w:val="28"/>
                      <w:szCs w:val="28"/>
                    </w:rPr>
                  </w:pPr>
                  <w:r>
                    <w:rPr>
                      <w:rFonts w:ascii="KaiTi" w:eastAsia="KaiTi" w:hAnsi="KaiTi" w:cs="KaiTi"/>
                      <w:color w:val="FFFFFF"/>
                      <w:spacing w:val="-3"/>
                      <w:sz w:val="28"/>
                      <w:szCs w:val="28"/>
                      <w14:textOutline w14:w="5103" w14:cap="sq">
                        <w14:solidFill>
                          <w14:srgbClr w14:val="FFFFFF"/>
                        </w14:solidFill>
                        <w14:prstDash w14:val="solid"/>
                        <w14:bevel/>
                      </w14:textOutline>
                    </w:rPr>
                    <w:t>主要观点：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before="91" w:line="211" w:lineRule="auto"/>
        <w:ind w:left="59"/>
      </w:pPr>
      <w:r>
        <w:rPr>
          <w:spacing w:val="-2"/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电动车：产业链排产有望复苏，建议关注锂电产业链盈利预期收敛及边际改善环节。</w:t>
      </w:r>
    </w:p>
    <w:p>
      <w:pPr>
        <w:pStyle w:val="BodyText"/>
        <w:spacing w:before="105" w:line="293" w:lineRule="auto"/>
        <w:ind w:left="4" w:right="372" w:firstLine="7"/>
        <w:jc w:val="both"/>
      </w:pPr>
      <w:r>
        <w:t>受春节假期及产业备库带动，锂电行业排产有</w:t>
      </w:r>
      <w:r>
        <w:rPr>
          <w:spacing w:val="-1"/>
        </w:rPr>
        <w:t>望提升。环保整顿致周中碳酸锂期货</w:t>
      </w:r>
      <w:r>
        <w:t xml:space="preserve">  </w:t>
      </w:r>
      <w:r>
        <w:t>大涨，后期重点关注行业补库节奏及澳矿生产情况。考虑到目前</w:t>
      </w:r>
      <w:r>
        <w:rPr>
          <w:spacing w:val="-1"/>
        </w:rPr>
        <w:t>估值已经反映了基</w:t>
      </w:r>
      <w:r>
        <w:t xml:space="preserve">  </w:t>
      </w:r>
      <w:r>
        <w:t>本面的演进节奏，锂电产业链持仓低位，产业链盈利</w:t>
      </w:r>
      <w:r>
        <w:rPr>
          <w:spacing w:val="-1"/>
        </w:rPr>
        <w:t>预期收敛</w:t>
      </w:r>
      <w:r>
        <w:rPr>
          <w:rFonts w:ascii="SimSun" w:eastAsia="SimSun" w:hAnsi="SimSun" w:cs="SimSun"/>
          <w:spacing w:val="-1"/>
        </w:rPr>
        <w:t>+</w:t>
      </w:r>
      <w:r>
        <w:rPr>
          <w:spacing w:val="-1"/>
        </w:rPr>
        <w:t>景气度边际好转或可</w:t>
      </w:r>
      <w:r>
        <w:t xml:space="preserve"> </w:t>
      </w:r>
      <w:r>
        <w:t>带动估值修复，建议优先关注高壁垒的电池和高</w:t>
      </w:r>
      <w:r>
        <w:rPr>
          <w:spacing w:val="-1"/>
        </w:rPr>
        <w:t>弹性的锂矿环节。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59" w:line="284" w:lineRule="auto"/>
        <w:ind w:left="4" w:right="371" w:firstLine="34"/>
        <w:jc w:val="both"/>
      </w:pPr>
      <w:r>
        <w:rPr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新技术</w:t>
      </w:r>
      <w:r>
        <w:t>：</w:t>
      </w:r>
      <w:r>
        <w:rPr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全球首条固态电池产线投产。</w:t>
      </w:r>
      <w:r>
        <w:t>辉能科技宣布其首条固态电池生产线正式投</w:t>
      </w:r>
      <w:r>
        <w:rPr>
          <w:spacing w:val="7"/>
        </w:rPr>
        <w:t xml:space="preserve"> </w:t>
      </w:r>
      <w:r>
        <w:rPr>
          <w:spacing w:val="-6"/>
        </w:rPr>
        <w:t>产，其大型锂陶瓷电池（</w:t>
      </w:r>
      <w:r>
        <w:rPr>
          <w:rFonts w:ascii="SimSun" w:eastAsia="SimSun" w:hAnsi="SimSun" w:cs="SimSun"/>
          <w:spacing w:val="-6"/>
        </w:rPr>
        <w:t>LLCB</w:t>
      </w:r>
      <w:r>
        <w:rPr>
          <w:spacing w:val="-6"/>
        </w:rPr>
        <w:t>）固态电池可</w:t>
      </w:r>
      <w:r>
        <w:rPr>
          <w:spacing w:val="-7"/>
        </w:rPr>
        <w:t>实现满电超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7"/>
        </w:rPr>
        <w:t>1000km</w:t>
      </w:r>
      <w:r>
        <w:rPr>
          <w:rFonts w:ascii="SimSun" w:eastAsia="SimSun" w:hAnsi="SimSun" w:cs="SimSun"/>
          <w:spacing w:val="-37"/>
        </w:rPr>
        <w:t xml:space="preserve"> </w:t>
      </w:r>
      <w:r>
        <w:rPr>
          <w:spacing w:val="-7"/>
        </w:rPr>
        <w:t>续航，循环寿命超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7"/>
        </w:rPr>
        <w:t>1000</w:t>
      </w:r>
      <w:r>
        <w:rPr>
          <w:rFonts w:ascii="SimSun" w:eastAsia="SimSun" w:hAnsi="SimSun" w:cs="SimSun"/>
        </w:rPr>
        <w:t xml:space="preserve"> </w:t>
      </w:r>
      <w:r>
        <w:rPr>
          <w:spacing w:val="-1"/>
        </w:rPr>
        <w:t>次，固态电池产业化稳步推进。</w:t>
      </w:r>
    </w:p>
    <w:p>
      <w:pPr>
        <w:spacing w:line="357" w:lineRule="auto"/>
        <w:rPr>
          <w:rFonts w:ascii="Arial"/>
          <w:sz w:val="21"/>
        </w:rPr>
      </w:pPr>
    </w:p>
    <w:p>
      <w:pPr>
        <w:pStyle w:val="BodyText"/>
        <w:spacing w:before="60" w:line="285" w:lineRule="auto"/>
        <w:ind w:right="372"/>
        <w:jc w:val="both"/>
      </w:pPr>
      <w:r>
        <w:rPr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人形机器人：本周核心供应商坚定产业链信心，英伟达</w:t>
      </w:r>
      <w:r>
        <w:rPr>
          <w:spacing w:val="-40"/>
        </w:rPr>
        <w:t xml:space="preserve"> </w:t>
      </w:r>
      <w:r>
        <w:rPr>
          <w:rFonts w:ascii="SimSun" w:eastAsia="SimSun" w:hAnsi="SimSun" w:cs="SimSun"/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GTC20</w:t>
      </w:r>
      <w:r>
        <w:rPr>
          <w:rFonts w:ascii="SimSun" w:eastAsia="SimSun" w:hAnsi="SimSun" w:cs="SimSun"/>
          <w:spacing w:val="-1"/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24</w:t>
      </w:r>
      <w:r>
        <w:rPr>
          <w:rFonts w:ascii="SimSun" w:eastAsia="SimSun" w:hAnsi="SimSun" w:cs="SimSun"/>
          <w:spacing w:val="-29"/>
        </w:rPr>
        <w:t xml:space="preserve"> </w:t>
      </w:r>
      <w:r>
        <w:rPr>
          <w:spacing w:val="-1"/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大会有望更新机器</w:t>
      </w:r>
      <w:r>
        <w:rPr>
          <w:spacing w:val="-1"/>
        </w:rPr>
        <w:t xml:space="preserve"> </w:t>
      </w:r>
      <w:r>
        <w:rPr>
          <w:spacing w:val="-2"/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人相关应用，有望带动行业普及。</w:t>
      </w:r>
      <w:r>
        <w:rPr>
          <w:rFonts w:ascii="SimSun" w:eastAsia="SimSun" w:hAnsi="SimSun" w:cs="SimSun"/>
          <w:spacing w:val="-2"/>
        </w:rPr>
        <w:t>0-1</w:t>
      </w:r>
      <w:r>
        <w:rPr>
          <w:rFonts w:ascii="SimSun" w:eastAsia="SimSun" w:hAnsi="SimSun" w:cs="SimSun"/>
          <w:spacing w:val="-24"/>
        </w:rPr>
        <w:t xml:space="preserve"> </w:t>
      </w:r>
      <w:r>
        <w:rPr>
          <w:spacing w:val="-2"/>
        </w:rPr>
        <w:t>阶段主要关注行业产业进展，关注确定性高的</w:t>
      </w:r>
      <w:r>
        <w:t xml:space="preserve"> </w:t>
      </w:r>
      <w:r>
        <w:rPr>
          <w:rFonts w:ascii="SimSun" w:eastAsia="SimSun" w:hAnsi="SimSun" w:cs="SimSun"/>
          <w:spacing w:val="-1"/>
        </w:rPr>
        <w:t>Tier1</w:t>
      </w:r>
      <w:r>
        <w:rPr>
          <w:rFonts w:ascii="SimSun" w:eastAsia="SimSun" w:hAnsi="SimSun" w:cs="SimSun"/>
          <w:spacing w:val="-28"/>
        </w:rPr>
        <w:t xml:space="preserve"> </w:t>
      </w:r>
      <w:r>
        <w:rPr>
          <w:spacing w:val="-1"/>
        </w:rPr>
        <w:t>供应商和轮动价值量增加环节。</w:t>
      </w:r>
    </w:p>
    <w:p>
      <w:pPr>
        <w:spacing w:line="355" w:lineRule="auto"/>
        <w:rPr>
          <w:rFonts w:ascii="Arial"/>
          <w:sz w:val="21"/>
        </w:rPr>
      </w:pPr>
    </w:p>
    <w:p>
      <w:pPr>
        <w:pStyle w:val="BodyText"/>
        <w:spacing w:before="58" w:line="302" w:lineRule="auto"/>
        <w:ind w:right="372"/>
      </w:pPr>
      <w:r>
        <w:rPr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储能：多指标预示国内储能有望高增，关注</w:t>
      </w:r>
      <w:r>
        <w:rPr>
          <w:spacing w:val="-37"/>
        </w:rPr>
        <w:t xml:space="preserve"> </w:t>
      </w:r>
      <w:r>
        <w:rPr>
          <w:rFonts w:ascii="SimSun" w:eastAsia="SimSun" w:hAnsi="SimSun" w:cs="SimSun"/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PCS</w:t>
      </w:r>
      <w:r>
        <w:rPr>
          <w:rFonts w:ascii="SimSun" w:eastAsia="SimSun" w:hAnsi="SimSun" w:cs="SimSun"/>
          <w:spacing w:val="-42"/>
        </w:rPr>
        <w:t xml:space="preserve"> </w:t>
      </w:r>
      <w:r>
        <w:rPr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及液冷环节。</w:t>
      </w:r>
      <w:r>
        <w:rPr>
          <w:rFonts w:ascii="SimSun" w:eastAsia="SimSun" w:hAnsi="SimSun" w:cs="SimSun"/>
        </w:rPr>
        <w:t>2023</w:t>
      </w:r>
      <w:r>
        <w:rPr>
          <w:rFonts w:ascii="SimSun" w:eastAsia="SimSun" w:hAnsi="SimSun" w:cs="SimSun"/>
          <w:spacing w:val="-40"/>
        </w:rPr>
        <w:t xml:space="preserve"> </w:t>
      </w:r>
      <w:r>
        <w:t>年储能系统总采</w:t>
      </w:r>
      <w:r>
        <w:t xml:space="preserve"> </w:t>
      </w:r>
      <w:r>
        <w:rPr>
          <w:spacing w:val="-1"/>
        </w:rPr>
        <w:t>招订单规模为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1"/>
        </w:rPr>
        <w:t>129.6GWh</w:t>
      </w:r>
      <w:r>
        <w:rPr>
          <w:spacing w:val="-1"/>
        </w:rPr>
        <w:t>，实际储能需求约</w:t>
      </w:r>
      <w:r>
        <w:rPr>
          <w:spacing w:val="-38"/>
        </w:rPr>
        <w:t xml:space="preserve"> </w:t>
      </w:r>
      <w:r>
        <w:rPr>
          <w:rFonts w:ascii="SimSun" w:eastAsia="SimSun" w:hAnsi="SimSun" w:cs="SimSun"/>
          <w:spacing w:val="-1"/>
        </w:rPr>
        <w:t>48.2GW/118</w:t>
      </w:r>
      <w:r>
        <w:rPr>
          <w:rFonts w:ascii="SimSun" w:eastAsia="SimSun" w:hAnsi="SimSun" w:cs="SimSun"/>
          <w:spacing w:val="-2"/>
        </w:rPr>
        <w:t>.5GWh</w:t>
      </w:r>
      <w:r>
        <w:rPr>
          <w:spacing w:val="-2"/>
        </w:rPr>
        <w:t>，较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2"/>
        </w:rPr>
        <w:t>22</w:t>
      </w:r>
      <w:r>
        <w:rPr>
          <w:rFonts w:ascii="SimSun" w:eastAsia="SimSun" w:hAnsi="SimSun" w:cs="SimSun"/>
          <w:spacing w:val="-40"/>
        </w:rPr>
        <w:t xml:space="preserve"> </w:t>
      </w:r>
      <w:r>
        <w:rPr>
          <w:spacing w:val="-2"/>
        </w:rPr>
        <w:t>年增加近</w:t>
      </w:r>
      <w:r>
        <w:rPr>
          <w:spacing w:val="-35"/>
        </w:rPr>
        <w:t xml:space="preserve"> </w:t>
      </w:r>
      <w:r>
        <w:rPr>
          <w:rFonts w:ascii="SimSun" w:eastAsia="SimSun" w:hAnsi="SimSun" w:cs="SimSun"/>
          <w:spacing w:val="-2"/>
        </w:rPr>
        <w:t>2</w:t>
      </w:r>
      <w:r>
        <w:rPr>
          <w:rFonts w:ascii="SimSun" w:eastAsia="SimSun" w:hAnsi="SimSun" w:cs="SimSun"/>
          <w:spacing w:val="-43"/>
        </w:rPr>
        <w:t xml:space="preserve"> </w:t>
      </w:r>
      <w:r>
        <w:rPr>
          <w:spacing w:val="-2"/>
        </w:rPr>
        <w:t>倍，</w:t>
      </w:r>
      <w:r>
        <w:t xml:space="preserve"> </w:t>
      </w:r>
      <w:r>
        <w:rPr>
          <w:spacing w:val="-1"/>
        </w:rPr>
        <w:t>各地规划储能超</w:t>
      </w:r>
      <w:r>
        <w:rPr>
          <w:spacing w:val="-20"/>
        </w:rPr>
        <w:t xml:space="preserve"> </w:t>
      </w:r>
      <w:r>
        <w:rPr>
          <w:rFonts w:ascii="SimSun" w:eastAsia="SimSun" w:hAnsi="SimSun" w:cs="SimSun"/>
          <w:spacing w:val="-1"/>
        </w:rPr>
        <w:t>80GW</w:t>
      </w:r>
      <w:r>
        <w:rPr>
          <w:spacing w:val="-1"/>
        </w:rPr>
        <w:t>。展望</w:t>
      </w:r>
      <w:r>
        <w:rPr>
          <w:spacing w:val="-38"/>
        </w:rPr>
        <w:t xml:space="preserve"> </w:t>
      </w:r>
      <w:r>
        <w:rPr>
          <w:rFonts w:ascii="SimSun" w:eastAsia="SimSun" w:hAnsi="SimSun" w:cs="SimSun"/>
          <w:spacing w:val="-1"/>
        </w:rPr>
        <w:t xml:space="preserve">2024 </w:t>
      </w:r>
      <w:r>
        <w:rPr>
          <w:spacing w:val="-1"/>
        </w:rPr>
        <w:t>年，保障性并网项目竞争性配置</w:t>
      </w:r>
      <w:r>
        <w:rPr>
          <w:rFonts w:ascii="SimSun" w:eastAsia="SimSun" w:hAnsi="SimSun" w:cs="SimSun"/>
          <w:spacing w:val="-1"/>
        </w:rPr>
        <w:t>+</w:t>
      </w:r>
      <w:r>
        <w:rPr>
          <w:spacing w:val="-1"/>
        </w:rPr>
        <w:t>市场化并网占比</w:t>
      </w:r>
      <w:r>
        <w:t xml:space="preserve"> </w:t>
      </w:r>
      <w:r>
        <w:t>提升</w:t>
      </w:r>
      <w:r>
        <w:rPr>
          <w:rFonts w:ascii="SimSun" w:eastAsia="SimSun" w:hAnsi="SimSun" w:cs="SimSun"/>
        </w:rPr>
        <w:t>+</w:t>
      </w:r>
      <w:r>
        <w:t>部分存量项目开始要求配储，均将带动国内储能配置比例</w:t>
      </w:r>
      <w:r>
        <w:rPr>
          <w:spacing w:val="-1"/>
        </w:rPr>
        <w:t>提升，支撑国内储能</w:t>
      </w:r>
      <w:r>
        <w:t xml:space="preserve"> </w:t>
      </w:r>
      <w:r>
        <w:t>规模高增。</w:t>
      </w:r>
      <w:r>
        <w:rPr>
          <w:rFonts w:ascii="SimSun" w:eastAsia="SimSun" w:hAnsi="SimSun" w:cs="SimSun"/>
        </w:rPr>
        <w:t xml:space="preserve">PCS </w:t>
      </w:r>
      <w:r>
        <w:t>环节价格基本维持稳定，量增有望带动规模效应提升，集中</w:t>
      </w:r>
      <w:r>
        <w:rPr>
          <w:spacing w:val="-1"/>
        </w:rPr>
        <w:t>式大项</w:t>
      </w:r>
      <w:r>
        <w:t xml:space="preserve">  </w:t>
      </w:r>
      <w:r>
        <w:rPr>
          <w:spacing w:val="-1"/>
        </w:rPr>
        <w:t>目有望带动液冷占比进一步提升。</w:t>
      </w:r>
    </w:p>
    <w:p>
      <w:pPr>
        <w:spacing w:line="353" w:lineRule="auto"/>
        <w:rPr>
          <w:rFonts w:ascii="Arial"/>
          <w:sz w:val="21"/>
        </w:rPr>
      </w:pPr>
    </w:p>
    <w:p>
      <w:pPr>
        <w:pStyle w:val="BodyText"/>
        <w:spacing w:before="60" w:line="293" w:lineRule="auto"/>
        <w:ind w:left="2" w:right="451"/>
        <w:jc w:val="both"/>
      </w:pPr>
      <w:r>
        <w:rPr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风电光伏：</w:t>
      </w:r>
      <w:r>
        <w:t>多地风电项目招投标公示，风电项目持续受关注；浙江竞争性配置推动</w:t>
      </w:r>
      <w:r>
        <w:t xml:space="preserve"> </w:t>
      </w:r>
      <w:r>
        <w:rPr>
          <w:spacing w:val="-3"/>
        </w:rPr>
        <w:t>省管海域风电</w:t>
      </w:r>
      <w:r>
        <w:rPr>
          <w:spacing w:val="-59"/>
        </w:rPr>
        <w:t xml:space="preserve"> </w:t>
      </w:r>
      <w:r>
        <w:rPr>
          <w:spacing w:val="-3"/>
        </w:rPr>
        <w:t>“应开尽开”；</w:t>
      </w:r>
      <w:r>
        <w:rPr>
          <w:spacing w:val="-49"/>
        </w:rPr>
        <w:t xml:space="preserve"> </w:t>
      </w:r>
      <w:r>
        <w:rPr>
          <w:spacing w:val="-3"/>
        </w:rPr>
        <w:t>山东目标新增海上风电</w:t>
      </w:r>
      <w:r>
        <w:rPr>
          <w:spacing w:val="-24"/>
        </w:rPr>
        <w:t xml:space="preserve"> </w:t>
      </w:r>
      <w:r>
        <w:rPr>
          <w:rFonts w:ascii="SimSun" w:eastAsia="SimSun" w:hAnsi="SimSun" w:cs="SimSun"/>
          <w:spacing w:val="-3"/>
        </w:rPr>
        <w:t>150</w:t>
      </w:r>
      <w:r>
        <w:rPr>
          <w:rFonts w:ascii="SimSun" w:eastAsia="SimSun" w:hAnsi="SimSun" w:cs="SimSun"/>
          <w:spacing w:val="-32"/>
        </w:rPr>
        <w:t xml:space="preserve"> </w:t>
      </w:r>
      <w:r>
        <w:rPr>
          <w:spacing w:val="-3"/>
        </w:rPr>
        <w:t>万千瓦，风电技改持续推</w:t>
      </w:r>
      <w:r>
        <w:t xml:space="preserve"> </w:t>
      </w:r>
      <w:r>
        <w:t>进。硅料价格全线持平，硅片价格持稳微涨；多地废止取消光伏项目，</w:t>
      </w:r>
      <w:r>
        <w:rPr>
          <w:spacing w:val="-1"/>
        </w:rPr>
        <w:t>项目资源配</w:t>
      </w:r>
      <w:r>
        <w:t xml:space="preserve"> </w:t>
      </w:r>
      <w:r>
        <w:rPr>
          <w:spacing w:val="-2"/>
        </w:rPr>
        <w:t>置优化调整；</w:t>
      </w:r>
      <w:r>
        <w:rPr>
          <w:spacing w:val="-33"/>
        </w:rPr>
        <w:t xml:space="preserve"> </w:t>
      </w:r>
      <w:r>
        <w:rPr>
          <w:spacing w:val="-2"/>
        </w:rPr>
        <w:t>山东市场化并网开始申报，国内光伏项目建设逐步落地。</w:t>
      </w:r>
    </w:p>
    <w:p>
      <w:pPr>
        <w:spacing w:line="356" w:lineRule="auto"/>
        <w:rPr>
          <w:rFonts w:ascii="Arial"/>
          <w:sz w:val="21"/>
        </w:rPr>
      </w:pPr>
    </w:p>
    <w:p>
      <w:pPr>
        <w:pStyle w:val="BodyText"/>
        <w:spacing w:before="59" w:line="284" w:lineRule="auto"/>
        <w:ind w:right="453" w:firstLine="12"/>
        <w:jc w:val="both"/>
      </w:pPr>
      <w:r>
        <w:rPr>
          <w14:textOutline w14:w="3268" w14:cap="sq">
            <w14:solidFill>
              <w14:srgbClr w14:val="000000"/>
            </w14:solidFill>
            <w14:prstDash w14:val="solid"/>
            <w14:bevel/>
          </w14:textOutline>
        </w:rPr>
        <w:t>氢能</w:t>
      </w:r>
      <w:r>
        <w:t>：本周氢能产业链迎来政策红利，交通部、重</w:t>
      </w:r>
      <w:r>
        <w:rPr>
          <w:spacing w:val="-1"/>
        </w:rPr>
        <w:t>庆市和昆山市分别发布相关政策</w:t>
      </w:r>
      <w:r>
        <w:t xml:space="preserve"> </w:t>
      </w:r>
      <w:r>
        <w:rPr>
          <w:spacing w:val="-1"/>
        </w:rPr>
        <w:t>措施和试点方案，涵盖生产、储运、应用和创新等各个环节</w:t>
      </w:r>
      <w:r>
        <w:rPr>
          <w:spacing w:val="-2"/>
        </w:rPr>
        <w:t>，</w:t>
      </w:r>
      <w:r>
        <w:rPr>
          <w:spacing w:val="-48"/>
        </w:rPr>
        <w:t xml:space="preserve"> </w:t>
      </w:r>
      <w:r>
        <w:rPr>
          <w:spacing w:val="-2"/>
        </w:rPr>
        <w:t>旨在推动氢能产业的</w:t>
      </w:r>
      <w:r>
        <w:t xml:space="preserve"> </w:t>
      </w:r>
      <w:r>
        <w:rPr>
          <w:spacing w:val="-1"/>
        </w:rPr>
        <w:t>高质量发展，加快氢能的技术进步和市场化进程。</w:t>
      </w:r>
    </w:p>
    <w:p>
      <w:pPr>
        <w:spacing w:line="285" w:lineRule="auto"/>
        <w:rPr>
          <w:rFonts w:ascii="Arial"/>
          <w:sz w:val="21"/>
        </w:rPr>
      </w:pPr>
    </w:p>
    <w:p>
      <w:pPr>
        <w:pStyle w:val="BodyText"/>
        <w:spacing w:before="58" w:line="232" w:lineRule="auto"/>
        <w:ind w:left="13"/>
      </w:pPr>
      <w:r>
        <w:rPr>
          <w:rFonts w:ascii="Wingdings" w:eastAsia="Wingdings" w:hAnsi="Wingdings" w:cs="Wingdings"/>
          <w:color w:val="4F81BD"/>
          <w:spacing w:val="-17"/>
        </w:rPr>
        <w:t>.</w:t>
      </w:r>
      <w:r>
        <w:rPr>
          <w:color w:val="4F81BD"/>
          <w:spacing w:val="-17"/>
          <w14:textOutline w14:w="3268" w14:cap="sq">
            <w14:solidFill>
              <w14:srgbClr w14:val="4F81BD"/>
            </w14:solidFill>
            <w14:prstDash w14:val="solid"/>
            <w14:bevel/>
          </w14:textOutline>
        </w:rPr>
        <w:t>风险提示：</w:t>
      </w:r>
    </w:p>
    <w:p>
      <w:pPr>
        <w:pStyle w:val="BodyText"/>
        <w:spacing w:before="1" w:line="220" w:lineRule="auto"/>
        <w:ind w:left="16" w:right="372" w:hanging="14"/>
      </w:pPr>
      <w:r>
        <w:rPr>
          <w:spacing w:val="2"/>
        </w:rPr>
        <w:t>新能源汽车发展不及预期；相关技术出现颠覆性突破；产品价格下降超出预期；产</w:t>
      </w:r>
      <w:r>
        <w:rPr>
          <w:spacing w:val="7"/>
        </w:rPr>
        <w:t xml:space="preserve"> </w:t>
      </w:r>
      <w:r>
        <w:rPr>
          <w:spacing w:val="-1"/>
        </w:rPr>
        <w:t>能扩张不及预期、产品开发不及预期；原材料价格波动。</w:t>
      </w:r>
    </w:p>
    <w:p>
      <w:pPr>
        <w:spacing w:line="220" w:lineRule="auto"/>
        <w:sectPr>
          <w:footerReference w:type="default" r:id="rId9"/>
          <w:type w:val="nextPage"/>
          <w:pgSz w:w="11906" w:h="16839"/>
          <w:pgMar w:top="1020" w:right="752" w:bottom="1216" w:left="742" w:header="0" w:footer="816" w:gutter="0"/>
          <w:pgNumType w:start="3"/>
          <w:cols w:num="2" w:space="708" w:equalWidth="0">
            <w:col w:w="3376" w:space="100"/>
            <w:col w:w="6935" w:space="0"/>
          </w:cols>
          <w:titlePg w:val="0"/>
        </w:sectPr>
      </w:pPr>
    </w:p>
    <w:p>
      <w:pPr>
        <w:pStyle w:val="BodyText"/>
        <w:spacing w:before="48" w:line="221" w:lineRule="auto"/>
        <w:ind w:left="9194"/>
        <w:rPr>
          <w:sz w:val="24"/>
          <w:szCs w:val="24"/>
        </w:rPr>
      </w:pPr>
      <w:r>
        <w:pict>
          <v:shape id="_x0000_s1027" style="width:420.65pt;height:0.6pt;margin-top:63pt;margin-left:121.8pt;mso-position-horizontal-relative:page;mso-position-vertical-relative:page;position:absolute;z-index:251661312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spacing w:line="281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114" w:line="222" w:lineRule="auto"/>
        <w:ind w:left="3153"/>
        <w:outlineLvl w:val="0"/>
        <w:rPr>
          <w:sz w:val="35"/>
          <w:szCs w:val="35"/>
        </w:rPr>
      </w:pPr>
      <w:r>
        <w:rPr>
          <w:rFonts w:ascii="Arial" w:eastAsia="Arial" w:hAnsi="Arial" w:cs="Arial"/>
          <w:b/>
          <w:bCs/>
          <w:color w:val="002060"/>
          <w:spacing w:val="2"/>
          <w:sz w:val="35"/>
          <w:szCs w:val="35"/>
        </w:rPr>
        <w:t xml:space="preserve">1 </w:t>
      </w:r>
      <w:r>
        <w:rPr>
          <w:color w:val="002060"/>
          <w:spacing w:val="2"/>
          <w:sz w:val="35"/>
          <w:szCs w:val="35"/>
          <w14:textOutline w14:w="6537" w14:cap="sq">
            <w14:solidFill>
              <w14:srgbClr w14:val="002060"/>
            </w14:solidFill>
            <w14:prstDash w14:val="solid"/>
            <w14:bevel/>
          </w14:textOutline>
        </w:rPr>
        <w:t>本周观点：</w:t>
      </w:r>
    </w:p>
    <w:p>
      <w:pPr>
        <w:pStyle w:val="BodyText"/>
        <w:spacing w:before="186" w:line="213" w:lineRule="auto"/>
        <w:ind w:left="3131" w:right="53" w:hanging="1"/>
        <w:outlineLvl w:val="1"/>
        <w:rPr>
          <w:sz w:val="28"/>
          <w:szCs w:val="28"/>
        </w:rPr>
      </w:pPr>
      <w:r>
        <w:rPr>
          <w:color w:val="002060"/>
          <w:spacing w:val="-1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新能源车：</w:t>
      </w:r>
      <w:r>
        <w:rPr>
          <w:rFonts w:ascii="Arial" w:eastAsia="Arial" w:hAnsi="Arial" w:cs="Arial"/>
          <w:b/>
          <w:bCs/>
          <w:color w:val="002060"/>
          <w:spacing w:val="-1"/>
          <w:sz w:val="28"/>
          <w:szCs w:val="28"/>
        </w:rPr>
        <w:t xml:space="preserve">3 </w:t>
      </w:r>
      <w:r>
        <w:rPr>
          <w:color w:val="002060"/>
          <w:spacing w:val="-1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月排产有望提升，碳酸锂重点关注行业补库节</w:t>
      </w:r>
      <w:r>
        <w:rPr>
          <w:color w:val="002060"/>
          <w:spacing w:val="11"/>
          <w:sz w:val="28"/>
          <w:szCs w:val="28"/>
        </w:rPr>
        <w:t xml:space="preserve"> </w:t>
      </w:r>
      <w:r>
        <w:rPr>
          <w:color w:val="002060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奏及澳矿生产情况</w:t>
      </w:r>
    </w:p>
    <w:p>
      <w:pPr>
        <w:pStyle w:val="BodyText"/>
        <w:spacing w:before="133" w:line="295" w:lineRule="auto"/>
        <w:ind w:left="3126" w:right="49" w:firstLine="425"/>
        <w:jc w:val="both"/>
        <w:rPr>
          <w:sz w:val="19"/>
          <w:szCs w:val="19"/>
        </w:rPr>
      </w:pP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中国电池厂出海适逢其会，</w:t>
      </w:r>
      <w:r>
        <w:rPr>
          <w:rFonts w:ascii="SimSun" w:eastAsia="SimSun" w:hAnsi="SimSun" w:cs="SimSun"/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3</w:t>
      </w:r>
      <w:r>
        <w:rPr>
          <w:rFonts w:ascii="SimSun" w:eastAsia="SimSun" w:hAnsi="SimSun" w:cs="SimSun"/>
          <w:spacing w:val="-20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月排产情况明显转好。</w:t>
      </w:r>
      <w:r>
        <w:rPr>
          <w:spacing w:val="7"/>
          <w:sz w:val="19"/>
          <w:szCs w:val="19"/>
        </w:rPr>
        <w:t>根据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SNE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Research</w:t>
      </w:r>
      <w:r>
        <w:rPr>
          <w:rFonts w:ascii="SimSun" w:eastAsia="SimSun" w:hAnsi="SimSun" w:cs="SimSun"/>
          <w:spacing w:val="32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</w:t>
      </w:r>
      <w:r>
        <w:rPr>
          <w:rFonts w:ascii="SimSun" w:eastAsia="SimSun" w:hAnsi="SimSun" w:cs="SimSun"/>
          <w:spacing w:val="7"/>
          <w:sz w:val="19"/>
          <w:szCs w:val="19"/>
        </w:rPr>
        <w:t>2023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年全球动力电池装机达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705.5</w:t>
      </w:r>
      <w:r>
        <w:rPr>
          <w:rFonts w:ascii="SimSun" w:eastAsia="SimSun" w:hAnsi="SimSun" w:cs="SimSun"/>
          <w:sz w:val="19"/>
          <w:szCs w:val="19"/>
        </w:rPr>
        <w:t>GWh</w:t>
      </w:r>
      <w:r>
        <w:rPr>
          <w:spacing w:val="8"/>
          <w:sz w:val="19"/>
          <w:szCs w:val="19"/>
        </w:rPr>
        <w:t>，</w:t>
      </w:r>
      <w:r>
        <w:rPr>
          <w:spacing w:val="-5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同比增长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38.6%</w:t>
      </w:r>
      <w:r>
        <w:rPr>
          <w:spacing w:val="8"/>
          <w:sz w:val="19"/>
          <w:szCs w:val="19"/>
        </w:rPr>
        <w:t>，增速虽然较去年有所下降，但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仍保持了稳定增长态势。根据中国汽车动力电池</w:t>
      </w:r>
      <w:r>
        <w:rPr>
          <w:spacing w:val="8"/>
          <w:sz w:val="19"/>
          <w:szCs w:val="19"/>
        </w:rPr>
        <w:t>产业创新联盟数据，</w:t>
      </w:r>
      <w:r>
        <w:rPr>
          <w:rFonts w:ascii="SimSun" w:eastAsia="SimSun" w:hAnsi="SimSun" w:cs="SimSun"/>
          <w:spacing w:val="8"/>
          <w:sz w:val="19"/>
          <w:szCs w:val="19"/>
        </w:rPr>
        <w:t>2023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年国内动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力电池装机量达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387.7</w:t>
      </w:r>
      <w:r>
        <w:rPr>
          <w:rFonts w:ascii="SimSun" w:eastAsia="SimSun" w:hAnsi="SimSun" w:cs="SimSun"/>
          <w:sz w:val="19"/>
          <w:szCs w:val="19"/>
        </w:rPr>
        <w:t>GWh</w:t>
      </w:r>
      <w:r>
        <w:rPr>
          <w:spacing w:val="8"/>
          <w:sz w:val="19"/>
          <w:szCs w:val="19"/>
        </w:rPr>
        <w:t>，同比</w:t>
      </w:r>
      <w:r>
        <w:rPr>
          <w:rFonts w:ascii="SimSun" w:eastAsia="SimSun" w:hAnsi="SimSun" w:cs="SimSun"/>
          <w:spacing w:val="8"/>
          <w:sz w:val="19"/>
          <w:szCs w:val="19"/>
        </w:rPr>
        <w:t>+31.6%</w:t>
      </w:r>
      <w:r>
        <w:rPr>
          <w:spacing w:val="8"/>
          <w:sz w:val="19"/>
          <w:szCs w:val="19"/>
        </w:rPr>
        <w:t>。从数据上来看，国内电池装机增速较缓于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全球，</w:t>
      </w:r>
      <w:r>
        <w:rPr>
          <w:spacing w:val="-3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中国电池企业出海适逢其会。根据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GGII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数据，</w:t>
      </w:r>
      <w:r>
        <w:rPr>
          <w:rFonts w:ascii="SimSun" w:eastAsia="SimSun" w:hAnsi="SimSun" w:cs="SimSun"/>
          <w:spacing w:val="8"/>
          <w:sz w:val="19"/>
          <w:szCs w:val="19"/>
        </w:rPr>
        <w:t>2024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</w:t>
      </w:r>
      <w:r>
        <w:rPr>
          <w:spacing w:val="-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1-2</w:t>
      </w:r>
      <w:r>
        <w:rPr>
          <w:rFonts w:ascii="SimSun" w:eastAsia="SimSun" w:hAnsi="SimSun" w:cs="SimSun"/>
          <w:spacing w:val="-2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月，动力电池排</w:t>
      </w:r>
      <w:r>
        <w:rPr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产数据普遍下滑，预计</w:t>
      </w:r>
      <w:r>
        <w:rPr>
          <w:spacing w:val="-2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2</w:t>
      </w:r>
      <w:r>
        <w:rPr>
          <w:rFonts w:ascii="SimSun" w:eastAsia="SimSun" w:hAnsi="SimSun" w:cs="SimSun"/>
          <w:spacing w:val="-20"/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月份锂电池产能利用率在</w:t>
      </w:r>
      <w:r>
        <w:rPr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2"/>
          <w:sz w:val="19"/>
          <w:szCs w:val="19"/>
        </w:rPr>
        <w:t>35-45%</w:t>
      </w:r>
      <w:r>
        <w:rPr>
          <w:spacing w:val="12"/>
          <w:sz w:val="19"/>
          <w:szCs w:val="19"/>
        </w:rPr>
        <w:t>，三元材料产能利用率</w:t>
      </w:r>
      <w:r>
        <w:rPr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35-45%</w:t>
      </w:r>
      <w:r>
        <w:rPr>
          <w:spacing w:val="8"/>
          <w:sz w:val="19"/>
          <w:szCs w:val="19"/>
        </w:rPr>
        <w:t>，铁锂材料产能利用率</w:t>
      </w:r>
      <w:r>
        <w:rPr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25-35%</w:t>
      </w:r>
      <w:r>
        <w:rPr>
          <w:spacing w:val="8"/>
          <w:sz w:val="19"/>
          <w:szCs w:val="19"/>
        </w:rPr>
        <w:t>。</w:t>
      </w:r>
      <w:r>
        <w:rPr>
          <w:rFonts w:ascii="SimSun" w:eastAsia="SimSun" w:hAnsi="SimSun" w:cs="SimSun"/>
          <w:spacing w:val="8"/>
          <w:sz w:val="19"/>
          <w:szCs w:val="19"/>
        </w:rPr>
        <w:t>2</w:t>
      </w:r>
      <w:r>
        <w:rPr>
          <w:rFonts w:ascii="SimSun" w:eastAsia="SimSun" w:hAnsi="SimSun" w:cs="SimSun"/>
          <w:spacing w:val="7"/>
          <w:sz w:val="19"/>
          <w:szCs w:val="19"/>
        </w:rPr>
        <w:t>4</w:t>
      </w:r>
      <w:r>
        <w:rPr>
          <w:rFonts w:ascii="SimSun" w:eastAsia="SimSun" w:hAnsi="SimSun" w:cs="SimSun"/>
          <w:spacing w:val="-3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</w:t>
      </w:r>
      <w:r>
        <w:rPr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1-2</w:t>
      </w:r>
      <w:r>
        <w:rPr>
          <w:rFonts w:ascii="SimSun" w:eastAsia="SimSun" w:hAnsi="SimSun" w:cs="SimSun"/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月份排产情况低于预期主要系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23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年</w:t>
      </w:r>
      <w:r>
        <w:rPr>
          <w:spacing w:val="-1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12</w:t>
      </w:r>
      <w:r>
        <w:rPr>
          <w:rFonts w:ascii="SimSun" w:eastAsia="SimSun" w:hAnsi="SimSun" w:cs="SimSun"/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月份产业链冲量。此外，由于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2023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年</w:t>
      </w:r>
      <w:r>
        <w:rPr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Q1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产业链排产处在较高水平导致去年全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年产业链处在清库存和价格战问题，因此企业对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1-2</w:t>
      </w:r>
      <w:r>
        <w:rPr>
          <w:rFonts w:ascii="SimSun" w:eastAsia="SimSun" w:hAnsi="SimSun" w:cs="SimSun"/>
          <w:spacing w:val="-2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5"/>
          <w:sz w:val="19"/>
          <w:szCs w:val="19"/>
        </w:rPr>
        <w:t>份排产更为谨慎。随着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春节假期影响结束，叠加产业链补库，</w:t>
      </w:r>
      <w:r>
        <w:rPr>
          <w:rFonts w:ascii="SimSun" w:eastAsia="SimSun" w:hAnsi="SimSun" w:cs="SimSun"/>
          <w:spacing w:val="8"/>
          <w:sz w:val="19"/>
          <w:szCs w:val="19"/>
        </w:rPr>
        <w:t>3</w:t>
      </w:r>
      <w:r>
        <w:rPr>
          <w:rFonts w:ascii="SimSun" w:eastAsia="SimSun" w:hAnsi="SimSun" w:cs="SimSun"/>
          <w:spacing w:val="-1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月排产有望恢复。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62" w:line="220" w:lineRule="auto"/>
        <w:ind w:left="3531"/>
        <w:rPr>
          <w:sz w:val="19"/>
          <w:szCs w:val="19"/>
        </w:rPr>
      </w:pP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环保整顿致周中碳酸锂期货大涨，后期重点关注行业补库节奏及澳矿生产情况</w:t>
      </w:r>
    </w:p>
    <w:p>
      <w:pPr>
        <w:pStyle w:val="BodyText"/>
        <w:spacing w:before="84" w:line="293" w:lineRule="auto"/>
        <w:ind w:left="3127" w:firstLine="423"/>
        <w:jc w:val="both"/>
        <w:rPr>
          <w:sz w:val="19"/>
          <w:szCs w:val="19"/>
        </w:rPr>
      </w:pPr>
      <w:r>
        <w:rPr>
          <w:spacing w:val="5"/>
          <w:sz w:val="19"/>
          <w:szCs w:val="19"/>
        </w:rPr>
        <w:t>电池级碳酸锂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2</w:t>
      </w:r>
      <w:r>
        <w:rPr>
          <w:rFonts w:ascii="SimSun" w:eastAsia="SimSun" w:hAnsi="SimSun" w:cs="SimSun"/>
          <w:spacing w:val="-2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23 </w:t>
      </w:r>
      <w:r>
        <w:rPr>
          <w:spacing w:val="5"/>
          <w:sz w:val="19"/>
          <w:szCs w:val="19"/>
        </w:rPr>
        <w:t>日均价</w:t>
      </w:r>
      <w:r>
        <w:rPr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9.75</w:t>
      </w:r>
      <w:r>
        <w:rPr>
          <w:rFonts w:ascii="SimSun" w:eastAsia="SimSun" w:hAnsi="SimSun" w:cs="SimSun"/>
          <w:spacing w:val="-2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万元</w:t>
      </w:r>
      <w:r>
        <w:rPr>
          <w:rFonts w:ascii="SimSun" w:eastAsia="SimSun" w:hAnsi="SimSun" w:cs="SimSun"/>
          <w:spacing w:val="5"/>
          <w:sz w:val="19"/>
          <w:szCs w:val="19"/>
        </w:rPr>
        <w:t>/</w:t>
      </w:r>
      <w:r>
        <w:rPr>
          <w:spacing w:val="4"/>
          <w:sz w:val="19"/>
          <w:szCs w:val="19"/>
        </w:rPr>
        <w:t>吨，较两周前下跌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0.6%</w:t>
      </w:r>
      <w:r>
        <w:rPr>
          <w:spacing w:val="4"/>
          <w:sz w:val="19"/>
          <w:szCs w:val="19"/>
        </w:rPr>
        <w:t>；</w:t>
      </w:r>
      <w:r>
        <w:rPr>
          <w:spacing w:val="-42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电池级氢氧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化锂</w:t>
      </w:r>
      <w:r>
        <w:rPr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</w:t>
      </w:r>
      <w:r>
        <w:rPr>
          <w:rFonts w:ascii="SimSun" w:eastAsia="SimSun" w:hAnsi="SimSun" w:cs="SimSun"/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月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23 </w:t>
      </w:r>
      <w:r>
        <w:rPr>
          <w:spacing w:val="7"/>
          <w:sz w:val="19"/>
          <w:szCs w:val="19"/>
        </w:rPr>
        <w:t>日均价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8.3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万元</w:t>
      </w:r>
      <w:r>
        <w:rPr>
          <w:rFonts w:ascii="SimSun" w:eastAsia="SimSun" w:hAnsi="SimSun" w:cs="SimSun"/>
          <w:spacing w:val="7"/>
          <w:sz w:val="19"/>
          <w:szCs w:val="19"/>
        </w:rPr>
        <w:t>/</w:t>
      </w:r>
      <w:r>
        <w:rPr>
          <w:spacing w:val="7"/>
          <w:sz w:val="19"/>
          <w:szCs w:val="19"/>
        </w:rPr>
        <w:t>吨，与两周前持</w:t>
      </w:r>
      <w:r>
        <w:rPr>
          <w:spacing w:val="6"/>
          <w:sz w:val="19"/>
          <w:szCs w:val="19"/>
        </w:rPr>
        <w:t>平。周中碳酸锂期货价格一度出现较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大上涨，主要原因系环保整顿消息面导致，我们认</w:t>
      </w:r>
      <w:r>
        <w:rPr>
          <w:spacing w:val="10"/>
          <w:sz w:val="19"/>
          <w:szCs w:val="19"/>
        </w:rPr>
        <w:t>为环保方面对碳酸锂价格影响较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小，后期还应重点关注下游补库节奏以及澳矿生产</w:t>
      </w:r>
      <w:r>
        <w:rPr>
          <w:spacing w:val="10"/>
          <w:sz w:val="19"/>
          <w:szCs w:val="19"/>
        </w:rPr>
        <w:t>情况。从成本看，海外锂矿价格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已经稳定了近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</w:t>
      </w:r>
      <w:r>
        <w:rPr>
          <w:rFonts w:ascii="SimSun" w:eastAsia="SimSun" w:hAnsi="SimSun" w:cs="SimSun"/>
          <w:spacing w:val="-3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个月，</w:t>
      </w:r>
      <w:r>
        <w:rPr>
          <w:spacing w:val="-4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目前澳洲</w:t>
      </w:r>
      <w:r>
        <w:rPr>
          <w:spacing w:val="-3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6.0%</w:t>
      </w:r>
      <w:r>
        <w:rPr>
          <w:spacing w:val="6"/>
          <w:sz w:val="19"/>
          <w:szCs w:val="19"/>
        </w:rPr>
        <w:t>锂精矿对</w:t>
      </w:r>
      <w:r>
        <w:rPr>
          <w:spacing w:val="5"/>
          <w:sz w:val="19"/>
          <w:szCs w:val="19"/>
        </w:rPr>
        <w:t>中国报价仍在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850-900</w:t>
      </w:r>
      <w:r>
        <w:rPr>
          <w:rFonts w:ascii="SimSun" w:eastAsia="SimSun" w:hAnsi="SimSun" w:cs="SimSun"/>
          <w:spacing w:val="-3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美元（</w:t>
      </w:r>
      <w:r>
        <w:rPr>
          <w:rFonts w:ascii="SimSun" w:eastAsia="SimSun" w:hAnsi="SimSun" w:cs="SimSun"/>
          <w:sz w:val="19"/>
          <w:szCs w:val="19"/>
        </w:rPr>
        <w:t>FOB</w:t>
      </w:r>
      <w:r>
        <w:rPr>
          <w:spacing w:val="-19"/>
          <w:sz w:val="19"/>
          <w:szCs w:val="19"/>
        </w:rPr>
        <w:t>），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折算到电池级碳酸锂成本约</w:t>
      </w:r>
      <w:r>
        <w:rPr>
          <w:spacing w:val="-3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9.3-9.5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万元，成本支撑力度较强。长期角度来看，碳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酸锂在下行周期，但短期情绪面好转叠加产业内含</w:t>
      </w:r>
      <w:r>
        <w:rPr>
          <w:spacing w:val="10"/>
          <w:sz w:val="19"/>
          <w:szCs w:val="19"/>
        </w:rPr>
        <w:t>锂相关产品库存处于低位，企稳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后产业链含锂产品有补库需求，或放大产业链景气度。</w:t>
      </w:r>
    </w:p>
    <w:p>
      <w:pPr>
        <w:spacing w:line="331" w:lineRule="auto"/>
        <w:rPr>
          <w:rFonts w:ascii="Arial"/>
          <w:sz w:val="21"/>
        </w:rPr>
      </w:pPr>
    </w:p>
    <w:p>
      <w:pPr>
        <w:pStyle w:val="BodyText"/>
        <w:spacing w:before="62" w:line="290" w:lineRule="auto"/>
        <w:ind w:left="3133" w:right="51" w:firstLine="393"/>
        <w:jc w:val="both"/>
        <w:rPr>
          <w:sz w:val="19"/>
          <w:szCs w:val="19"/>
        </w:rPr>
      </w:pP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估值底先于现实底，边际变化值得关注，盈利预期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收敛</w:t>
      </w:r>
      <w:r>
        <w:rPr>
          <w:rFonts w:ascii="SimSun" w:eastAsia="SimSun" w:hAnsi="SimSun" w:cs="SimSun"/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/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淡季不淡或可带来边际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改善。</w:t>
      </w:r>
      <w:r>
        <w:rPr>
          <w:spacing w:val="10"/>
          <w:sz w:val="19"/>
          <w:szCs w:val="19"/>
        </w:rPr>
        <w:t>市场对锂电产业链的担忧，主要体现在需求和盈利能力两方面，下游需求淡</w:t>
      </w:r>
      <w:r>
        <w:rPr>
          <w:spacing w:val="1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季不淡，产业链排产验证含锂材料补库判断，降价情况仍需跟踪，部分稀缺环节降</w:t>
      </w:r>
      <w:r>
        <w:rPr>
          <w:spacing w:val="1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幅有望低于市场预期。估值底先于现实底，考虑到目前估值已经反映了基本面的演</w:t>
      </w:r>
      <w:r>
        <w:rPr>
          <w:spacing w:val="1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进节奏，锂电产业链持仓低位，或可反映盈利预期</w:t>
      </w:r>
      <w:r>
        <w:rPr>
          <w:spacing w:val="7"/>
          <w:sz w:val="19"/>
          <w:szCs w:val="19"/>
        </w:rPr>
        <w:t>收敛</w:t>
      </w:r>
      <w:r>
        <w:rPr>
          <w:rFonts w:ascii="SimSun" w:eastAsia="SimSun" w:hAnsi="SimSun" w:cs="SimSun"/>
          <w:spacing w:val="7"/>
          <w:sz w:val="19"/>
          <w:szCs w:val="19"/>
        </w:rPr>
        <w:t>/</w:t>
      </w:r>
      <w:r>
        <w:rPr>
          <w:spacing w:val="7"/>
          <w:sz w:val="19"/>
          <w:szCs w:val="19"/>
        </w:rPr>
        <w:t>产业链边际变化，建议优先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关注高壁垒的电池、加工费降幅或优于市场预期的高镍正极、</w:t>
      </w:r>
      <w:r>
        <w:rPr>
          <w:spacing w:val="-4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高弹性的锂矿环节。</w:t>
      </w:r>
    </w:p>
    <w:p>
      <w:pPr>
        <w:spacing w:line="329" w:lineRule="auto"/>
        <w:rPr>
          <w:rFonts w:ascii="Arial"/>
          <w:sz w:val="21"/>
        </w:rPr>
      </w:pPr>
    </w:p>
    <w:p>
      <w:pPr>
        <w:pStyle w:val="BodyText"/>
        <w:spacing w:before="63" w:line="293" w:lineRule="auto"/>
        <w:ind w:left="3125" w:right="51" w:firstLine="401"/>
        <w:rPr>
          <w:sz w:val="19"/>
          <w:szCs w:val="19"/>
        </w:rPr>
        <w:sectPr>
          <w:footerReference w:type="default" r:id="rId11"/>
          <w:pgSz w:w="11906" w:h="16839"/>
          <w:pgMar w:top="914" w:right="800" w:bottom="400" w:left="703" w:header="0" w:footer="0" w:gutter="0"/>
          <w:pgNumType w:start="4"/>
          <w:cols w:num="1" w:space="708" w:equalWidth="0">
            <w:col w:w="10403" w:space="0"/>
          </w:cols>
        </w:sectPr>
      </w:pPr>
      <w:r>
        <w:rPr>
          <w:spacing w:val="11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新技术：全球首条固态电池产线投产，复合铜</w:t>
      </w: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箔首条行业标准即将落地。</w:t>
      </w:r>
      <w:r>
        <w:rPr>
          <w:spacing w:val="10"/>
          <w:sz w:val="19"/>
          <w:szCs w:val="19"/>
        </w:rPr>
        <w:t>辉能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科技近日正式启用其首条固态电池生产线，该生产线采用大型锂陶瓷电池（</w:t>
      </w:r>
      <w:r>
        <w:rPr>
          <w:rFonts w:ascii="SimSun" w:eastAsia="SimSun" w:hAnsi="SimSun" w:cs="SimSun"/>
          <w:sz w:val="19"/>
          <w:szCs w:val="19"/>
        </w:rPr>
        <w:t>LLCB</w:t>
      </w:r>
      <w:r>
        <w:rPr>
          <w:spacing w:val="11"/>
          <w:sz w:val="19"/>
          <w:szCs w:val="19"/>
        </w:rPr>
        <w:t>）</w:t>
      </w:r>
      <w:r>
        <w:rPr>
          <w:spacing w:val="5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技术，在满电状态下能提供超过</w:t>
      </w:r>
      <w:r>
        <w:rPr>
          <w:spacing w:val="-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1000</w:t>
      </w:r>
      <w:r>
        <w:rPr>
          <w:rFonts w:ascii="SimSun" w:eastAsia="SimSun" w:hAnsi="SimSun" w:cs="SimSun"/>
          <w:spacing w:val="-41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公里的续航里程，</w:t>
      </w:r>
      <w:r>
        <w:rPr>
          <w:spacing w:val="-53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同时充电</w:t>
      </w:r>
      <w:r>
        <w:rPr>
          <w:spacing w:val="10"/>
          <w:sz w:val="19"/>
          <w:szCs w:val="19"/>
        </w:rPr>
        <w:t>性能卓越，仅需</w:t>
      </w:r>
      <w:r>
        <w:rPr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12</w:t>
      </w:r>
      <w:r>
        <w:rPr>
          <w:rFonts w:ascii="SimSun" w:eastAsia="SimSun" w:hAnsi="SimSun" w:cs="SimSun"/>
          <w:spacing w:val="-2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分钟就能充至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80%</w:t>
      </w:r>
      <w:r>
        <w:rPr>
          <w:spacing w:val="8"/>
          <w:sz w:val="19"/>
          <w:szCs w:val="19"/>
        </w:rPr>
        <w:t>的电量。</w:t>
      </w:r>
      <w:r>
        <w:rPr>
          <w:spacing w:val="-5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除了续航和充电速度的优势，该固态电池的充放电循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环寿命也超过了</w:t>
      </w:r>
      <w:r>
        <w:rPr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1000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次，显示出其出色的耐用性，即使在</w:t>
      </w:r>
      <w:r>
        <w:rPr>
          <w:rFonts w:ascii="SimSun" w:eastAsia="SimSun" w:hAnsi="SimSun" w:cs="SimSun"/>
          <w:spacing w:val="9"/>
          <w:sz w:val="19"/>
          <w:szCs w:val="19"/>
        </w:rPr>
        <w:t>-3</w:t>
      </w:r>
      <w:r>
        <w:rPr>
          <w:rFonts w:ascii="SimSun" w:eastAsia="SimSun" w:hAnsi="SimSun" w:cs="SimSun"/>
          <w:spacing w:val="8"/>
          <w:sz w:val="19"/>
          <w:szCs w:val="19"/>
        </w:rPr>
        <w:t>0</w:t>
      </w:r>
      <w:r>
        <w:rPr>
          <w:spacing w:val="8"/>
          <w:sz w:val="19"/>
          <w:szCs w:val="19"/>
        </w:rPr>
        <w:t>℃的低温环境仍能保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持出色的续航性能。辉能科技已将固态电池样品送交给</w:t>
      </w:r>
      <w:r>
        <w:rPr>
          <w:spacing w:val="10"/>
          <w:sz w:val="19"/>
          <w:szCs w:val="19"/>
        </w:rPr>
        <w:t>多家汽车制造商进行测试和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开发，有望为固态电池行业商用化带来新突破，或将提振固态电池板块情绪。</w:t>
      </w:r>
      <w:r>
        <w:rPr>
          <w:spacing w:val="-3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中国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合成树脂协会高功能薄膜分会发布通知，计划于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3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25 </w:t>
      </w:r>
      <w:r>
        <w:rPr>
          <w:spacing w:val="5"/>
          <w:sz w:val="19"/>
          <w:szCs w:val="19"/>
        </w:rPr>
        <w:t>日下午制定《锂离子电池用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9" w:lineRule="exact"/>
      </w:pPr>
      <w:r>
        <w:drawing>
          <wp:inline distT="0" distB="0" distL="0" distR="0">
            <wp:extent cx="6588252" cy="1828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825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exact"/>
      </w:pPr>
    </w:p>
    <w:p>
      <w:pPr>
        <w:spacing w:line="14" w:lineRule="exact"/>
        <w:sectPr>
          <w:footerReference w:type="default" r:id="rId13"/>
          <w:type w:val="nextPage"/>
          <w:pgSz w:w="11906" w:h="16839"/>
          <w:pgMar w:top="914" w:right="800" w:bottom="400" w:left="703" w:header="0" w:footer="0" w:gutter="0"/>
          <w:pgNumType w:start="5"/>
          <w:cols w:num="1" w:space="708" w:equalWidth="0">
            <w:col w:w="10403" w:space="0"/>
          </w:cols>
          <w:titlePg w:val="0"/>
        </w:sectPr>
      </w:pPr>
    </w:p>
    <w:p>
      <w:pPr>
        <w:pStyle w:val="BodyText"/>
        <w:spacing w:before="80" w:line="215" w:lineRule="auto"/>
        <w:ind w:left="16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45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position w:val="1"/>
          <w:sz w:val="18"/>
          <w:szCs w:val="18"/>
        </w:rPr>
        <w:t>2 /</w:t>
      </w:r>
      <w:r>
        <w:rPr>
          <w:rFonts w:ascii="Arial" w:eastAsia="Arial" w:hAnsi="Arial" w:cs="Arial"/>
          <w:spacing w:val="8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14"/>
          <w:type w:val="continuous"/>
          <w:pgSz w:w="11906" w:h="16839"/>
          <w:pgMar w:top="914" w:right="800" w:bottom="400" w:left="703" w:header="0" w:footer="0" w:gutter="0"/>
          <w:pgNumType w:start="6"/>
          <w:cols w:num="3" w:space="708" w:equalWidth="0">
            <w:col w:w="4802" w:space="100"/>
            <w:col w:w="4126" w:space="100"/>
            <w:col w:w="1276" w:space="0"/>
          </w:cols>
        </w:sectPr>
      </w:pPr>
    </w:p>
    <w:p>
      <w:pPr>
        <w:pStyle w:val="BodyText"/>
        <w:spacing w:before="48" w:line="221" w:lineRule="auto"/>
        <w:ind w:left="9194"/>
        <w:rPr>
          <w:sz w:val="24"/>
          <w:szCs w:val="24"/>
        </w:rPr>
      </w:pPr>
      <w:r>
        <w:pict>
          <v:shape id="_x0000_s1028" style="width:420.65pt;height:0.6pt;margin-top:63pt;margin-left:121.8pt;mso-position-horizontal-relative:page;mso-position-vertical-relative:page;position:absolute;z-index:251663360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62336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2" w:line="277" w:lineRule="auto"/>
        <w:ind w:left="3132" w:right="67" w:firstLine="4"/>
        <w:jc w:val="both"/>
        <w:rPr>
          <w:sz w:val="19"/>
          <w:szCs w:val="19"/>
        </w:rPr>
      </w:pPr>
      <w:r>
        <w:rPr>
          <w:spacing w:val="9"/>
          <w:sz w:val="19"/>
          <w:szCs w:val="19"/>
        </w:rPr>
        <w:t>复合铜箔》</w:t>
      </w:r>
      <w:r>
        <w:rPr>
          <w:spacing w:val="-4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团体标准暨召开复合铜箔科技攻关小组第二次工作会议。我们认为，此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为业内首个集流体行业标准，复合集流体产业化进程再加速，建议关注确定性强的</w:t>
      </w:r>
      <w:r>
        <w:rPr>
          <w:spacing w:val="17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上游设备和膜材环节。</w:t>
      </w: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91" w:line="210" w:lineRule="auto"/>
        <w:ind w:left="3128"/>
        <w:outlineLvl w:val="1"/>
        <w:rPr>
          <w:sz w:val="28"/>
          <w:szCs w:val="28"/>
        </w:rPr>
      </w:pPr>
      <w:r>
        <w:rPr>
          <w:color w:val="002060"/>
          <w:spacing w:val="-1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储能：多指标预示国内储能有望高增，关注</w:t>
      </w:r>
      <w:r>
        <w:rPr>
          <w:color w:val="002060"/>
          <w:spacing w:val="-30"/>
          <w:sz w:val="28"/>
          <w:szCs w:val="28"/>
        </w:rPr>
        <w:t xml:space="preserve"> </w:t>
      </w:r>
      <w:r>
        <w:rPr>
          <w:rFonts w:ascii="Arial" w:eastAsia="Arial" w:hAnsi="Arial" w:cs="Arial"/>
          <w:b/>
          <w:bCs/>
          <w:color w:val="002060"/>
          <w:spacing w:val="-1"/>
          <w:sz w:val="28"/>
          <w:szCs w:val="28"/>
        </w:rPr>
        <w:t xml:space="preserve">PCS </w:t>
      </w:r>
      <w:r>
        <w:rPr>
          <w:color w:val="002060"/>
          <w:spacing w:val="-1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及液冷环</w:t>
      </w:r>
    </w:p>
    <w:p>
      <w:pPr>
        <w:pStyle w:val="BodyText"/>
        <w:spacing w:line="216" w:lineRule="auto"/>
        <w:ind w:left="3145"/>
        <w:rPr>
          <w:sz w:val="28"/>
          <w:szCs w:val="28"/>
        </w:rPr>
      </w:pPr>
      <w:r>
        <w:rPr>
          <w:color w:val="002060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节</w:t>
      </w:r>
    </w:p>
    <w:p>
      <w:pPr>
        <w:pStyle w:val="BodyText"/>
        <w:spacing w:before="133" w:line="278" w:lineRule="auto"/>
        <w:ind w:left="3130" w:right="67" w:firstLine="424"/>
        <w:rPr>
          <w:sz w:val="19"/>
          <w:szCs w:val="19"/>
        </w:rPr>
      </w:pP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招标：整体招标规模近</w:t>
      </w:r>
      <w:r>
        <w:rPr>
          <w:spacing w:val="-18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130</w:t>
      </w:r>
      <w:r>
        <w:rPr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GWh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，奠定</w:t>
      </w:r>
      <w:r>
        <w:rPr>
          <w:spacing w:val="-38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24</w:t>
      </w:r>
      <w:r>
        <w:rPr>
          <w:spacing w:val="-35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年高增基础。</w:t>
      </w:r>
      <w:r>
        <w:rPr>
          <w:spacing w:val="9"/>
          <w:sz w:val="19"/>
          <w:szCs w:val="19"/>
        </w:rPr>
        <w:t>根据寻熵研究院统计，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2023</w:t>
      </w:r>
      <w:r>
        <w:rPr>
          <w:spacing w:val="-37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年中国储能市场共计完成了</w:t>
      </w:r>
      <w:r>
        <w:rPr>
          <w:spacing w:val="-3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686</w:t>
      </w:r>
      <w:r>
        <w:rPr>
          <w:spacing w:val="-3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次储能采招</w:t>
      </w:r>
      <w:r>
        <w:rPr>
          <w:spacing w:val="7"/>
          <w:sz w:val="19"/>
          <w:szCs w:val="19"/>
        </w:rPr>
        <w:t>工作，公开信息可追踪到的总采招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订单规模为</w:t>
      </w:r>
      <w:r>
        <w:rPr>
          <w:spacing w:val="-2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129.6</w:t>
      </w:r>
      <w:r>
        <w:rPr>
          <w:sz w:val="19"/>
          <w:szCs w:val="19"/>
        </w:rPr>
        <w:t>GWh</w:t>
      </w:r>
      <w:r>
        <w:rPr>
          <w:spacing w:val="9"/>
          <w:sz w:val="19"/>
          <w:szCs w:val="19"/>
        </w:rPr>
        <w:t>。剔除多次招标项目后，则对应的实际储能系</w:t>
      </w:r>
      <w:r>
        <w:rPr>
          <w:spacing w:val="8"/>
          <w:sz w:val="19"/>
          <w:szCs w:val="19"/>
        </w:rPr>
        <w:t>统需求为</w:t>
      </w:r>
    </w:p>
    <w:p>
      <w:pPr>
        <w:pStyle w:val="BodyText"/>
        <w:spacing w:before="77" w:line="278" w:lineRule="auto"/>
        <w:ind w:left="3140" w:right="67" w:hanging="13"/>
        <w:rPr>
          <w:sz w:val="19"/>
          <w:szCs w:val="19"/>
        </w:rPr>
      </w:pPr>
      <w:r>
        <w:rPr>
          <w:spacing w:val="7"/>
          <w:sz w:val="19"/>
          <w:szCs w:val="19"/>
        </w:rPr>
        <w:t>48.2</w:t>
      </w:r>
      <w:r>
        <w:rPr>
          <w:sz w:val="19"/>
          <w:szCs w:val="19"/>
        </w:rPr>
        <w:t>GW</w:t>
      </w:r>
      <w:r>
        <w:rPr>
          <w:spacing w:val="7"/>
          <w:sz w:val="19"/>
          <w:szCs w:val="19"/>
        </w:rPr>
        <w:t>/118.5</w:t>
      </w:r>
      <w:r>
        <w:rPr>
          <w:sz w:val="19"/>
          <w:szCs w:val="19"/>
        </w:rPr>
        <w:t>GWh</w:t>
      </w:r>
      <w:r>
        <w:rPr>
          <w:spacing w:val="7"/>
          <w:sz w:val="19"/>
          <w:szCs w:val="19"/>
        </w:rPr>
        <w:t>。与</w:t>
      </w:r>
      <w:r>
        <w:rPr>
          <w:spacing w:val="-3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2022</w:t>
      </w:r>
      <w:r>
        <w:rPr>
          <w:spacing w:val="-3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年全年</w:t>
      </w:r>
      <w:r>
        <w:rPr>
          <w:spacing w:val="-42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44</w:t>
      </w:r>
      <w:r>
        <w:rPr>
          <w:sz w:val="19"/>
          <w:szCs w:val="19"/>
        </w:rPr>
        <w:t>GWh</w:t>
      </w:r>
      <w:r>
        <w:rPr>
          <w:spacing w:val="-2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的储能系统需求相比</w:t>
      </w:r>
      <w:r>
        <w:rPr>
          <w:spacing w:val="6"/>
          <w:sz w:val="19"/>
          <w:szCs w:val="19"/>
        </w:rPr>
        <w:t>，2023</w:t>
      </w:r>
      <w:r>
        <w:rPr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年的储能系统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需求量增加了近</w:t>
      </w:r>
      <w:r>
        <w:rPr>
          <w:spacing w:val="-3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2</w:t>
      </w:r>
      <w:r>
        <w:rPr>
          <w:spacing w:val="-42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倍。</w:t>
      </w:r>
      <w:r>
        <w:rPr>
          <w:spacing w:val="-5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国内储能以表前大项目为主，多通过招标方式来提</w:t>
      </w:r>
      <w:r>
        <w:rPr>
          <w:spacing w:val="7"/>
          <w:sz w:val="19"/>
          <w:szCs w:val="19"/>
        </w:rPr>
        <w:t>前确认需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求，23</w:t>
      </w:r>
      <w:r>
        <w:rPr>
          <w:spacing w:val="-2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年招标规模高增，奠定了</w:t>
      </w:r>
      <w:r>
        <w:rPr>
          <w:spacing w:val="-3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24</w:t>
      </w:r>
      <w:r>
        <w:rPr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年交付基础。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63" w:line="292" w:lineRule="auto"/>
        <w:ind w:left="3128" w:right="67" w:firstLine="427"/>
        <w:rPr>
          <w:sz w:val="19"/>
          <w:szCs w:val="19"/>
        </w:rPr>
      </w:pP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配储时长：市场化项目带动，4h</w:t>
      </w:r>
      <w:r>
        <w:rPr>
          <w:spacing w:val="7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系统占比提升至</w:t>
      </w:r>
      <w:r>
        <w:rPr>
          <w:spacing w:val="-21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26%。</w:t>
      </w:r>
      <w:r>
        <w:rPr>
          <w:spacing w:val="7"/>
          <w:sz w:val="19"/>
          <w:szCs w:val="19"/>
        </w:rPr>
        <w:t>根据寻熵研究院统计，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在各类储能系统技术中，磷酸铁锂储能系统的采招需求占比达到</w:t>
      </w:r>
      <w:r>
        <w:rPr>
          <w:spacing w:val="-3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93%，是行业推广</w:t>
      </w:r>
      <w:r>
        <w:rPr>
          <w:spacing w:val="9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的主流。此外，铅炭电池招标</w:t>
      </w:r>
      <w:r>
        <w:rPr>
          <w:spacing w:val="-41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4.8</w:t>
      </w:r>
      <w:r>
        <w:rPr>
          <w:sz w:val="19"/>
          <w:szCs w:val="19"/>
        </w:rPr>
        <w:t>GWh</w:t>
      </w:r>
      <w:r>
        <w:rPr>
          <w:spacing w:val="9"/>
          <w:sz w:val="19"/>
          <w:szCs w:val="19"/>
        </w:rPr>
        <w:t>，主要系国电投在浙江等地推动的铅炭电池用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户侧项目，铅炭电池单价/循环次数低，安全性高，在非两峰</w:t>
      </w:r>
      <w:r>
        <w:rPr>
          <w:spacing w:val="7"/>
          <w:sz w:val="19"/>
          <w:szCs w:val="19"/>
        </w:rPr>
        <w:t>电价区域优势明显。从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配储时长看，</w:t>
      </w:r>
      <w:r>
        <w:rPr>
          <w:spacing w:val="5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2</w:t>
      </w:r>
      <w:r>
        <w:rPr>
          <w:spacing w:val="-3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小时储能系统占比</w:t>
      </w:r>
      <w:r>
        <w:rPr>
          <w:spacing w:val="-42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55%，4</w:t>
      </w:r>
      <w:r>
        <w:rPr>
          <w:spacing w:val="-2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小时储能系统快速提升达到了</w:t>
      </w:r>
      <w:r>
        <w:rPr>
          <w:spacing w:val="-3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26%，主要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受市场化项目提振。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62" w:line="288" w:lineRule="auto"/>
        <w:ind w:left="3138" w:firstLine="412"/>
        <w:jc w:val="both"/>
        <w:rPr>
          <w:sz w:val="19"/>
          <w:szCs w:val="19"/>
        </w:rPr>
      </w:pP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规划：各地规划储能超</w:t>
      </w:r>
      <w:r>
        <w:rPr>
          <w:spacing w:val="-37"/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80</w:t>
      </w:r>
      <w:r>
        <w:rPr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GW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，山西、内蒙古、青海规划规模最大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7"/>
          <w:sz w:val="19"/>
          <w:szCs w:val="19"/>
        </w:rPr>
        <w:t>根据储能与</w:t>
      </w:r>
      <w:r>
        <w:rPr>
          <w:spacing w:val="7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电力市场、寻熵研究院的储能政策库显示，截至</w:t>
      </w:r>
      <w:r>
        <w:rPr>
          <w:spacing w:val="-4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2023</w:t>
      </w:r>
      <w:r>
        <w:rPr>
          <w:spacing w:val="-3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年底，中国</w:t>
      </w:r>
      <w:r>
        <w:rPr>
          <w:spacing w:val="-3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24</w:t>
      </w:r>
      <w:r>
        <w:rPr>
          <w:spacing w:val="-3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个省/市/自治</w:t>
      </w:r>
      <w:r>
        <w:rPr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区公布了储能发展目标，到</w:t>
      </w:r>
      <w:r>
        <w:rPr>
          <w:spacing w:val="-3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2025</w:t>
      </w:r>
      <w:r>
        <w:rPr>
          <w:spacing w:val="-3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年将累计实现储能装机规模</w:t>
      </w:r>
      <w:r>
        <w:rPr>
          <w:spacing w:val="-42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82.3</w:t>
      </w:r>
      <w:r>
        <w:rPr>
          <w:sz w:val="19"/>
          <w:szCs w:val="19"/>
        </w:rPr>
        <w:t>GW</w:t>
      </w:r>
      <w:r>
        <w:rPr>
          <w:spacing w:val="7"/>
          <w:sz w:val="19"/>
          <w:szCs w:val="19"/>
        </w:rPr>
        <w:t>。</w:t>
      </w:r>
      <w:r>
        <w:rPr>
          <w:spacing w:val="6"/>
          <w:sz w:val="19"/>
          <w:szCs w:val="19"/>
        </w:rPr>
        <w:t>其中，山西、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内蒙古、青海规划规模最大，2025</w:t>
      </w:r>
      <w:r>
        <w:rPr>
          <w:spacing w:val="-3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年将分别实现</w:t>
      </w:r>
      <w:r>
        <w:rPr>
          <w:spacing w:val="-2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10</w:t>
      </w:r>
      <w:r>
        <w:rPr>
          <w:sz w:val="19"/>
          <w:szCs w:val="19"/>
        </w:rPr>
        <w:t>GW</w:t>
      </w:r>
      <w:r>
        <w:rPr>
          <w:spacing w:val="7"/>
          <w:sz w:val="19"/>
          <w:szCs w:val="19"/>
        </w:rPr>
        <w:t>、9</w:t>
      </w:r>
      <w:r>
        <w:rPr>
          <w:sz w:val="19"/>
          <w:szCs w:val="19"/>
        </w:rPr>
        <w:t>GW</w:t>
      </w:r>
      <w:r>
        <w:rPr>
          <w:spacing w:val="7"/>
          <w:sz w:val="19"/>
          <w:szCs w:val="19"/>
        </w:rPr>
        <w:t>、9</w:t>
      </w:r>
      <w:r>
        <w:rPr>
          <w:sz w:val="19"/>
          <w:szCs w:val="19"/>
        </w:rPr>
        <w:t>GW</w:t>
      </w:r>
      <w:r>
        <w:rPr>
          <w:spacing w:val="-2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的装机规模。</w:t>
      </w:r>
      <w:r>
        <w:rPr>
          <w:spacing w:val="6"/>
          <w:sz w:val="19"/>
          <w:szCs w:val="19"/>
        </w:rPr>
        <w:t>另</w:t>
      </w:r>
      <w:r>
        <w:rPr>
          <w:spacing w:val="6"/>
          <w:sz w:val="19"/>
          <w:szCs w:val="19"/>
        </w:rPr>
        <w:t xml:space="preserve">  </w:t>
      </w:r>
      <w:r>
        <w:rPr>
          <w:spacing w:val="8"/>
          <w:sz w:val="19"/>
          <w:szCs w:val="19"/>
        </w:rPr>
        <w:t>外，甘肃、宁夏、河南、山东</w:t>
      </w:r>
      <w:r>
        <w:rPr>
          <w:spacing w:val="-3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2025</w:t>
      </w:r>
      <w:r>
        <w:rPr>
          <w:spacing w:val="-3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年规划装机规模也均达到了</w:t>
      </w:r>
      <w:r>
        <w:rPr>
          <w:spacing w:val="-4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5</w:t>
      </w:r>
      <w:r>
        <w:rPr>
          <w:sz w:val="19"/>
          <w:szCs w:val="19"/>
        </w:rPr>
        <w:t>GW</w:t>
      </w:r>
      <w:r>
        <w:rPr>
          <w:spacing w:val="-3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及以上。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6" w:lineRule="auto"/>
        <w:rPr>
          <w:rFonts w:ascii="Arial"/>
          <w:sz w:val="21"/>
        </w:rPr>
      </w:pPr>
    </w:p>
    <w:p>
      <w:pPr>
        <w:pStyle w:val="BodyText"/>
        <w:spacing w:before="62" w:line="292" w:lineRule="auto"/>
        <w:ind w:left="3133" w:right="93" w:firstLine="435"/>
        <w:rPr>
          <w:sz w:val="19"/>
          <w:szCs w:val="19"/>
        </w:rPr>
      </w:pP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大储高增态势明确，关注</w:t>
      </w:r>
      <w:r>
        <w:rPr>
          <w:spacing w:val="9"/>
          <w:sz w:val="19"/>
          <w:szCs w:val="19"/>
        </w:rPr>
        <w:t xml:space="preserve"> </w:t>
      </w:r>
      <w:r>
        <w:rPr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PCS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、变压器及温控环节。</w:t>
      </w:r>
      <w:r>
        <w:rPr>
          <w:spacing w:val="9"/>
          <w:sz w:val="19"/>
          <w:szCs w:val="19"/>
        </w:rPr>
        <w:t>展望</w:t>
      </w:r>
      <w:r>
        <w:rPr>
          <w:spacing w:val="-30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2024</w:t>
      </w:r>
      <w:r>
        <w:rPr>
          <w:spacing w:val="9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年，保障性并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网项目竞争性配置+市场化并网占比提升+部分存量项目开始要求配储，均将带动国</w:t>
      </w:r>
      <w:r>
        <w:rPr>
          <w:spacing w:val="1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内储能配置比例提升，支撑国内储能规模高增。</w:t>
      </w:r>
      <w:r>
        <w:rPr>
          <w:sz w:val="19"/>
          <w:szCs w:val="19"/>
        </w:rPr>
        <w:t>PCS</w:t>
      </w:r>
      <w:r>
        <w:rPr>
          <w:spacing w:val="10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环节价格基本维持稳定</w:t>
      </w:r>
      <w:r>
        <w:rPr>
          <w:spacing w:val="9"/>
          <w:sz w:val="19"/>
          <w:szCs w:val="19"/>
        </w:rPr>
        <w:t>，量增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有望带动规模效应提升，集中式大项目有望带动液冷占比进</w:t>
      </w:r>
      <w:r>
        <w:rPr>
          <w:spacing w:val="9"/>
          <w:sz w:val="19"/>
          <w:szCs w:val="19"/>
        </w:rPr>
        <w:t>一步提升。美国有望进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入降息通道，叠加并网政策缓解，</w:t>
      </w:r>
      <w:r>
        <w:rPr>
          <w:spacing w:val="-49"/>
          <w:sz w:val="19"/>
          <w:szCs w:val="19"/>
        </w:rPr>
        <w:t xml:space="preserve"> </w:t>
      </w:r>
      <w:r>
        <w:rPr>
          <w:sz w:val="19"/>
          <w:szCs w:val="19"/>
        </w:rPr>
        <w:t>ITC</w:t>
      </w:r>
      <w:r>
        <w:rPr>
          <w:spacing w:val="9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政策带动，延后项目已经落地，关注</w:t>
      </w:r>
      <w:r>
        <w:rPr>
          <w:spacing w:val="8"/>
          <w:sz w:val="19"/>
          <w:szCs w:val="19"/>
        </w:rPr>
        <w:t xml:space="preserve"> </w:t>
      </w:r>
      <w:r>
        <w:rPr>
          <w:sz w:val="19"/>
          <w:szCs w:val="19"/>
        </w:rPr>
        <w:t>PCS</w:t>
      </w:r>
      <w:r>
        <w:rPr>
          <w:spacing w:val="8"/>
          <w:sz w:val="19"/>
          <w:szCs w:val="19"/>
        </w:rPr>
        <w:t>、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变压器及温控环节。</w:t>
      </w:r>
    </w:p>
    <w:p>
      <w:pPr>
        <w:spacing w:line="350" w:lineRule="auto"/>
        <w:rPr>
          <w:rFonts w:ascii="Arial"/>
          <w:sz w:val="21"/>
        </w:rPr>
      </w:pPr>
    </w:p>
    <w:p>
      <w:pPr>
        <w:pStyle w:val="BodyText"/>
        <w:spacing w:before="92" w:line="212" w:lineRule="auto"/>
        <w:ind w:left="3139"/>
        <w:outlineLvl w:val="1"/>
        <w:rPr>
          <w:sz w:val="28"/>
          <w:szCs w:val="28"/>
        </w:rPr>
      </w:pPr>
      <w:r>
        <w:rPr>
          <w:color w:val="002060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光伏：硅片价格持稳微涨，山东市场化并网开始申报</w:t>
      </w:r>
    </w:p>
    <w:p>
      <w:pPr>
        <w:spacing w:line="387" w:lineRule="auto"/>
        <w:rPr>
          <w:rFonts w:ascii="Arial"/>
          <w:sz w:val="21"/>
        </w:rPr>
      </w:pPr>
    </w:p>
    <w:p>
      <w:pPr>
        <w:pStyle w:val="BodyText"/>
        <w:spacing w:before="63" w:line="220" w:lineRule="auto"/>
        <w:ind w:left="3551"/>
        <w:rPr>
          <w:sz w:val="19"/>
          <w:szCs w:val="19"/>
        </w:rPr>
        <w:sectPr>
          <w:footerReference w:type="default" r:id="rId15"/>
          <w:pgSz w:w="11906" w:h="16839"/>
          <w:pgMar w:top="914" w:right="784" w:bottom="400" w:left="703" w:header="0" w:footer="0" w:gutter="0"/>
          <w:pgNumType w:start="7"/>
          <w:cols w:num="1" w:space="708" w:equalWidth="0">
            <w:col w:w="10419" w:space="0"/>
          </w:cols>
        </w:sectPr>
      </w:pP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硅料价格全线持平，硅片价格持稳微涨</w:t>
      </w:r>
    </w:p>
    <w:p>
      <w:pPr>
        <w:pStyle w:val="BodyText"/>
        <w:spacing w:before="87" w:line="275" w:lineRule="auto"/>
        <w:ind w:left="3133" w:right="67" w:firstLine="426"/>
        <w:jc w:val="both"/>
        <w:rPr>
          <w:sz w:val="19"/>
          <w:szCs w:val="19"/>
        </w:rPr>
      </w:pPr>
      <w:r>
        <w:rPr>
          <w:rFonts w:ascii="SimSun" w:eastAsia="SimSun" w:hAnsi="SimSun" w:cs="SimSun"/>
          <w:spacing w:val="6"/>
          <w:sz w:val="19"/>
          <w:szCs w:val="19"/>
        </w:rPr>
        <w:t>2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21 </w:t>
      </w:r>
      <w:r>
        <w:rPr>
          <w:spacing w:val="6"/>
          <w:sz w:val="19"/>
          <w:szCs w:val="19"/>
        </w:rPr>
        <w:t>日，硅业分会公布了太阳能级多</w:t>
      </w:r>
      <w:r>
        <w:rPr>
          <w:spacing w:val="5"/>
          <w:sz w:val="19"/>
          <w:szCs w:val="19"/>
        </w:rPr>
        <w:t>晶硅价格，总体来看，硅料价格全线持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平。其中，</w:t>
      </w:r>
      <w:r>
        <w:rPr>
          <w:rFonts w:ascii="SimSun" w:eastAsia="SimSun" w:hAnsi="SimSun" w:cs="SimSun"/>
          <w:spacing w:val="9"/>
          <w:sz w:val="19"/>
          <w:szCs w:val="19"/>
        </w:rPr>
        <w:t>N</w:t>
      </w:r>
      <w:r>
        <w:rPr>
          <w:rFonts w:ascii="SimSun" w:eastAsia="SimSun" w:hAnsi="SimSun" w:cs="SimSun"/>
          <w:spacing w:val="-32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型料成交价平均为</w:t>
      </w:r>
      <w:r>
        <w:rPr>
          <w:spacing w:val="-2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7.19</w:t>
      </w:r>
      <w:r>
        <w:rPr>
          <w:rFonts w:ascii="SimSun" w:eastAsia="SimSun" w:hAnsi="SimSun" w:cs="SimSun"/>
          <w:spacing w:val="-26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万元</w:t>
      </w:r>
      <w:r>
        <w:rPr>
          <w:rFonts w:ascii="SimSun" w:eastAsia="SimSun" w:hAnsi="SimSun" w:cs="SimSun"/>
          <w:spacing w:val="9"/>
          <w:sz w:val="19"/>
          <w:szCs w:val="19"/>
        </w:rPr>
        <w:t>/</w:t>
      </w:r>
      <w:r>
        <w:rPr>
          <w:spacing w:val="9"/>
          <w:sz w:val="19"/>
          <w:szCs w:val="19"/>
        </w:rPr>
        <w:t>吨，波动</w:t>
      </w:r>
      <w:r>
        <w:rPr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0.00%</w:t>
      </w:r>
      <w:r>
        <w:rPr>
          <w:spacing w:val="9"/>
          <w:sz w:val="19"/>
          <w:szCs w:val="19"/>
        </w:rPr>
        <w:t>；</w:t>
      </w:r>
      <w:r>
        <w:rPr>
          <w:spacing w:val="-54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复投料成交</w:t>
      </w:r>
      <w:r>
        <w:rPr>
          <w:spacing w:val="8"/>
          <w:sz w:val="19"/>
          <w:szCs w:val="19"/>
        </w:rPr>
        <w:t>价平均为</w:t>
      </w:r>
      <w:r>
        <w:rPr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6.18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万元</w:t>
      </w:r>
      <w:r>
        <w:rPr>
          <w:rFonts w:ascii="SimSun" w:eastAsia="SimSun" w:hAnsi="SimSun" w:cs="SimSun"/>
          <w:spacing w:val="5"/>
          <w:sz w:val="19"/>
          <w:szCs w:val="19"/>
        </w:rPr>
        <w:t>/</w:t>
      </w:r>
      <w:r>
        <w:rPr>
          <w:spacing w:val="5"/>
          <w:sz w:val="19"/>
          <w:szCs w:val="19"/>
        </w:rPr>
        <w:t>吨，波动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0.00%</w:t>
      </w:r>
      <w:r>
        <w:rPr>
          <w:spacing w:val="5"/>
          <w:sz w:val="19"/>
          <w:szCs w:val="19"/>
        </w:rPr>
        <w:t>；单晶致密料成交价平均为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5.93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万元</w:t>
      </w:r>
      <w:r>
        <w:rPr>
          <w:rFonts w:ascii="SimSun" w:eastAsia="SimSun" w:hAnsi="SimSun" w:cs="SimSun"/>
          <w:spacing w:val="5"/>
          <w:sz w:val="19"/>
          <w:szCs w:val="19"/>
        </w:rPr>
        <w:t>/</w:t>
      </w:r>
      <w:r>
        <w:rPr>
          <w:spacing w:val="5"/>
          <w:sz w:val="19"/>
          <w:szCs w:val="19"/>
        </w:rPr>
        <w:t>吨，波</w:t>
      </w:r>
      <w:r>
        <w:rPr>
          <w:spacing w:val="4"/>
          <w:sz w:val="19"/>
          <w:szCs w:val="19"/>
        </w:rPr>
        <w:t>动</w:t>
      </w:r>
      <w:r>
        <w:rPr>
          <w:spacing w:val="-3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0.00%</w:t>
      </w:r>
      <w:r>
        <w:rPr>
          <w:spacing w:val="4"/>
          <w:sz w:val="19"/>
          <w:szCs w:val="19"/>
        </w:rPr>
        <w:t>；</w:t>
      </w:r>
    </w:p>
    <w:p>
      <w:pPr>
        <w:spacing w:before="134" w:line="29" w:lineRule="exact"/>
      </w:pPr>
      <w:r>
        <w:drawing>
          <wp:inline distT="0" distB="0" distL="0" distR="0">
            <wp:extent cx="6588252" cy="18288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825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" w:lineRule="exact"/>
      </w:pPr>
    </w:p>
    <w:p>
      <w:pPr>
        <w:spacing w:line="15" w:lineRule="exact"/>
        <w:sectPr>
          <w:footerReference w:type="default" r:id="rId16"/>
          <w:type w:val="nextPage"/>
          <w:pgSz w:w="11906" w:h="16839"/>
          <w:pgMar w:top="914" w:right="784" w:bottom="400" w:left="703" w:header="0" w:footer="0" w:gutter="0"/>
          <w:pgNumType w:start="8"/>
          <w:cols w:num="1" w:space="708" w:equalWidth="0">
            <w:col w:w="10419" w:space="0"/>
          </w:cols>
          <w:titlePg w:val="0"/>
        </w:sectPr>
      </w:pPr>
    </w:p>
    <w:p>
      <w:pPr>
        <w:pStyle w:val="BodyText"/>
        <w:spacing w:before="80" w:line="215" w:lineRule="auto"/>
        <w:ind w:left="16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246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position w:val="1"/>
          <w:sz w:val="18"/>
          <w:szCs w:val="18"/>
        </w:rPr>
        <w:t>3 /</w:t>
      </w:r>
      <w:r>
        <w:rPr>
          <w:rFonts w:ascii="Arial" w:eastAsia="Arial" w:hAnsi="Arial" w:cs="Arial"/>
          <w:spacing w:val="6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17"/>
          <w:type w:val="continuous"/>
          <w:pgSz w:w="11906" w:h="16839"/>
          <w:pgMar w:top="914" w:right="784" w:bottom="400" w:left="703" w:header="0" w:footer="0" w:gutter="0"/>
          <w:pgNumType w:start="9"/>
          <w:cols w:num="3" w:space="708" w:equalWidth="0">
            <w:col w:w="4804" w:space="100"/>
            <w:col w:w="4123" w:space="100"/>
            <w:col w:w="1293" w:space="0"/>
          </w:cols>
        </w:sectPr>
      </w:pPr>
    </w:p>
    <w:p>
      <w:pPr>
        <w:pStyle w:val="BodyText"/>
        <w:spacing w:before="48" w:line="221" w:lineRule="auto"/>
        <w:ind w:left="9194"/>
        <w:rPr>
          <w:sz w:val="24"/>
          <w:szCs w:val="24"/>
        </w:rPr>
      </w:pPr>
      <w:r>
        <w:pict>
          <v:shape id="_x0000_s1029" style="width:420.65pt;height:0.6pt;margin-top:63pt;margin-left:121.8pt;mso-position-horizontal-relative:page;mso-position-vertical-relative:page;position:absolute;z-index:251665408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rPr>
          <w:rFonts w:ascii="Arial"/>
          <w:sz w:val="21"/>
        </w:rPr>
      </w:pP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2" w:line="294" w:lineRule="auto"/>
        <w:ind w:left="3125" w:right="49" w:firstLine="5"/>
        <w:rPr>
          <w:sz w:val="19"/>
          <w:szCs w:val="19"/>
        </w:rPr>
      </w:pPr>
      <w:r>
        <w:rPr>
          <w:spacing w:val="4"/>
          <w:sz w:val="19"/>
          <w:szCs w:val="19"/>
        </w:rPr>
        <w:t>单晶菜花料成交价平均为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5.53</w:t>
      </w:r>
      <w:r>
        <w:rPr>
          <w:rFonts w:ascii="SimSun" w:eastAsia="SimSun" w:hAnsi="SimSun" w:cs="SimSun"/>
          <w:spacing w:val="-29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万元</w:t>
      </w:r>
      <w:r>
        <w:rPr>
          <w:rFonts w:ascii="SimSun" w:eastAsia="SimSun" w:hAnsi="SimSun" w:cs="SimSun"/>
          <w:spacing w:val="4"/>
          <w:sz w:val="19"/>
          <w:szCs w:val="19"/>
        </w:rPr>
        <w:t>/</w:t>
      </w:r>
      <w:r>
        <w:rPr>
          <w:spacing w:val="4"/>
          <w:sz w:val="19"/>
          <w:szCs w:val="19"/>
        </w:rPr>
        <w:t>吨，波动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0.00%</w:t>
      </w:r>
      <w:r>
        <w:rPr>
          <w:spacing w:val="4"/>
          <w:sz w:val="19"/>
          <w:szCs w:val="19"/>
        </w:rPr>
        <w:t>；</w:t>
      </w:r>
      <w:r>
        <w:rPr>
          <w:rFonts w:ascii="SimSun" w:eastAsia="SimSun" w:hAnsi="SimSun" w:cs="SimSun"/>
          <w:spacing w:val="4"/>
          <w:sz w:val="19"/>
          <w:szCs w:val="19"/>
        </w:rPr>
        <w:t>N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型颗粒料成</w:t>
      </w:r>
      <w:r>
        <w:rPr>
          <w:spacing w:val="3"/>
          <w:sz w:val="19"/>
          <w:szCs w:val="19"/>
        </w:rPr>
        <w:t>交价平均为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3"/>
          <w:sz w:val="19"/>
          <w:szCs w:val="19"/>
        </w:rPr>
        <w:t>6.10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万元</w:t>
      </w:r>
      <w:r>
        <w:rPr>
          <w:rFonts w:ascii="SimSun" w:eastAsia="SimSun" w:hAnsi="SimSun" w:cs="SimSun"/>
          <w:spacing w:val="5"/>
          <w:sz w:val="19"/>
          <w:szCs w:val="19"/>
        </w:rPr>
        <w:t>/</w:t>
      </w:r>
      <w:r>
        <w:rPr>
          <w:spacing w:val="5"/>
          <w:sz w:val="19"/>
          <w:szCs w:val="19"/>
        </w:rPr>
        <w:t>吨，波动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0.00%</w:t>
      </w:r>
      <w:r>
        <w:rPr>
          <w:spacing w:val="5"/>
          <w:sz w:val="19"/>
          <w:szCs w:val="19"/>
        </w:rPr>
        <w:t>。</w:t>
      </w:r>
      <w:r>
        <w:rPr>
          <w:rFonts w:ascii="SimSun" w:eastAsia="SimSun" w:hAnsi="SimSun" w:cs="SimSun"/>
          <w:spacing w:val="5"/>
          <w:sz w:val="19"/>
          <w:szCs w:val="19"/>
        </w:rPr>
        <w:t>2</w:t>
      </w:r>
      <w:r>
        <w:rPr>
          <w:rFonts w:ascii="SimSun" w:eastAsia="SimSun" w:hAnsi="SimSun" w:cs="SimSun"/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22 </w:t>
      </w:r>
      <w:r>
        <w:rPr>
          <w:spacing w:val="5"/>
          <w:sz w:val="19"/>
          <w:szCs w:val="19"/>
        </w:rPr>
        <w:t>日，硅业分会更新硅片价</w:t>
      </w:r>
      <w:r>
        <w:rPr>
          <w:spacing w:val="4"/>
          <w:sz w:val="19"/>
          <w:szCs w:val="19"/>
        </w:rPr>
        <w:t>格，总体来看本周价格持稳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微涨。其中，</w:t>
      </w:r>
      <w:r>
        <w:rPr>
          <w:rFonts w:ascii="SimSun" w:eastAsia="SimSun" w:hAnsi="SimSun" w:cs="SimSun"/>
          <w:spacing w:val="9"/>
          <w:sz w:val="19"/>
          <w:szCs w:val="19"/>
        </w:rPr>
        <w:t>M10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单晶硅片（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182 </w:t>
      </w:r>
      <w:r>
        <w:rPr>
          <w:rFonts w:ascii="SimSun" w:eastAsia="SimSun" w:hAnsi="SimSun" w:cs="SimSun"/>
          <w:sz w:val="19"/>
          <w:szCs w:val="19"/>
        </w:rPr>
        <w:t>mm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/150</w:t>
      </w:r>
      <w:r>
        <w:rPr>
          <w:spacing w:val="9"/>
          <w:sz w:val="19"/>
          <w:szCs w:val="19"/>
        </w:rPr>
        <w:t>μ</w:t>
      </w:r>
      <w:r>
        <w:rPr>
          <w:rFonts w:ascii="SimSun" w:eastAsia="SimSun" w:hAnsi="SimSun" w:cs="SimSun"/>
          <w:spacing w:val="9"/>
          <w:sz w:val="19"/>
          <w:szCs w:val="19"/>
        </w:rPr>
        <w:t>m</w:t>
      </w:r>
      <w:r>
        <w:rPr>
          <w:spacing w:val="9"/>
          <w:sz w:val="19"/>
          <w:szCs w:val="19"/>
        </w:rPr>
        <w:t>）成交均价涨至</w:t>
      </w:r>
      <w:r>
        <w:rPr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2.05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元</w:t>
      </w:r>
      <w:r>
        <w:rPr>
          <w:rFonts w:ascii="SimSun" w:eastAsia="SimSun" w:hAnsi="SimSun" w:cs="SimSun"/>
          <w:spacing w:val="9"/>
          <w:sz w:val="19"/>
          <w:szCs w:val="19"/>
        </w:rPr>
        <w:t>/</w:t>
      </w:r>
      <w:r>
        <w:rPr>
          <w:spacing w:val="9"/>
          <w:sz w:val="19"/>
          <w:szCs w:val="19"/>
        </w:rPr>
        <w:t>片，周环比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上涨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2.5%</w:t>
      </w:r>
      <w:r>
        <w:rPr>
          <w:spacing w:val="8"/>
          <w:sz w:val="19"/>
          <w:szCs w:val="19"/>
        </w:rPr>
        <w:t>；</w:t>
      </w:r>
      <w:r>
        <w:rPr>
          <w:rFonts w:ascii="SimSun" w:eastAsia="SimSun" w:hAnsi="SimSun" w:cs="SimSun"/>
          <w:spacing w:val="8"/>
          <w:sz w:val="19"/>
          <w:szCs w:val="19"/>
        </w:rPr>
        <w:t>N</w:t>
      </w:r>
      <w:r>
        <w:rPr>
          <w:rFonts w:ascii="SimSun" w:eastAsia="SimSun" w:hAnsi="SimSun" w:cs="SimSun"/>
          <w:spacing w:val="-3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型单晶硅片（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182 </w:t>
      </w:r>
      <w:r>
        <w:rPr>
          <w:rFonts w:ascii="SimSun" w:eastAsia="SimSun" w:hAnsi="SimSun" w:cs="SimSun"/>
          <w:sz w:val="19"/>
          <w:szCs w:val="19"/>
        </w:rPr>
        <w:t>mm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/130</w:t>
      </w:r>
      <w:r>
        <w:rPr>
          <w:spacing w:val="8"/>
          <w:sz w:val="19"/>
          <w:szCs w:val="19"/>
        </w:rPr>
        <w:t>μ</w:t>
      </w:r>
      <w:r>
        <w:rPr>
          <w:rFonts w:ascii="SimSun" w:eastAsia="SimSun" w:hAnsi="SimSun" w:cs="SimSun"/>
          <w:spacing w:val="8"/>
          <w:sz w:val="19"/>
          <w:szCs w:val="19"/>
        </w:rPr>
        <w:t>m</w:t>
      </w:r>
      <w:r>
        <w:rPr>
          <w:spacing w:val="8"/>
          <w:sz w:val="19"/>
          <w:szCs w:val="19"/>
        </w:rPr>
        <w:t>）成交均</w:t>
      </w:r>
      <w:r>
        <w:rPr>
          <w:spacing w:val="7"/>
          <w:sz w:val="19"/>
          <w:szCs w:val="19"/>
        </w:rPr>
        <w:t>价稳定在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2.02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元</w:t>
      </w:r>
      <w:r>
        <w:rPr>
          <w:rFonts w:ascii="SimSun" w:eastAsia="SimSun" w:hAnsi="SimSun" w:cs="SimSun"/>
          <w:spacing w:val="7"/>
          <w:sz w:val="19"/>
          <w:szCs w:val="19"/>
        </w:rPr>
        <w:t>/</w:t>
      </w:r>
      <w:r>
        <w:rPr>
          <w:spacing w:val="7"/>
          <w:sz w:val="19"/>
          <w:szCs w:val="19"/>
        </w:rPr>
        <w:t>片，周环比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持平；</w:t>
      </w:r>
      <w:r>
        <w:rPr>
          <w:rFonts w:ascii="SimSun" w:eastAsia="SimSun" w:hAnsi="SimSun" w:cs="SimSun"/>
          <w:spacing w:val="7"/>
          <w:sz w:val="19"/>
          <w:szCs w:val="19"/>
        </w:rPr>
        <w:t>G12</w:t>
      </w:r>
      <w:r>
        <w:rPr>
          <w:rFonts w:ascii="SimSun" w:eastAsia="SimSun" w:hAnsi="SimSun" w:cs="SimSun"/>
          <w:spacing w:val="-3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单晶硅片（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210 </w:t>
      </w:r>
      <w:r>
        <w:rPr>
          <w:rFonts w:ascii="SimSun" w:eastAsia="SimSun" w:hAnsi="SimSun" w:cs="SimSun"/>
          <w:sz w:val="19"/>
          <w:szCs w:val="19"/>
        </w:rPr>
        <w:t>mm</w:t>
      </w:r>
      <w:r>
        <w:rPr>
          <w:rFonts w:ascii="SimSun" w:eastAsia="SimSun" w:hAnsi="SimSun" w:cs="SimSun"/>
          <w:spacing w:val="7"/>
          <w:sz w:val="19"/>
          <w:szCs w:val="19"/>
        </w:rPr>
        <w:t>/150</w:t>
      </w:r>
      <w:r>
        <w:rPr>
          <w:spacing w:val="7"/>
          <w:sz w:val="19"/>
          <w:szCs w:val="19"/>
        </w:rPr>
        <w:t>μ</w:t>
      </w:r>
      <w:r>
        <w:rPr>
          <w:rFonts w:ascii="SimSun" w:eastAsia="SimSun" w:hAnsi="SimSun" w:cs="SimSun"/>
          <w:spacing w:val="7"/>
          <w:sz w:val="19"/>
          <w:szCs w:val="19"/>
        </w:rPr>
        <w:t>m</w:t>
      </w:r>
      <w:r>
        <w:rPr>
          <w:spacing w:val="7"/>
          <w:sz w:val="19"/>
          <w:szCs w:val="19"/>
        </w:rPr>
        <w:t>）成交均价维持在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2.89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元</w:t>
      </w:r>
      <w:r>
        <w:rPr>
          <w:rFonts w:ascii="SimSun" w:eastAsia="SimSun" w:hAnsi="SimSun" w:cs="SimSun"/>
          <w:spacing w:val="7"/>
          <w:sz w:val="19"/>
          <w:szCs w:val="19"/>
        </w:rPr>
        <w:t>/</w:t>
      </w:r>
      <w:r>
        <w:rPr>
          <w:spacing w:val="7"/>
          <w:sz w:val="19"/>
          <w:szCs w:val="19"/>
        </w:rPr>
        <w:t>片，周环比持平。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我们认为这周硅片价格持稳微涨与电池企业因近期备货增加以</w:t>
      </w:r>
      <w:r>
        <w:rPr>
          <w:spacing w:val="6"/>
          <w:sz w:val="19"/>
          <w:szCs w:val="19"/>
        </w:rPr>
        <w:t>及</w:t>
      </w:r>
      <w:r>
        <w:rPr>
          <w:spacing w:val="-5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</w:t>
      </w:r>
      <w:r>
        <w:rPr>
          <w:rFonts w:ascii="SimSun" w:eastAsia="SimSun" w:hAnsi="SimSun" w:cs="SimSun"/>
          <w:spacing w:val="-4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15</w:t>
      </w:r>
      <w:r>
        <w:rPr>
          <w:rFonts w:ascii="SimSun" w:eastAsia="SimSun" w:hAnsi="SimSun" w:cs="SimSun"/>
          <w:spacing w:val="-14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日印度新能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源和可再生能源部关于</w:t>
      </w:r>
      <w:r>
        <w:rPr>
          <w:spacing w:val="-62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“</w:t>
      </w:r>
      <w:r>
        <w:rPr>
          <w:rFonts w:ascii="SimSun" w:eastAsia="SimSun" w:hAnsi="SimSun" w:cs="SimSun"/>
          <w:sz w:val="19"/>
          <w:szCs w:val="19"/>
        </w:rPr>
        <w:t>ALMM</w:t>
      </w:r>
      <w:r>
        <w:rPr>
          <w:spacing w:val="11"/>
          <w:sz w:val="19"/>
          <w:szCs w:val="19"/>
        </w:rPr>
        <w:t>”清单最新政策指令的</w:t>
      </w:r>
      <w:r>
        <w:rPr>
          <w:spacing w:val="10"/>
          <w:sz w:val="19"/>
          <w:szCs w:val="19"/>
        </w:rPr>
        <w:t>发布有关，</w:t>
      </w:r>
      <w:r>
        <w:rPr>
          <w:rFonts w:ascii="SimSun" w:eastAsia="SimSun" w:hAnsi="SimSun" w:cs="SimSun"/>
          <w:spacing w:val="10"/>
          <w:sz w:val="19"/>
          <w:szCs w:val="19"/>
        </w:rPr>
        <w:t>"</w:t>
      </w:r>
      <w:r>
        <w:rPr>
          <w:rFonts w:ascii="SimSun" w:eastAsia="SimSun" w:hAnsi="SimSun" w:cs="SimSun"/>
          <w:sz w:val="19"/>
          <w:szCs w:val="19"/>
        </w:rPr>
        <w:t>ALMM</w:t>
      </w:r>
      <w:r>
        <w:rPr>
          <w:rFonts w:ascii="SimSun" w:eastAsia="SimSun" w:hAnsi="SimSun" w:cs="SimSun"/>
          <w:spacing w:val="10"/>
          <w:sz w:val="19"/>
          <w:szCs w:val="19"/>
        </w:rPr>
        <w:t>"</w:t>
      </w:r>
      <w:r>
        <w:rPr>
          <w:spacing w:val="10"/>
          <w:sz w:val="19"/>
          <w:szCs w:val="19"/>
        </w:rPr>
        <w:t>贸易保护政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策窗口期使得近期光伏产品出口至印度的数量大幅增加</w:t>
      </w:r>
      <w:r>
        <w:rPr>
          <w:spacing w:val="10"/>
          <w:sz w:val="19"/>
          <w:szCs w:val="19"/>
        </w:rPr>
        <w:t>。我们判断，组件端可能在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近期出现价格企稳甚至微涨，以应对潜在的抢装需求增加。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62" w:line="265" w:lineRule="auto"/>
        <w:ind w:left="3149" w:right="52" w:firstLine="426"/>
        <w:rPr>
          <w:sz w:val="19"/>
          <w:szCs w:val="19"/>
        </w:rPr>
      </w:pP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国能灵绍直流配套</w:t>
      </w:r>
      <w:r>
        <w:rPr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200</w:t>
      </w:r>
      <w:r>
        <w:rPr>
          <w:rFonts w:ascii="SimSun" w:eastAsia="SimSun" w:hAnsi="SimSun" w:cs="SimSun"/>
          <w:spacing w:val="-27"/>
          <w:sz w:val="19"/>
          <w:szCs w:val="19"/>
        </w:rPr>
        <w:t xml:space="preserve"> </w:t>
      </w: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万千瓦复合光伏基地项目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EPC</w:t>
      </w:r>
      <w:r>
        <w:rPr>
          <w:rFonts w:ascii="SimSun" w:eastAsia="SimSun" w:hAnsi="SimSun" w:cs="SimSun"/>
          <w:spacing w:val="-29"/>
          <w:sz w:val="19"/>
          <w:szCs w:val="19"/>
        </w:rPr>
        <w:t xml:space="preserve"> </w:t>
      </w: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工程中标候选人公示，</w:t>
      </w:r>
      <w:r>
        <w:rPr>
          <w:rFonts w:ascii="SimSun" w:eastAsia="SimSun" w:hAnsi="SimSun" w:cs="SimSun"/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5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家企业入围</w:t>
      </w:r>
    </w:p>
    <w:p>
      <w:pPr>
        <w:pStyle w:val="BodyText"/>
        <w:spacing w:before="76" w:line="288" w:lineRule="auto"/>
        <w:ind w:left="3129" w:firstLine="430"/>
        <w:jc w:val="both"/>
        <w:rPr>
          <w:sz w:val="19"/>
          <w:szCs w:val="19"/>
        </w:rPr>
      </w:pPr>
      <w:r>
        <w:rPr>
          <w:rFonts w:ascii="SimSun" w:eastAsia="SimSun" w:hAnsi="SimSun" w:cs="SimSun"/>
          <w:spacing w:val="4"/>
          <w:sz w:val="19"/>
          <w:szCs w:val="19"/>
        </w:rPr>
        <w:t>2</w:t>
      </w:r>
      <w:r>
        <w:rPr>
          <w:rFonts w:ascii="SimSun" w:eastAsia="SimSun" w:hAnsi="SimSun" w:cs="SimSun"/>
          <w:spacing w:val="-2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20 </w:t>
      </w:r>
      <w:r>
        <w:rPr>
          <w:spacing w:val="4"/>
          <w:sz w:val="19"/>
          <w:szCs w:val="19"/>
        </w:rPr>
        <w:t>日，宁夏电力国能灵绍直流配套</w:t>
      </w:r>
      <w:r>
        <w:rPr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200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万千瓦复合光伏基地项目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EPC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工程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（七标段、八标段、九标段）公示招标中标候选人。</w:t>
      </w:r>
      <w:r>
        <w:rPr>
          <w:spacing w:val="-39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中国电建集团西北勘测设计研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究院有限公司、</w:t>
      </w:r>
      <w:r>
        <w:rPr>
          <w:spacing w:val="-4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中建三局集团有限公司，</w:t>
      </w:r>
      <w:r>
        <w:rPr>
          <w:spacing w:val="-5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中国能源建设集团新疆电力设计院有限公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司、河南省第二建设集团有限公司、中国电建集团核电工程有限公司</w:t>
      </w:r>
      <w:r>
        <w:rPr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5</w:t>
      </w:r>
      <w:r>
        <w:rPr>
          <w:rFonts w:ascii="SimSun" w:eastAsia="SimSun" w:hAnsi="SimSun" w:cs="SimSun"/>
          <w:spacing w:val="-1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家企业入围，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中标价格范围为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1.825-1.861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元</w:t>
      </w:r>
      <w:r>
        <w:rPr>
          <w:rFonts w:ascii="SimSun" w:eastAsia="SimSun" w:hAnsi="SimSun" w:cs="SimSun"/>
          <w:spacing w:val="5"/>
          <w:sz w:val="19"/>
          <w:szCs w:val="19"/>
        </w:rPr>
        <w:t>/W</w:t>
      </w:r>
      <w:r>
        <w:rPr>
          <w:spacing w:val="5"/>
          <w:sz w:val="19"/>
          <w:szCs w:val="19"/>
        </w:rPr>
        <w:t>。</w:t>
      </w:r>
    </w:p>
    <w:p>
      <w:pPr>
        <w:spacing w:line="328" w:lineRule="auto"/>
        <w:rPr>
          <w:rFonts w:ascii="Arial"/>
          <w:sz w:val="21"/>
        </w:rPr>
      </w:pPr>
    </w:p>
    <w:p>
      <w:pPr>
        <w:pStyle w:val="BodyText"/>
        <w:spacing w:before="62" w:line="225" w:lineRule="auto"/>
        <w:ind w:left="3565"/>
        <w:rPr>
          <w:sz w:val="19"/>
          <w:szCs w:val="19"/>
        </w:rPr>
      </w:pPr>
      <w:r>
        <w:rPr>
          <w:spacing w:val="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四川路桥拟</w:t>
      </w:r>
      <w:r>
        <w:rPr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37.39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亿元投建</w:t>
      </w:r>
      <w:r>
        <w:rPr>
          <w:spacing w:val="-3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680</w:t>
      </w:r>
      <w:r>
        <w:rPr>
          <w:rFonts w:ascii="SimSun" w:eastAsia="SimSun" w:hAnsi="SimSun" w:cs="SimSun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MW</w:t>
      </w:r>
      <w:r>
        <w:rPr>
          <w:rFonts w:ascii="SimSun" w:eastAsia="SimSun" w:hAnsi="SimSun" w:cs="SimSun"/>
          <w:spacing w:val="-33"/>
          <w:sz w:val="19"/>
          <w:szCs w:val="19"/>
        </w:rPr>
        <w:t xml:space="preserve"> </w:t>
      </w:r>
      <w:r>
        <w:rPr>
          <w:spacing w:val="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光伏项目</w:t>
      </w:r>
    </w:p>
    <w:p>
      <w:pPr>
        <w:pStyle w:val="BodyText"/>
        <w:spacing w:before="81" w:line="284" w:lineRule="auto"/>
        <w:ind w:left="3126" w:firstLine="433"/>
        <w:jc w:val="both"/>
        <w:rPr>
          <w:sz w:val="19"/>
          <w:szCs w:val="19"/>
        </w:rPr>
      </w:pPr>
      <w:r>
        <w:rPr>
          <w:rFonts w:ascii="SimSun" w:eastAsia="SimSun" w:hAnsi="SimSun" w:cs="SimSun"/>
          <w:spacing w:val="5"/>
          <w:sz w:val="19"/>
          <w:szCs w:val="19"/>
        </w:rPr>
        <w:t>2</w:t>
      </w:r>
      <w:r>
        <w:rPr>
          <w:rFonts w:ascii="SimSun" w:eastAsia="SimSun" w:hAnsi="SimSun" w:cs="SimSun"/>
          <w:spacing w:val="-19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2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19 </w:t>
      </w:r>
      <w:r>
        <w:rPr>
          <w:spacing w:val="5"/>
          <w:sz w:val="19"/>
          <w:szCs w:val="19"/>
        </w:rPr>
        <w:t>日，四川路桥发布公告称，其全资子公司四川蜀道清洁能源集团有限公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司拟投资建设包括四川省凉山州盐源县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3#</w:t>
      </w:r>
      <w:r>
        <w:rPr>
          <w:spacing w:val="8"/>
          <w:sz w:val="19"/>
          <w:szCs w:val="19"/>
        </w:rPr>
        <w:t>、</w:t>
      </w:r>
      <w:r>
        <w:rPr>
          <w:rFonts w:ascii="SimSun" w:eastAsia="SimSun" w:hAnsi="SimSun" w:cs="SimSun"/>
          <w:spacing w:val="8"/>
          <w:sz w:val="19"/>
          <w:szCs w:val="19"/>
        </w:rPr>
        <w:t>7#</w:t>
      </w:r>
      <w:r>
        <w:rPr>
          <w:spacing w:val="8"/>
          <w:sz w:val="19"/>
          <w:szCs w:val="19"/>
        </w:rPr>
        <w:t>两个光伏地块</w:t>
      </w:r>
      <w:r>
        <w:rPr>
          <w:spacing w:val="7"/>
          <w:sz w:val="19"/>
          <w:szCs w:val="19"/>
        </w:rPr>
        <w:t>的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680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rFonts w:ascii="SimSun" w:eastAsia="SimSun" w:hAnsi="SimSun" w:cs="SimSun"/>
          <w:spacing w:val="-36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光伏项目，建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设期</w:t>
      </w:r>
      <w:r>
        <w:rPr>
          <w:spacing w:val="-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18</w:t>
      </w:r>
      <w:r>
        <w:rPr>
          <w:rFonts w:ascii="SimSun" w:eastAsia="SimSun" w:hAnsi="SimSun" w:cs="SimSun"/>
          <w:spacing w:val="-3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个月，其中凉山州盐源县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3#</w:t>
      </w:r>
      <w:r>
        <w:rPr>
          <w:spacing w:val="5"/>
          <w:sz w:val="19"/>
          <w:szCs w:val="19"/>
        </w:rPr>
        <w:t>地块，装机容量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320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spacing w:val="5"/>
          <w:sz w:val="19"/>
          <w:szCs w:val="19"/>
        </w:rPr>
        <w:t>，凉山州盐源县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7#</w:t>
      </w:r>
      <w:r>
        <w:rPr>
          <w:spacing w:val="5"/>
          <w:sz w:val="19"/>
          <w:szCs w:val="19"/>
        </w:rPr>
        <w:t>地块，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装机容量</w:t>
      </w:r>
      <w:r>
        <w:rPr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360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spacing w:val="6"/>
          <w:sz w:val="19"/>
          <w:szCs w:val="19"/>
        </w:rPr>
        <w:t>。</w:t>
      </w:r>
    </w:p>
    <w:p>
      <w:pPr>
        <w:spacing w:line="325" w:lineRule="auto"/>
        <w:rPr>
          <w:rFonts w:ascii="Arial"/>
          <w:sz w:val="21"/>
        </w:rPr>
      </w:pPr>
    </w:p>
    <w:p>
      <w:pPr>
        <w:pStyle w:val="BodyText"/>
        <w:spacing w:before="63" w:line="220" w:lineRule="auto"/>
        <w:ind w:left="3577"/>
        <w:rPr>
          <w:sz w:val="19"/>
          <w:szCs w:val="19"/>
        </w:rPr>
      </w:pP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山东</w:t>
      </w:r>
      <w:r>
        <w:rPr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2024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年市场化并网项目开始申报，本次实行限额申报</w:t>
      </w:r>
    </w:p>
    <w:p>
      <w:pPr>
        <w:pStyle w:val="BodyText"/>
        <w:spacing w:before="84" w:line="283" w:lineRule="auto"/>
        <w:ind w:left="3130" w:right="51" w:firstLine="428"/>
        <w:jc w:val="both"/>
        <w:rPr>
          <w:sz w:val="19"/>
          <w:szCs w:val="19"/>
        </w:rPr>
      </w:pPr>
      <w:r>
        <w:rPr>
          <w:rFonts w:ascii="SimSun" w:eastAsia="SimSun" w:hAnsi="SimSun" w:cs="SimSun"/>
          <w:spacing w:val="6"/>
          <w:sz w:val="19"/>
          <w:szCs w:val="19"/>
        </w:rPr>
        <w:t>2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18 </w:t>
      </w:r>
      <w:r>
        <w:rPr>
          <w:spacing w:val="6"/>
          <w:sz w:val="19"/>
          <w:szCs w:val="19"/>
        </w:rPr>
        <w:t>日，</w:t>
      </w:r>
      <w:r>
        <w:rPr>
          <w:spacing w:val="-5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山东省能源局发布《关于开展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2024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年市</w:t>
      </w:r>
      <w:r>
        <w:rPr>
          <w:spacing w:val="5"/>
          <w:sz w:val="19"/>
          <w:szCs w:val="19"/>
        </w:rPr>
        <w:t>场化并网项目申报工作的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通知》。本次市场化项目申报条件要求陆域光伏项目单体规模</w:t>
      </w:r>
      <w:r>
        <w:rPr>
          <w:spacing w:val="6"/>
          <w:sz w:val="19"/>
          <w:szCs w:val="19"/>
        </w:rPr>
        <w:t>不超过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30</w:t>
      </w:r>
      <w:r>
        <w:rPr>
          <w:rFonts w:ascii="SimSun" w:eastAsia="SimSun" w:hAnsi="SimSun" w:cs="SimSun"/>
          <w:spacing w:val="-2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万千瓦；涉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海光伏项目单体规模不超过</w:t>
      </w:r>
      <w:r>
        <w:rPr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20</w:t>
      </w:r>
      <w:r>
        <w:rPr>
          <w:rFonts w:ascii="SimSun" w:eastAsia="SimSun" w:hAnsi="SimSun" w:cs="SimSun"/>
          <w:spacing w:val="-2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万千瓦。申报要求本次实行限额申报，每</w:t>
      </w:r>
      <w:r>
        <w:rPr>
          <w:spacing w:val="6"/>
          <w:sz w:val="19"/>
          <w:szCs w:val="19"/>
        </w:rPr>
        <w:t>个市申报项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目总容量不超过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>150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万千瓦。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62" w:line="292" w:lineRule="auto"/>
        <w:ind w:left="3124" w:right="51" w:firstLine="430"/>
        <w:jc w:val="both"/>
        <w:rPr>
          <w:sz w:val="19"/>
          <w:szCs w:val="19"/>
        </w:rPr>
      </w:pP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我们认为，硅料价格全线持平，硅片价格持稳微涨，可能传导至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组件端价格出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现坚挺，一方面原因是印度地区政策松动带来的潜在需求</w:t>
      </w: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大增，另一方面原因是春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节假期过后，我国光伏项目可能迎来需求复苏，叠</w:t>
      </w: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加春节期间产能下降，供给端库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存见底。</w:t>
      </w:r>
      <w:r>
        <w:rPr>
          <w:spacing w:val="-34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同时我们观察到硅料、硅片已持续上涨一段时间，将在近期传导至下游组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件端。</w:t>
      </w:r>
      <w:r>
        <w:rPr>
          <w:spacing w:val="-34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山东开启市场化项目申报，对项目做了进一步规范，有利于增加项目落地确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定性。近期光伏项目</w:t>
      </w:r>
      <w:r>
        <w:rPr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EPC</w:t>
      </w:r>
      <w:r>
        <w:rPr>
          <w:rFonts w:ascii="SimSun" w:eastAsia="SimSun" w:hAnsi="SimSun" w:cs="SimSun"/>
          <w:spacing w:val="-41"/>
          <w:sz w:val="19"/>
          <w:szCs w:val="19"/>
        </w:rPr>
        <w:t xml:space="preserve"> </w:t>
      </w:r>
      <w:r>
        <w:rPr>
          <w:spacing w:val="11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价格依旧维持较低水平，表明从中期</w:t>
      </w: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来看，产业链端价格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仍有较大压力。</w:t>
      </w:r>
    </w:p>
    <w:p>
      <w:pPr>
        <w:spacing w:line="354" w:lineRule="auto"/>
        <w:rPr>
          <w:rFonts w:ascii="Arial"/>
          <w:sz w:val="21"/>
        </w:rPr>
      </w:pPr>
    </w:p>
    <w:p>
      <w:pPr>
        <w:pStyle w:val="BodyText"/>
        <w:spacing w:before="92" w:line="213" w:lineRule="auto"/>
        <w:ind w:left="3130"/>
        <w:outlineLvl w:val="1"/>
        <w:rPr>
          <w:sz w:val="28"/>
          <w:szCs w:val="28"/>
        </w:rPr>
        <w:sectPr>
          <w:footerReference w:type="default" r:id="rId18"/>
          <w:pgSz w:w="11906" w:h="16839"/>
          <w:pgMar w:top="914" w:right="800" w:bottom="400" w:left="703" w:header="0" w:footer="0" w:gutter="0"/>
          <w:pgNumType w:start="10"/>
          <w:cols w:num="1" w:space="708" w:equalWidth="0">
            <w:col w:w="10403" w:space="0"/>
          </w:cols>
        </w:sectPr>
      </w:pPr>
      <w:r>
        <w:rPr>
          <w:color w:val="002060"/>
          <w:spacing w:val="-3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风电：项目审批及招投标热度不减，山东、浙江竞争性配置</w:t>
      </w:r>
    </w:p>
    <w:p>
      <w:pPr>
        <w:pStyle w:val="BodyText"/>
        <w:spacing w:before="1" w:line="222" w:lineRule="auto"/>
        <w:ind w:left="3151"/>
        <w:rPr>
          <w:sz w:val="28"/>
          <w:szCs w:val="28"/>
        </w:rPr>
      </w:pPr>
      <w:r>
        <w:rPr>
          <w:color w:val="002060"/>
          <w:spacing w:val="-5"/>
          <w:w w:val="97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落地</w:t>
      </w:r>
    </w:p>
    <w:p>
      <w:pPr>
        <w:spacing w:line="378" w:lineRule="auto"/>
        <w:rPr>
          <w:rFonts w:ascii="Arial"/>
          <w:sz w:val="21"/>
        </w:rPr>
      </w:pPr>
    </w:p>
    <w:p>
      <w:pPr>
        <w:spacing w:before="1" w:line="29" w:lineRule="exact"/>
      </w:pPr>
      <w:r>
        <w:drawing>
          <wp:inline distT="0" distB="0" distL="0" distR="0">
            <wp:extent cx="6588252" cy="18288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825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" w:lineRule="exact"/>
      </w:pPr>
    </w:p>
    <w:p>
      <w:pPr>
        <w:spacing w:line="15" w:lineRule="exact"/>
        <w:sectPr>
          <w:footerReference w:type="default" r:id="rId19"/>
          <w:type w:val="nextPage"/>
          <w:pgSz w:w="11906" w:h="16839"/>
          <w:pgMar w:top="914" w:right="800" w:bottom="400" w:left="703" w:header="0" w:footer="0" w:gutter="0"/>
          <w:pgNumType w:start="11"/>
          <w:cols w:num="1" w:space="708" w:equalWidth="0">
            <w:col w:w="10403" w:space="0"/>
          </w:cols>
          <w:titlePg w:val="0"/>
        </w:sectPr>
      </w:pPr>
    </w:p>
    <w:p>
      <w:pPr>
        <w:pStyle w:val="BodyText"/>
        <w:spacing w:before="80" w:line="215" w:lineRule="auto"/>
        <w:ind w:left="16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7" w:line="246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2"/>
          <w:position w:val="1"/>
          <w:sz w:val="18"/>
          <w:szCs w:val="18"/>
        </w:rPr>
        <w:t>4 /</w:t>
      </w:r>
      <w:r>
        <w:rPr>
          <w:rFonts w:ascii="Arial" w:eastAsia="Arial" w:hAnsi="Arial" w:cs="Arial"/>
          <w:spacing w:val="6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2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20"/>
          <w:type w:val="continuous"/>
          <w:pgSz w:w="11906" w:h="16839"/>
          <w:pgMar w:top="914" w:right="800" w:bottom="400" w:left="703" w:header="0" w:footer="0" w:gutter="0"/>
          <w:pgNumType w:start="12"/>
          <w:cols w:num="3" w:space="708" w:equalWidth="0">
            <w:col w:w="4799" w:space="100"/>
            <w:col w:w="4128" w:space="100"/>
            <w:col w:w="1276" w:space="0"/>
          </w:cols>
        </w:sectPr>
      </w:pPr>
    </w:p>
    <w:p>
      <w:pPr>
        <w:pStyle w:val="BodyText"/>
        <w:spacing w:before="48" w:line="221" w:lineRule="auto"/>
        <w:ind w:left="9194"/>
        <w:rPr>
          <w:sz w:val="24"/>
          <w:szCs w:val="24"/>
        </w:rPr>
      </w:pPr>
      <w:r>
        <w:pict>
          <v:shape id="_x0000_s1030" style="width:420.65pt;height:0.6pt;margin-top:63pt;margin-left:121.8pt;mso-position-horizontal-relative:page;mso-position-vertical-relative:page;position:absolute;z-index:251667456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66432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2" w:line="263" w:lineRule="auto"/>
        <w:ind w:left="3534" w:right="1162" w:firstLine="6"/>
        <w:rPr>
          <w:sz w:val="19"/>
          <w:szCs w:val="19"/>
        </w:rPr>
      </w:pPr>
      <w:r>
        <w:rPr>
          <w:spacing w:val="10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多地风电项目申报，多地风电项目招投标公示，风电行业热度不减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项目审批方面：</w:t>
      </w:r>
    </w:p>
    <w:p>
      <w:pPr>
        <w:pStyle w:val="BodyText"/>
        <w:spacing w:before="82" w:line="276" w:lineRule="auto"/>
        <w:ind w:left="3140" w:right="154" w:firstLine="393"/>
        <w:jc w:val="both"/>
        <w:rPr>
          <w:sz w:val="19"/>
          <w:szCs w:val="19"/>
        </w:rPr>
      </w:pPr>
      <w:r>
        <w:rPr>
          <w:rFonts w:ascii="SimSun" w:eastAsia="SimSun" w:hAnsi="SimSun" w:cs="SimSun"/>
          <w:spacing w:val="8"/>
          <w:sz w:val="19"/>
          <w:szCs w:val="19"/>
        </w:rPr>
        <w:t>2</w:t>
      </w:r>
      <w:r>
        <w:rPr>
          <w:rFonts w:ascii="SimSun" w:eastAsia="SimSun" w:hAnsi="SimSun" w:cs="SimSun"/>
          <w:spacing w:val="-23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月</w:t>
      </w:r>
      <w:r>
        <w:rPr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20 </w:t>
      </w:r>
      <w:r>
        <w:rPr>
          <w:spacing w:val="8"/>
          <w:sz w:val="19"/>
          <w:szCs w:val="19"/>
        </w:rPr>
        <w:t>日，珠海市举行</w:t>
      </w:r>
      <w:r>
        <w:rPr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2024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年第一季度重大项目集中签</w:t>
      </w:r>
      <w:r>
        <w:rPr>
          <w:spacing w:val="7"/>
          <w:sz w:val="19"/>
          <w:szCs w:val="19"/>
        </w:rPr>
        <w:t>约开工活动，集中签</w:t>
      </w:r>
      <w:r>
        <w:rPr>
          <w:sz w:val="19"/>
          <w:szCs w:val="19"/>
        </w:rPr>
        <w:t xml:space="preserve"> </w:t>
      </w:r>
      <w:r>
        <w:rPr>
          <w:spacing w:val="16"/>
          <w:sz w:val="19"/>
          <w:szCs w:val="19"/>
        </w:rPr>
        <w:t>约重大项目包括珠海高栏一海上风电项目、珠海高栏二海上风电项目，总容量为</w:t>
      </w:r>
      <w:r>
        <w:rPr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2"/>
          <w:sz w:val="19"/>
          <w:szCs w:val="19"/>
        </w:rPr>
        <w:t>1000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spacing w:val="2"/>
          <w:sz w:val="19"/>
          <w:szCs w:val="19"/>
        </w:rPr>
        <w:t>。</w:t>
      </w:r>
    </w:p>
    <w:p>
      <w:pPr>
        <w:pStyle w:val="BodyText"/>
        <w:spacing w:before="85" w:line="275" w:lineRule="auto"/>
        <w:ind w:left="3132" w:right="154" w:firstLine="400"/>
        <w:jc w:val="both"/>
        <w:rPr>
          <w:sz w:val="19"/>
          <w:szCs w:val="19"/>
        </w:rPr>
      </w:pPr>
      <w:r>
        <w:rPr>
          <w:rFonts w:ascii="SimSun" w:eastAsia="SimSun" w:hAnsi="SimSun" w:cs="SimSun"/>
          <w:spacing w:val="6"/>
          <w:sz w:val="19"/>
          <w:szCs w:val="19"/>
        </w:rPr>
        <w:t>2</w:t>
      </w:r>
      <w:r>
        <w:rPr>
          <w:rFonts w:ascii="SimSun" w:eastAsia="SimSun" w:hAnsi="SimSun" w:cs="SimSun"/>
          <w:spacing w:val="-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18 </w:t>
      </w:r>
      <w:r>
        <w:rPr>
          <w:spacing w:val="6"/>
          <w:sz w:val="19"/>
          <w:szCs w:val="19"/>
        </w:rPr>
        <w:t>日，在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2024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年平潭综合实验区新春恳谈会上，</w:t>
      </w:r>
      <w:r>
        <w:rPr>
          <w:spacing w:val="-56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实验区签约大唐风电平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潭长江澳海上风电场工程项目，计划总投资</w:t>
      </w:r>
      <w:r>
        <w:rPr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11.08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亿元，在长江澳以东海域开展海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上风电工程续建工作。项目总装机容量</w:t>
      </w:r>
      <w:r>
        <w:rPr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110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spacing w:val="6"/>
          <w:sz w:val="19"/>
          <w:szCs w:val="19"/>
        </w:rPr>
        <w:t>，拟安装</w:t>
      </w:r>
      <w:r>
        <w:rPr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11</w:t>
      </w:r>
      <w:r>
        <w:rPr>
          <w:rFonts w:ascii="SimSun" w:eastAsia="SimSun" w:hAnsi="SimSun" w:cs="SimSun"/>
          <w:spacing w:val="-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台单机容量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10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风机。</w:t>
      </w:r>
    </w:p>
    <w:p>
      <w:pPr>
        <w:pStyle w:val="BodyText"/>
        <w:spacing w:before="85" w:line="232" w:lineRule="auto"/>
        <w:ind w:left="3533"/>
        <w:rPr>
          <w:sz w:val="19"/>
          <w:szCs w:val="19"/>
        </w:rPr>
      </w:pP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招投标方面：</w:t>
      </w:r>
    </w:p>
    <w:p>
      <w:pPr>
        <w:pStyle w:val="BodyText"/>
        <w:spacing w:before="72" w:line="262" w:lineRule="auto"/>
        <w:ind w:left="3128" w:right="155" w:firstLine="402"/>
        <w:rPr>
          <w:sz w:val="19"/>
          <w:szCs w:val="19"/>
        </w:rPr>
      </w:pPr>
      <w:r>
        <w:rPr>
          <w:spacing w:val="10"/>
          <w:sz w:val="19"/>
          <w:szCs w:val="19"/>
        </w:rPr>
        <w:t>靖远山发投靖安</w:t>
      </w:r>
      <w:r>
        <w:rPr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200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风电项目、克东宝泉</w:t>
      </w:r>
      <w:r>
        <w:rPr>
          <w:spacing w:val="-2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200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风电项目、克东涌</w:t>
      </w:r>
      <w:r>
        <w:rPr>
          <w:spacing w:val="9"/>
          <w:sz w:val="19"/>
          <w:szCs w:val="19"/>
        </w:rPr>
        <w:t>泉</w:t>
      </w:r>
      <w:r>
        <w:rPr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200</w:t>
      </w:r>
      <w:r>
        <w:rPr>
          <w:rFonts w:ascii="SimSun" w:eastAsia="SimSun" w:hAnsi="SimSun" w:cs="SimSun"/>
          <w:sz w:val="19"/>
          <w:szCs w:val="19"/>
        </w:rPr>
        <w:t xml:space="preserve">MW </w:t>
      </w:r>
      <w:r>
        <w:rPr>
          <w:spacing w:val="9"/>
          <w:sz w:val="19"/>
          <w:szCs w:val="19"/>
        </w:rPr>
        <w:t>风电项目进行中标公示，金风科技（</w:t>
      </w:r>
      <w:r>
        <w:rPr>
          <w:rFonts w:ascii="SimSun" w:eastAsia="SimSun" w:hAnsi="SimSun" w:cs="SimSun"/>
          <w:spacing w:val="9"/>
          <w:sz w:val="19"/>
          <w:szCs w:val="19"/>
        </w:rPr>
        <w:t>200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spacing w:val="9"/>
          <w:sz w:val="19"/>
          <w:szCs w:val="19"/>
        </w:rPr>
        <w:t>）、三一重能（</w:t>
      </w:r>
      <w:r>
        <w:rPr>
          <w:rFonts w:ascii="SimSun" w:eastAsia="SimSun" w:hAnsi="SimSun" w:cs="SimSun"/>
          <w:spacing w:val="9"/>
          <w:sz w:val="19"/>
          <w:szCs w:val="19"/>
        </w:rPr>
        <w:t>400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spacing w:val="9"/>
          <w:sz w:val="19"/>
          <w:szCs w:val="19"/>
        </w:rPr>
        <w:t>）分别中标。</w:t>
      </w:r>
    </w:p>
    <w:p>
      <w:pPr>
        <w:pStyle w:val="BodyText"/>
        <w:spacing w:before="82" w:line="278" w:lineRule="auto"/>
        <w:ind w:left="3136" w:right="154" w:firstLine="392"/>
        <w:rPr>
          <w:sz w:val="19"/>
          <w:szCs w:val="19"/>
        </w:rPr>
      </w:pPr>
      <w:r>
        <w:rPr>
          <w:spacing w:val="11"/>
          <w:sz w:val="19"/>
          <w:szCs w:val="19"/>
        </w:rPr>
        <w:t>远景能源（</w:t>
      </w:r>
      <w:r>
        <w:rPr>
          <w:rFonts w:ascii="SimSun" w:eastAsia="SimSun" w:hAnsi="SimSun" w:cs="SimSun"/>
          <w:sz w:val="19"/>
          <w:szCs w:val="19"/>
        </w:rPr>
        <w:t>Envision</w:t>
      </w:r>
      <w:r>
        <w:rPr>
          <w:spacing w:val="11"/>
          <w:sz w:val="19"/>
          <w:szCs w:val="19"/>
        </w:rPr>
        <w:t>）在竞争激烈的印度市场继续保持火热势头，获得了一份</w:t>
      </w:r>
      <w:r>
        <w:rPr>
          <w:spacing w:val="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300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的风电机组订单。</w:t>
      </w:r>
      <w:r>
        <w:rPr>
          <w:spacing w:val="-5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印度可再生能源开发商</w:t>
      </w:r>
      <w:r>
        <w:rPr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Juniper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Green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Energy</w:t>
      </w:r>
      <w:r>
        <w:rPr>
          <w:rFonts w:ascii="SimSun" w:eastAsia="SimSun" w:hAnsi="SimSun" w:cs="SimSun"/>
          <w:spacing w:val="-2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宣布，远景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能源（</w:t>
      </w:r>
      <w:r>
        <w:rPr>
          <w:rFonts w:ascii="SimSun" w:eastAsia="SimSun" w:hAnsi="SimSun" w:cs="SimSun"/>
          <w:sz w:val="19"/>
          <w:szCs w:val="19"/>
        </w:rPr>
        <w:t>Envision</w:t>
      </w:r>
      <w:r>
        <w:rPr>
          <w:spacing w:val="8"/>
          <w:sz w:val="19"/>
          <w:szCs w:val="19"/>
        </w:rPr>
        <w:t>）将为西部古吉拉特邦的一个项目提供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91</w:t>
      </w:r>
      <w:r>
        <w:rPr>
          <w:rFonts w:ascii="SimSun" w:eastAsia="SimSun" w:hAnsi="SimSun" w:cs="SimSun"/>
          <w:spacing w:val="-14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台</w:t>
      </w:r>
      <w:r>
        <w:rPr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EN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156-3.3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rFonts w:ascii="SimSun" w:eastAsia="SimSun" w:hAnsi="SimSun" w:cs="SimSun"/>
          <w:spacing w:val="-42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风机。</w:t>
      </w:r>
    </w:p>
    <w:p>
      <w:pPr>
        <w:pStyle w:val="BodyText"/>
        <w:spacing w:before="81" w:line="277" w:lineRule="auto"/>
        <w:ind w:left="3131" w:right="154" w:firstLine="403"/>
        <w:rPr>
          <w:sz w:val="19"/>
          <w:szCs w:val="19"/>
        </w:rPr>
      </w:pPr>
      <w:r>
        <w:rPr>
          <w:spacing w:val="9"/>
          <w:sz w:val="19"/>
          <w:szCs w:val="19"/>
        </w:rPr>
        <w:t>华能汤阴三期风电项目等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3</w:t>
      </w:r>
      <w:r>
        <w:rPr>
          <w:rFonts w:ascii="SimSun" w:eastAsia="SimSun" w:hAnsi="SimSun" w:cs="SimSun"/>
          <w:spacing w:val="-33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个风电项目共计</w:t>
      </w:r>
      <w:r>
        <w:rPr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500</w:t>
      </w:r>
      <w:r>
        <w:rPr>
          <w:rFonts w:ascii="SimSun" w:eastAsia="SimSun" w:hAnsi="SimSun" w:cs="SimSun"/>
          <w:sz w:val="19"/>
          <w:szCs w:val="19"/>
        </w:rPr>
        <w:t>MW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风力发电机</w:t>
      </w:r>
      <w:r>
        <w:rPr>
          <w:spacing w:val="8"/>
          <w:sz w:val="19"/>
          <w:szCs w:val="19"/>
        </w:rPr>
        <w:t>组及其附属设备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集中采购预招标（标段一</w:t>
      </w:r>
      <w:r>
        <w:rPr>
          <w:spacing w:val="-4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）中标候选人公示，远景能源、三一</w:t>
      </w:r>
      <w:r>
        <w:rPr>
          <w:spacing w:val="7"/>
          <w:sz w:val="19"/>
          <w:szCs w:val="19"/>
        </w:rPr>
        <w:t>重能、运达股份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3</w:t>
      </w:r>
      <w:r>
        <w:rPr>
          <w:rFonts w:ascii="SimSun" w:eastAsia="SimSun" w:hAnsi="SimSun" w:cs="SimSun"/>
          <w:spacing w:val="-2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家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整机商入围。</w:t>
      </w:r>
    </w:p>
    <w:p>
      <w:pPr>
        <w:pStyle w:val="BodyText"/>
        <w:spacing w:before="80" w:line="262" w:lineRule="auto"/>
        <w:ind w:left="3129" w:right="154" w:firstLine="400"/>
        <w:rPr>
          <w:sz w:val="19"/>
          <w:szCs w:val="19"/>
        </w:rPr>
      </w:pPr>
      <w:r>
        <w:rPr>
          <w:spacing w:val="11"/>
          <w:sz w:val="19"/>
          <w:szCs w:val="19"/>
        </w:rPr>
        <w:t>本周因春节假期过后第一周，项目审批、项</w:t>
      </w:r>
      <w:r>
        <w:rPr>
          <w:spacing w:val="10"/>
          <w:sz w:val="19"/>
          <w:szCs w:val="19"/>
        </w:rPr>
        <w:t>目招投标数量较少，但多地陆续出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现的春节后项目签约依然可以预示风电装机热度依然维持，</w:t>
      </w:r>
      <w:r>
        <w:rPr>
          <w:rFonts w:ascii="SimSun" w:eastAsia="SimSun" w:hAnsi="SimSun" w:cs="SimSun"/>
          <w:spacing w:val="9"/>
          <w:sz w:val="19"/>
          <w:szCs w:val="19"/>
        </w:rPr>
        <w:t>20</w:t>
      </w:r>
      <w:r>
        <w:rPr>
          <w:rFonts w:ascii="SimSun" w:eastAsia="SimSun" w:hAnsi="SimSun" w:cs="SimSun"/>
          <w:spacing w:val="8"/>
          <w:sz w:val="19"/>
          <w:szCs w:val="19"/>
        </w:rPr>
        <w:t>24</w:t>
      </w:r>
      <w:r>
        <w:rPr>
          <w:rFonts w:ascii="SimSun" w:eastAsia="SimSun" w:hAnsi="SimSun" w:cs="SimSun"/>
          <w:spacing w:val="-36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装机预期高涨。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62" w:line="268" w:lineRule="auto"/>
        <w:ind w:left="3127" w:right="156" w:firstLine="423"/>
        <w:rPr>
          <w:sz w:val="19"/>
          <w:szCs w:val="19"/>
        </w:rPr>
      </w:pP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山东启动</w:t>
      </w:r>
      <w:r>
        <w:rPr>
          <w:spacing w:val="-2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2024</w:t>
      </w:r>
      <w:r>
        <w:rPr>
          <w:rFonts w:ascii="SimSun" w:eastAsia="SimSun" w:hAnsi="SimSun" w:cs="SimSun"/>
          <w:spacing w:val="-35"/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年市场化项目申报，</w:t>
      </w:r>
      <w:r>
        <w:rPr>
          <w:spacing w:val="-37"/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目标新增海上风电</w:t>
      </w:r>
      <w:r>
        <w:rPr>
          <w:spacing w:val="-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150</w:t>
      </w:r>
      <w:r>
        <w:rPr>
          <w:rFonts w:ascii="SimSun" w:eastAsia="SimSun" w:hAnsi="SimSun" w:cs="SimSun"/>
          <w:spacing w:val="-26"/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万千瓦，鼓励企业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加快建设进度</w:t>
      </w:r>
    </w:p>
    <w:p>
      <w:pPr>
        <w:pStyle w:val="BodyText"/>
        <w:spacing w:before="72" w:line="262" w:lineRule="auto"/>
        <w:ind w:left="3130" w:right="154" w:firstLine="402"/>
        <w:rPr>
          <w:sz w:val="19"/>
          <w:szCs w:val="19"/>
        </w:rPr>
      </w:pPr>
      <w:r>
        <w:rPr>
          <w:rFonts w:ascii="SimSun" w:eastAsia="SimSun" w:hAnsi="SimSun" w:cs="SimSun"/>
          <w:spacing w:val="6"/>
          <w:sz w:val="19"/>
          <w:szCs w:val="19"/>
        </w:rPr>
        <w:t>2</w:t>
      </w:r>
      <w:r>
        <w:rPr>
          <w:rFonts w:ascii="SimSun" w:eastAsia="SimSun" w:hAnsi="SimSun" w:cs="SimSun"/>
          <w:spacing w:val="-1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 xml:space="preserve">18 </w:t>
      </w:r>
      <w:r>
        <w:rPr>
          <w:spacing w:val="6"/>
          <w:sz w:val="19"/>
          <w:szCs w:val="19"/>
        </w:rPr>
        <w:t>日，</w:t>
      </w:r>
      <w:r>
        <w:rPr>
          <w:spacing w:val="-53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山东省能源局发布《关于开展</w:t>
      </w:r>
      <w:r>
        <w:rPr>
          <w:spacing w:val="-3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2024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年市场化并网项目申报工作的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通知》。</w:t>
      </w:r>
      <w:r>
        <w:rPr>
          <w:spacing w:val="-5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《通知》指出，项目须承诺在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2024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年底或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2025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年底前全容量建成并网，</w:t>
      </w:r>
    </w:p>
    <w:p>
      <w:pPr>
        <w:pStyle w:val="BodyText"/>
        <w:spacing w:before="85" w:line="262" w:lineRule="auto"/>
        <w:ind w:left="3131" w:firstLine="5"/>
        <w:rPr>
          <w:sz w:val="19"/>
          <w:szCs w:val="19"/>
        </w:rPr>
      </w:pPr>
      <w:r>
        <w:rPr>
          <w:spacing w:val="6"/>
          <w:sz w:val="19"/>
          <w:szCs w:val="19"/>
        </w:rPr>
        <w:t>晚于</w:t>
      </w:r>
      <w:r>
        <w:rPr>
          <w:spacing w:val="-3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2025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年底的不在申报范围，如未能按承诺时</w:t>
      </w:r>
      <w:r>
        <w:rPr>
          <w:spacing w:val="5"/>
          <w:sz w:val="19"/>
          <w:szCs w:val="19"/>
        </w:rPr>
        <w:t>限建成并网自愿接受移出名单处理。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鼓励开发企业合理制定建设周期，加快建设进度，尽快形成实物工作量。</w:t>
      </w:r>
    </w:p>
    <w:p>
      <w:pPr>
        <w:pStyle w:val="BodyText"/>
        <w:spacing w:before="89" w:line="291" w:lineRule="auto"/>
        <w:ind w:left="3129" w:right="109" w:firstLine="403"/>
        <w:rPr>
          <w:sz w:val="19"/>
          <w:szCs w:val="19"/>
        </w:rPr>
      </w:pPr>
      <w:r>
        <w:rPr>
          <w:rFonts w:ascii="SimSun" w:eastAsia="SimSun" w:hAnsi="SimSun" w:cs="SimSun"/>
          <w:spacing w:val="1"/>
          <w:sz w:val="19"/>
          <w:szCs w:val="19"/>
        </w:rPr>
        <w:t>2</w:t>
      </w:r>
      <w:r>
        <w:rPr>
          <w:rFonts w:ascii="SimSun" w:eastAsia="SimSun" w:hAnsi="SimSun" w:cs="SimSun"/>
          <w:spacing w:val="-22"/>
          <w:sz w:val="19"/>
          <w:szCs w:val="19"/>
        </w:rPr>
        <w:t xml:space="preserve"> </w:t>
      </w:r>
      <w:r>
        <w:rPr>
          <w:spacing w:val="1"/>
          <w:sz w:val="19"/>
          <w:szCs w:val="19"/>
        </w:rPr>
        <w:t>月</w:t>
      </w:r>
      <w:r>
        <w:rPr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"/>
          <w:sz w:val="19"/>
          <w:szCs w:val="19"/>
        </w:rPr>
        <w:t xml:space="preserve">22 </w:t>
      </w:r>
      <w:r>
        <w:rPr>
          <w:spacing w:val="1"/>
          <w:sz w:val="19"/>
          <w:szCs w:val="19"/>
        </w:rPr>
        <w:t>日，山东省发改委发布《全力以赴打造能源绿色低碳转型示范区——</w:t>
      </w:r>
      <w:r>
        <w:rPr>
          <w:rFonts w:ascii="SimSun" w:eastAsia="SimSun" w:hAnsi="SimSun" w:cs="SimSun"/>
          <w:spacing w:val="1"/>
          <w:sz w:val="19"/>
          <w:szCs w:val="19"/>
        </w:rPr>
        <w:t>2024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年山东能源工作这样干》一文，文中指出加快</w:t>
      </w:r>
      <w:r>
        <w:rPr>
          <w:spacing w:val="10"/>
          <w:sz w:val="19"/>
          <w:szCs w:val="19"/>
        </w:rPr>
        <w:t>风电规模开发，推动省管海域项目实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现</w:t>
      </w:r>
      <w:r>
        <w:rPr>
          <w:spacing w:val="-60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“应开尽开、能并尽并”，建成渤中</w:t>
      </w:r>
      <w:r>
        <w:rPr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G</w:t>
      </w:r>
      <w:r>
        <w:rPr>
          <w:rFonts w:ascii="SimSun" w:eastAsia="SimSun" w:hAnsi="SimSun" w:cs="SimSun"/>
          <w:spacing w:val="-33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一期、半岛南</w:t>
      </w:r>
      <w:r>
        <w:rPr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U1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二期、半岛北</w:t>
      </w:r>
      <w:r>
        <w:rPr>
          <w:spacing w:val="-44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BW</w:t>
      </w:r>
      <w:r>
        <w:rPr>
          <w:rFonts w:ascii="SimSun" w:eastAsia="SimSun" w:hAnsi="SimSun" w:cs="SimSun"/>
          <w:spacing w:val="-33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等项目；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积极开展国管海域项目前期工作，适时启动示范项目建设，新增海上风</w:t>
      </w:r>
      <w:r>
        <w:rPr>
          <w:spacing w:val="10"/>
          <w:sz w:val="19"/>
          <w:szCs w:val="19"/>
        </w:rPr>
        <w:t>电装机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0"/>
          <w:sz w:val="19"/>
          <w:szCs w:val="19"/>
        </w:rPr>
        <w:t>150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万千瓦左右，总规模突破</w:t>
      </w:r>
      <w:r>
        <w:rPr>
          <w:spacing w:val="-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9"/>
          <w:sz w:val="19"/>
          <w:szCs w:val="19"/>
        </w:rPr>
        <w:t>600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万千瓦。加快推进首批陆上集中式风电核准开工，适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时启动第二批项目开发建设。有序推进分散式</w:t>
      </w:r>
      <w:r>
        <w:rPr>
          <w:spacing w:val="10"/>
          <w:sz w:val="19"/>
          <w:szCs w:val="19"/>
        </w:rPr>
        <w:t>风电项目开发，开展现役风电场改造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升级试点。全省风电在运装机达到</w:t>
      </w:r>
      <w:r>
        <w:rPr>
          <w:spacing w:val="-25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2700</w:t>
      </w:r>
      <w:r>
        <w:rPr>
          <w:rFonts w:ascii="SimSun" w:eastAsia="SimSun" w:hAnsi="SimSun" w:cs="SimSun"/>
          <w:spacing w:val="-2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万千瓦左右。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62" w:line="225" w:lineRule="auto"/>
        <w:ind w:left="3537"/>
        <w:rPr>
          <w:sz w:val="19"/>
          <w:szCs w:val="19"/>
        </w:rPr>
      </w:pPr>
      <w:r>
        <w:rPr>
          <w:spacing w:val="1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浙江以竞争性配置方式推动省管海域风电</w:t>
      </w:r>
      <w:r>
        <w:rPr>
          <w:spacing w:val="-48"/>
          <w:sz w:val="19"/>
          <w:szCs w:val="19"/>
        </w:rPr>
        <w:t xml:space="preserve"> </w:t>
      </w:r>
      <w:r>
        <w:rPr>
          <w:spacing w:val="1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“应开尽开”</w:t>
      </w:r>
    </w:p>
    <w:p>
      <w:pPr>
        <w:pStyle w:val="BodyText"/>
        <w:spacing w:before="81" w:line="284" w:lineRule="auto"/>
        <w:ind w:left="3128" w:right="154" w:firstLine="404"/>
        <w:rPr>
          <w:sz w:val="19"/>
          <w:szCs w:val="19"/>
        </w:rPr>
      </w:pPr>
      <w:r>
        <w:rPr>
          <w:rFonts w:ascii="SimSun" w:eastAsia="SimSun" w:hAnsi="SimSun" w:cs="SimSun"/>
          <w:spacing w:val="7"/>
          <w:sz w:val="19"/>
          <w:szCs w:val="19"/>
        </w:rPr>
        <w:t>2</w:t>
      </w:r>
      <w:r>
        <w:rPr>
          <w:rFonts w:ascii="SimSun" w:eastAsia="SimSun" w:hAnsi="SimSun" w:cs="SimSun"/>
          <w:spacing w:val="-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月</w:t>
      </w:r>
      <w:r>
        <w:rPr>
          <w:spacing w:val="-19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18 </w:t>
      </w:r>
      <w:r>
        <w:rPr>
          <w:spacing w:val="7"/>
          <w:sz w:val="19"/>
          <w:szCs w:val="19"/>
        </w:rPr>
        <w:t>日，浙江省发改委发布关于印发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2024</w:t>
      </w:r>
      <w:r>
        <w:rPr>
          <w:rFonts w:ascii="SimSun" w:eastAsia="SimSun" w:hAnsi="SimSun" w:cs="SimSun"/>
          <w:spacing w:val="-3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年浙江省扩大有效投资政策的通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知，通知要求：加快清洁能源和新型电力基础建</w:t>
      </w:r>
      <w:r>
        <w:rPr>
          <w:spacing w:val="10"/>
          <w:sz w:val="19"/>
          <w:szCs w:val="19"/>
        </w:rPr>
        <w:t>设，支持可再生能源高质量发展，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新增风光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8"/>
          <w:sz w:val="19"/>
          <w:szCs w:val="19"/>
        </w:rPr>
        <w:t>800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万千瓦以上，以竞争性配置方式推动省管海域风</w:t>
      </w:r>
      <w:r>
        <w:rPr>
          <w:spacing w:val="7"/>
          <w:sz w:val="19"/>
          <w:szCs w:val="19"/>
        </w:rPr>
        <w:t>电</w:t>
      </w:r>
      <w:r>
        <w:rPr>
          <w:spacing w:val="-5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“应开尽开”</w:t>
      </w:r>
      <w:r>
        <w:rPr>
          <w:spacing w:val="-6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，加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大深远海风电示范试点力度。</w:t>
      </w:r>
    </w:p>
    <w:p>
      <w:pPr>
        <w:spacing w:line="286" w:lineRule="auto"/>
        <w:rPr>
          <w:rFonts w:ascii="Arial"/>
          <w:sz w:val="21"/>
        </w:rPr>
        <w:sectPr>
          <w:footerReference w:type="default" r:id="rId21"/>
          <w:pgSz w:w="11906" w:h="16839"/>
          <w:pgMar w:top="914" w:right="697" w:bottom="400" w:left="703" w:header="0" w:footer="0" w:gutter="0"/>
          <w:pgNumType w:start="13"/>
          <w:cols w:num="1" w:space="708" w:equalWidth="0">
            <w:col w:w="10506" w:space="0"/>
          </w:cols>
        </w:sect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" w:line="29" w:lineRule="exact"/>
      </w:pPr>
      <w:r>
        <w:drawing>
          <wp:inline distT="0" distB="0" distL="0" distR="0">
            <wp:extent cx="6588252" cy="18288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825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exact"/>
      </w:pPr>
    </w:p>
    <w:p>
      <w:pPr>
        <w:spacing w:line="14" w:lineRule="exact"/>
        <w:sectPr>
          <w:footerReference w:type="default" r:id="rId22"/>
          <w:type w:val="nextPage"/>
          <w:pgSz w:w="11906" w:h="16839"/>
          <w:pgMar w:top="914" w:right="697" w:bottom="400" w:left="703" w:header="0" w:footer="0" w:gutter="0"/>
          <w:pgNumType w:start="14"/>
          <w:cols w:num="1" w:space="708" w:equalWidth="0">
            <w:col w:w="10506" w:space="0"/>
          </w:cols>
          <w:titlePg w:val="0"/>
        </w:sectPr>
      </w:pPr>
    </w:p>
    <w:p>
      <w:pPr>
        <w:pStyle w:val="BodyText"/>
        <w:spacing w:before="80" w:line="215" w:lineRule="auto"/>
        <w:ind w:left="16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45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position w:val="1"/>
          <w:sz w:val="18"/>
          <w:szCs w:val="18"/>
        </w:rPr>
        <w:t>5 /</w:t>
      </w:r>
      <w:r>
        <w:rPr>
          <w:rFonts w:ascii="Arial" w:eastAsia="Arial" w:hAnsi="Arial" w:cs="Arial"/>
          <w:spacing w:val="6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23"/>
          <w:type w:val="continuous"/>
          <w:pgSz w:w="11906" w:h="16839"/>
          <w:pgMar w:top="914" w:right="697" w:bottom="400" w:left="703" w:header="0" w:footer="0" w:gutter="0"/>
          <w:pgNumType w:start="15"/>
          <w:cols w:num="3" w:space="708" w:equalWidth="0">
            <w:col w:w="4804" w:space="100"/>
            <w:col w:w="4123" w:space="100"/>
            <w:col w:w="1379" w:space="0"/>
          </w:cols>
        </w:sectPr>
      </w:pPr>
    </w:p>
    <w:p>
      <w:pPr>
        <w:pStyle w:val="BodyText"/>
        <w:spacing w:before="48" w:line="221" w:lineRule="auto"/>
        <w:ind w:left="9194"/>
        <w:rPr>
          <w:sz w:val="24"/>
          <w:szCs w:val="24"/>
        </w:rPr>
      </w:pPr>
      <w:r>
        <w:pict>
          <v:shape id="_x0000_s1031" style="width:420.65pt;height:0.6pt;margin-top:63pt;margin-left:121.8pt;mso-position-horizontal-relative:page;mso-position-vertical-relative:page;position:absolute;z-index:251669504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68480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2" w:line="275" w:lineRule="auto"/>
        <w:ind w:left="3130" w:right="8" w:firstLine="420"/>
        <w:jc w:val="both"/>
        <w:rPr>
          <w:sz w:val="19"/>
          <w:szCs w:val="19"/>
        </w:rPr>
      </w:pPr>
      <w:r>
        <w:rPr>
          <w:spacing w:val="6"/>
          <w:sz w:val="19"/>
          <w:szCs w:val="19"/>
        </w:rPr>
        <w:t>山东、浙江两省均在春节后发布文件提到要求省内省管</w:t>
      </w:r>
      <w:r>
        <w:rPr>
          <w:spacing w:val="5"/>
          <w:sz w:val="19"/>
          <w:szCs w:val="19"/>
        </w:rPr>
        <w:t>海域项目“应开尽开”，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标志着沿海省份对海上风电依旧持鼓励态度，</w:t>
      </w:r>
      <w:r>
        <w:rPr>
          <w:spacing w:val="-5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同时</w:t>
      </w:r>
      <w:r>
        <w:rPr>
          <w:spacing w:val="8"/>
          <w:sz w:val="19"/>
          <w:szCs w:val="19"/>
        </w:rPr>
        <w:t>山东开启市场化并网申报，并对</w:t>
      </w:r>
      <w:r>
        <w:rPr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8"/>
          <w:sz w:val="19"/>
          <w:szCs w:val="19"/>
        </w:rPr>
        <w:t>2024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年风电并网量给出了指引，我们认为，</w:t>
      </w:r>
      <w:r>
        <w:rPr>
          <w:rFonts w:ascii="SimSun" w:eastAsia="SimSun" w:hAnsi="SimSun" w:cs="SimSun"/>
          <w:spacing w:val="8"/>
          <w:sz w:val="19"/>
          <w:szCs w:val="19"/>
        </w:rPr>
        <w:t>2024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年装机预期依然高涨。</w:t>
      </w:r>
    </w:p>
    <w:p>
      <w:pPr>
        <w:spacing w:line="362" w:lineRule="auto"/>
        <w:rPr>
          <w:rFonts w:ascii="Arial"/>
          <w:sz w:val="21"/>
        </w:rPr>
      </w:pPr>
    </w:p>
    <w:p>
      <w:pPr>
        <w:pStyle w:val="BodyText"/>
        <w:spacing w:before="91" w:line="213" w:lineRule="auto"/>
        <w:ind w:left="3147" w:right="61"/>
        <w:outlineLvl w:val="1"/>
        <w:rPr>
          <w:sz w:val="28"/>
          <w:szCs w:val="28"/>
        </w:rPr>
      </w:pPr>
      <w:r>
        <w:rPr>
          <w:color w:val="002060"/>
          <w:spacing w:val="-3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氢能：交通部支持国家电投开展氢能交通试点，重庆和</w:t>
      </w:r>
      <w:r>
        <w:rPr>
          <w:color w:val="002060"/>
          <w:spacing w:val="-4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昆山</w:t>
      </w:r>
      <w:r>
        <w:rPr>
          <w:color w:val="002060"/>
          <w:sz w:val="28"/>
          <w:szCs w:val="28"/>
        </w:rPr>
        <w:t xml:space="preserve"> </w:t>
      </w:r>
      <w:r>
        <w:rPr>
          <w:color w:val="002060"/>
          <w:spacing w:val="-2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力推氢能产业发展</w:t>
      </w:r>
    </w:p>
    <w:p>
      <w:pPr>
        <w:pStyle w:val="BodyText"/>
        <w:spacing w:before="136" w:line="282" w:lineRule="auto"/>
        <w:ind w:left="3133" w:right="58" w:firstLine="428"/>
        <w:jc w:val="both"/>
        <w:rPr>
          <w:sz w:val="19"/>
          <w:szCs w:val="19"/>
        </w:rPr>
      </w:pP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重庆市力推氢能产业发展，打造西南地区氢能示范城市。</w:t>
      </w:r>
      <w:r>
        <w:rPr>
          <w:rFonts w:ascii="SimSun" w:eastAsia="SimSun" w:hAnsi="SimSun" w:cs="SimSun"/>
          <w:spacing w:val="5"/>
          <w:sz w:val="19"/>
          <w:szCs w:val="19"/>
        </w:rPr>
        <w:t>2</w:t>
      </w:r>
      <w:r>
        <w:rPr>
          <w:rFonts w:ascii="SimSun" w:eastAsia="SimSun" w:hAnsi="SimSun" w:cs="SimSun"/>
          <w:spacing w:val="-2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15 </w:t>
      </w:r>
      <w:r>
        <w:rPr>
          <w:spacing w:val="5"/>
          <w:sz w:val="19"/>
          <w:szCs w:val="19"/>
        </w:rPr>
        <w:t>日，重庆市经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济和信息化委员会发布了公开征求对《重庆市数字能源低碳城市发展行</w:t>
      </w:r>
      <w:r>
        <w:rPr>
          <w:spacing w:val="4"/>
          <w:sz w:val="19"/>
          <w:szCs w:val="19"/>
        </w:rPr>
        <w:t>动方案（</w:t>
      </w:r>
      <w:r>
        <w:rPr>
          <w:rFonts w:ascii="SimSun" w:eastAsia="SimSun" w:hAnsi="SimSun" w:cs="SimSun"/>
          <w:spacing w:val="4"/>
          <w:sz w:val="19"/>
          <w:szCs w:val="19"/>
        </w:rPr>
        <w:t>2024</w:t>
      </w:r>
      <w:r>
        <w:rPr>
          <w:rFonts w:ascii="SimSun" w:eastAsia="SimSun" w:hAnsi="SimSun" w:cs="SimSun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—</w:t>
      </w:r>
      <w:r>
        <w:rPr>
          <w:rFonts w:ascii="SimSun" w:eastAsia="SimSun" w:hAnsi="SimSun" w:cs="SimSun"/>
          <w:spacing w:val="10"/>
          <w:sz w:val="19"/>
          <w:szCs w:val="19"/>
        </w:rPr>
        <w:t>2026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年</w:t>
      </w:r>
      <w:r>
        <w:rPr>
          <w:spacing w:val="-20"/>
          <w:sz w:val="19"/>
          <w:szCs w:val="19"/>
        </w:rPr>
        <w:t>）（</w:t>
      </w:r>
      <w:r>
        <w:rPr>
          <w:spacing w:val="10"/>
          <w:sz w:val="19"/>
          <w:szCs w:val="19"/>
        </w:rPr>
        <w:t>征求意见稿）》的意见，其中指出要尽快打通渝—黔—桂等氢能干线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物流通道，到</w:t>
      </w:r>
      <w:r>
        <w:rPr>
          <w:spacing w:val="-3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2026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年，全市建成加氢站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20</w:t>
      </w:r>
      <w:r>
        <w:rPr>
          <w:rFonts w:ascii="SimSun" w:eastAsia="SimSun" w:hAnsi="SimSun" w:cs="SimSun"/>
          <w:spacing w:val="-42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座，推广氢燃料电池汽</w:t>
      </w:r>
      <w:r>
        <w:rPr>
          <w:spacing w:val="6"/>
          <w:sz w:val="19"/>
          <w:szCs w:val="19"/>
        </w:rPr>
        <w:t>车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6"/>
          <w:sz w:val="19"/>
          <w:szCs w:val="19"/>
        </w:rPr>
        <w:t>2000</w:t>
      </w:r>
      <w:r>
        <w:rPr>
          <w:rFonts w:ascii="SimSun" w:eastAsia="SimSun" w:hAnsi="SimSun" w:cs="SimSun"/>
          <w:spacing w:val="-3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辆。</w:t>
      </w:r>
    </w:p>
    <w:p>
      <w:pPr>
        <w:spacing w:line="334" w:lineRule="auto"/>
        <w:rPr>
          <w:rFonts w:ascii="Arial"/>
          <w:sz w:val="21"/>
        </w:rPr>
      </w:pPr>
    </w:p>
    <w:p>
      <w:pPr>
        <w:pStyle w:val="BodyText"/>
        <w:spacing w:before="62" w:line="287" w:lineRule="auto"/>
        <w:ind w:left="3134" w:firstLine="444"/>
        <w:jc w:val="both"/>
        <w:rPr>
          <w:sz w:val="19"/>
          <w:szCs w:val="19"/>
        </w:rPr>
      </w:pP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昆山市推进氢能产业发展，布局光（氢）储充一体化示范</w:t>
      </w:r>
      <w:r>
        <w:rPr>
          <w:spacing w:val="4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项目。</w:t>
      </w:r>
      <w:r>
        <w:rPr>
          <w:rFonts w:ascii="SimSun" w:eastAsia="SimSun" w:hAnsi="SimSun" w:cs="SimSun"/>
          <w:spacing w:val="4"/>
          <w:sz w:val="19"/>
          <w:szCs w:val="19"/>
        </w:rPr>
        <w:t>2</w:t>
      </w:r>
      <w:r>
        <w:rPr>
          <w:rFonts w:ascii="SimSun" w:eastAsia="SimSun" w:hAnsi="SimSun" w:cs="SimSun"/>
          <w:spacing w:val="-2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19 </w:t>
      </w:r>
      <w:r>
        <w:rPr>
          <w:spacing w:val="4"/>
          <w:sz w:val="19"/>
          <w:szCs w:val="19"/>
        </w:rPr>
        <w:t>日，江</w:t>
      </w:r>
      <w:r>
        <w:rPr>
          <w:sz w:val="19"/>
          <w:szCs w:val="19"/>
        </w:rPr>
        <w:t xml:space="preserve"> </w:t>
      </w:r>
      <w:r>
        <w:rPr>
          <w:spacing w:val="12"/>
          <w:sz w:val="19"/>
          <w:szCs w:val="19"/>
        </w:rPr>
        <w:t>苏省昆山市发布关于推进绿色低碳产业高质量发展的若干政策措施（试行</w:t>
      </w:r>
      <w:r>
        <w:rPr>
          <w:spacing w:val="-17"/>
          <w:sz w:val="19"/>
          <w:szCs w:val="19"/>
        </w:rPr>
        <w:t>）（</w:t>
      </w:r>
      <w:r>
        <w:rPr>
          <w:spacing w:val="12"/>
          <w:sz w:val="19"/>
          <w:szCs w:val="19"/>
        </w:rPr>
        <w:t>征求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意见稿）。其中氢能方面提及：重点支持电源侧、</w:t>
      </w:r>
      <w:r>
        <w:rPr>
          <w:spacing w:val="-45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电网侧储能设施布局建设，鼓励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工业企业、数据中心、产业园区等用户侧储能多元</w:t>
      </w:r>
      <w:r>
        <w:rPr>
          <w:spacing w:val="6"/>
          <w:sz w:val="19"/>
          <w:szCs w:val="19"/>
        </w:rPr>
        <w:t>化应用，加快建设一批技术先进、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管理规范、对本地产业发展带动性强的光（氢）储充一体化示范项目。</w:t>
      </w:r>
    </w:p>
    <w:p>
      <w:pPr>
        <w:spacing w:line="330" w:lineRule="auto"/>
        <w:rPr>
          <w:rFonts w:ascii="Arial"/>
          <w:sz w:val="21"/>
        </w:rPr>
      </w:pPr>
    </w:p>
    <w:p>
      <w:pPr>
        <w:pStyle w:val="BodyText"/>
        <w:spacing w:before="62" w:line="290" w:lineRule="auto"/>
        <w:ind w:left="3124" w:right="39" w:firstLine="445"/>
        <w:jc w:val="both"/>
        <w:rPr>
          <w:sz w:val="19"/>
          <w:szCs w:val="19"/>
        </w:rPr>
      </w:pPr>
      <w:r>
        <w:rPr>
          <w:spacing w:val="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交通部支持国家电投开展氢能交通试点，助力氢能产业加速发展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rFonts w:ascii="SimSun" w:eastAsia="SimSun" w:hAnsi="SimSun" w:cs="SimSun"/>
          <w:spacing w:val="5"/>
          <w:sz w:val="19"/>
          <w:szCs w:val="19"/>
        </w:rPr>
        <w:t>2</w:t>
      </w:r>
      <w:r>
        <w:rPr>
          <w:rFonts w:ascii="SimSun" w:eastAsia="SimSun" w:hAnsi="SimSun" w:cs="SimSun"/>
          <w:spacing w:val="-27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31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5"/>
          <w:sz w:val="19"/>
          <w:szCs w:val="19"/>
        </w:rPr>
        <w:t xml:space="preserve">20 </w:t>
      </w:r>
      <w:r>
        <w:rPr>
          <w:spacing w:val="5"/>
          <w:sz w:val="19"/>
          <w:szCs w:val="19"/>
        </w:rPr>
        <w:t>日，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交通运输部发布关于国家电力投资集团有限公司开展重</w:t>
      </w:r>
      <w:r>
        <w:rPr>
          <w:spacing w:val="10"/>
          <w:sz w:val="19"/>
          <w:szCs w:val="19"/>
        </w:rPr>
        <w:t>卡换电站建设组网与运营示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范等交通强国建设试点工作的意见。其中指出：原则同</w:t>
      </w:r>
      <w:r>
        <w:rPr>
          <w:spacing w:val="10"/>
          <w:sz w:val="19"/>
          <w:szCs w:val="19"/>
        </w:rPr>
        <w:t>意在重卡换电站建设组网与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运营示范、氢燃料电池研发与氢能交通运营平台应用、</w:t>
      </w:r>
      <w:r>
        <w:rPr>
          <w:spacing w:val="10"/>
          <w:sz w:val="19"/>
          <w:szCs w:val="19"/>
        </w:rPr>
        <w:t>城市级绿能交通体系建设与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应用等方面开展试点；统筹推进、</w:t>
      </w:r>
      <w:r>
        <w:rPr>
          <w:spacing w:val="-57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突出重点，力争</w:t>
      </w:r>
      <w:r>
        <w:rPr>
          <w:spacing w:val="9"/>
          <w:sz w:val="19"/>
          <w:szCs w:val="19"/>
        </w:rPr>
        <w:t>在氢燃料电池研发等方面取得突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破性进展。</w:t>
      </w:r>
    </w:p>
    <w:p>
      <w:pPr>
        <w:spacing w:line="360" w:lineRule="auto"/>
        <w:rPr>
          <w:rFonts w:ascii="Arial"/>
          <w:sz w:val="21"/>
        </w:rPr>
      </w:pPr>
    </w:p>
    <w:p>
      <w:pPr>
        <w:pStyle w:val="BodyText"/>
        <w:spacing w:before="92" w:line="215" w:lineRule="auto"/>
        <w:ind w:left="3128" w:right="59"/>
        <w:outlineLvl w:val="1"/>
        <w:rPr>
          <w:sz w:val="28"/>
          <w:szCs w:val="28"/>
        </w:rPr>
      </w:pPr>
      <w:r>
        <w:rPr>
          <w:color w:val="002060"/>
          <w:spacing w:val="-2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人形机器人：核心供应商坚定产业链信心，英</w:t>
      </w:r>
      <w:r>
        <w:rPr>
          <w:color w:val="002060"/>
          <w:spacing w:val="-3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伟达有望更新</w:t>
      </w:r>
      <w:r>
        <w:rPr>
          <w:color w:val="002060"/>
          <w:sz w:val="28"/>
          <w:szCs w:val="28"/>
        </w:rPr>
        <w:t xml:space="preserve"> </w:t>
      </w:r>
      <w:r>
        <w:rPr>
          <w:color w:val="002060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机器人相关应用</w:t>
      </w:r>
    </w:p>
    <w:p>
      <w:pPr>
        <w:pStyle w:val="BodyText"/>
        <w:spacing w:before="129" w:line="287" w:lineRule="auto"/>
        <w:ind w:left="3127" w:right="59" w:firstLine="448"/>
        <w:jc w:val="both"/>
        <w:rPr>
          <w:sz w:val="19"/>
          <w:szCs w:val="19"/>
        </w:rPr>
      </w:pP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国资委推进中央企业人工智能创新，助力人形机器人产</w:t>
      </w:r>
      <w:r>
        <w:rPr>
          <w:spacing w:val="4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业发展。</w:t>
      </w:r>
      <w:r>
        <w:rPr>
          <w:rFonts w:ascii="SimSun" w:eastAsia="SimSun" w:hAnsi="SimSun" w:cs="SimSun"/>
          <w:spacing w:val="4"/>
          <w:sz w:val="19"/>
          <w:szCs w:val="19"/>
        </w:rPr>
        <w:t>2</w:t>
      </w:r>
      <w:r>
        <w:rPr>
          <w:rFonts w:ascii="SimSun" w:eastAsia="SimSun" w:hAnsi="SimSun" w:cs="SimSun"/>
          <w:spacing w:val="-2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20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 xml:space="preserve">19 </w:t>
      </w:r>
      <w:r>
        <w:rPr>
          <w:spacing w:val="4"/>
          <w:sz w:val="19"/>
          <w:szCs w:val="19"/>
        </w:rPr>
        <w:t>日，国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务院国资委召开</w:t>
      </w:r>
      <w:r>
        <w:rPr>
          <w:spacing w:val="-56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“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赋能</w:t>
      </w:r>
      <w:r>
        <w:rPr>
          <w:spacing w:val="10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产业焕新”</w:t>
      </w:r>
      <w:r>
        <w:rPr>
          <w:spacing w:val="-64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中央企业人工智能专题推进会。人工智能是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人形机器人的核心技术之一，其发展水平直接影响</w:t>
      </w:r>
      <w:r>
        <w:rPr>
          <w:spacing w:val="10"/>
          <w:sz w:val="19"/>
          <w:szCs w:val="19"/>
        </w:rPr>
        <w:t>人形机器人的智能化程度和应用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场景。</w:t>
      </w:r>
      <w:r>
        <w:rPr>
          <w:spacing w:val="-3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中央企业在人工智能领域的创新，将有助于推动人形机器人的技术进步和产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业发展。</w:t>
      </w:r>
    </w:p>
    <w:p>
      <w:pPr>
        <w:spacing w:line="333" w:lineRule="auto"/>
        <w:rPr>
          <w:rFonts w:ascii="Arial"/>
          <w:sz w:val="21"/>
        </w:rPr>
      </w:pPr>
    </w:p>
    <w:p>
      <w:pPr>
        <w:pStyle w:val="BodyText"/>
        <w:spacing w:before="62" w:line="291" w:lineRule="auto"/>
        <w:ind w:left="3126" w:firstLine="431"/>
        <w:rPr>
          <w:sz w:val="19"/>
          <w:szCs w:val="19"/>
        </w:rPr>
        <w:sectPr>
          <w:footerReference w:type="default" r:id="rId24"/>
          <w:pgSz w:w="11906" w:h="16839"/>
          <w:pgMar w:top="914" w:right="792" w:bottom="400" w:left="703" w:header="0" w:footer="0" w:gutter="0"/>
          <w:pgNumType w:start="16"/>
          <w:cols w:num="1" w:space="708" w:equalWidth="0">
            <w:col w:w="10411" w:space="0"/>
          </w:cols>
        </w:sectPr>
      </w:pP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英伟达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GTC</w:t>
      </w:r>
      <w:r>
        <w:rPr>
          <w:rFonts w:ascii="SimSun" w:eastAsia="SimSun" w:hAnsi="SimSun" w:cs="SimSun"/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2024</w:t>
      </w:r>
      <w:r>
        <w:rPr>
          <w:rFonts w:ascii="SimSun" w:eastAsia="SimSun" w:hAnsi="SimSun" w:cs="SimSun"/>
          <w:spacing w:val="-20"/>
          <w:sz w:val="19"/>
          <w:szCs w:val="19"/>
        </w:rPr>
        <w:t xml:space="preserve"> </w:t>
      </w:r>
      <w:r>
        <w:rPr>
          <w:spacing w:val="8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大会有望更新机器人相关应用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7"/>
          <w:sz w:val="19"/>
          <w:szCs w:val="19"/>
        </w:rPr>
        <w:t>英伟达宣布将于</w:t>
      </w:r>
      <w:r>
        <w:rPr>
          <w:spacing w:val="-28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3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月</w:t>
      </w:r>
      <w:r>
        <w:rPr>
          <w:spacing w:val="-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18 </w:t>
      </w:r>
      <w:r>
        <w:rPr>
          <w:spacing w:val="7"/>
          <w:sz w:val="19"/>
          <w:szCs w:val="19"/>
        </w:rPr>
        <w:t>日至</w:t>
      </w:r>
      <w:r>
        <w:rPr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21 </w:t>
      </w:r>
      <w:r>
        <w:rPr>
          <w:spacing w:val="7"/>
          <w:sz w:val="19"/>
          <w:szCs w:val="19"/>
        </w:rPr>
        <w:t>日在圣何塞会议中心举办</w:t>
      </w:r>
      <w:r>
        <w:rPr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GTC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2024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大会，</w:t>
      </w:r>
      <w:r>
        <w:rPr>
          <w:spacing w:val="6"/>
          <w:sz w:val="19"/>
          <w:szCs w:val="19"/>
        </w:rPr>
        <w:t>创始人黄仁勋将发表主题演讲，并预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计邀请</w:t>
      </w:r>
      <w:r>
        <w:rPr>
          <w:spacing w:val="-40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OPEN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rFonts w:ascii="SimSun" w:eastAsia="SimSun" w:hAnsi="SimSun" w:cs="SimSun"/>
          <w:spacing w:val="-30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首席运营官、微软生成式</w:t>
      </w:r>
      <w:r>
        <w:rPr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rFonts w:ascii="SimSun" w:eastAsia="SimSun" w:hAnsi="SimSun" w:cs="SimSun"/>
          <w:spacing w:val="-33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业务副总裁、</w:t>
      </w:r>
      <w:r>
        <w:rPr>
          <w:rFonts w:ascii="SimSun" w:eastAsia="SimSun" w:hAnsi="SimSun" w:cs="SimSun"/>
          <w:sz w:val="19"/>
          <w:szCs w:val="19"/>
        </w:rPr>
        <w:t>META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rFonts w:ascii="SimSun" w:eastAsia="SimSun" w:hAnsi="SimSun" w:cs="SimSun"/>
          <w:spacing w:val="-45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研究</w:t>
      </w:r>
      <w:r>
        <w:rPr>
          <w:spacing w:val="10"/>
          <w:sz w:val="19"/>
          <w:szCs w:val="19"/>
        </w:rPr>
        <w:t>副总裁、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李飞飞等嘉宾参与。在机器人方面，</w:t>
      </w:r>
      <w:r>
        <w:rPr>
          <w:rFonts w:ascii="SimSun" w:eastAsia="SimSun" w:hAnsi="SimSun" w:cs="SimSun"/>
          <w:sz w:val="19"/>
          <w:szCs w:val="19"/>
        </w:rPr>
        <w:t>Agility</w:t>
      </w:r>
      <w:r>
        <w:rPr>
          <w:rFonts w:ascii="SimSun" w:eastAsia="SimSun" w:hAnsi="SimSun" w:cs="SimSun"/>
          <w:spacing w:val="9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Robotics</w:t>
      </w:r>
      <w:r>
        <w:rPr>
          <w:spacing w:val="9"/>
          <w:sz w:val="19"/>
          <w:szCs w:val="19"/>
        </w:rPr>
        <w:t>、波士顿动力公司、迪士尼</w:t>
      </w:r>
      <w:r>
        <w:rPr>
          <w:spacing w:val="18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和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Google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DeepMind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等公司还将在现场展出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25  </w:t>
      </w:r>
      <w:r>
        <w:rPr>
          <w:spacing w:val="7"/>
          <w:sz w:val="19"/>
          <w:szCs w:val="19"/>
        </w:rPr>
        <w:t>款机器人，包括人形机器人、</w:t>
      </w:r>
      <w:r>
        <w:rPr>
          <w:spacing w:val="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工业机械手等。</w:t>
      </w:r>
      <w:r>
        <w:rPr>
          <w:spacing w:val="-24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自黄仁勋在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2014  </w:t>
      </w:r>
      <w:r>
        <w:rPr>
          <w:spacing w:val="7"/>
          <w:sz w:val="19"/>
          <w:szCs w:val="19"/>
        </w:rPr>
        <w:t>年</w:t>
      </w:r>
      <w:r>
        <w:rPr>
          <w:spacing w:val="7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GTC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主题演讲中首</w:t>
      </w:r>
      <w:r>
        <w:rPr>
          <w:spacing w:val="6"/>
          <w:sz w:val="19"/>
          <w:szCs w:val="19"/>
        </w:rPr>
        <w:t>次强调机器学习以来，</w:t>
      </w:r>
      <w:r>
        <w:rPr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NVIDIA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spacing w:val="11"/>
          <w:sz w:val="19"/>
          <w:szCs w:val="19"/>
        </w:rPr>
        <w:t>一直身处</w:t>
      </w:r>
      <w:r>
        <w:rPr>
          <w:spacing w:val="11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spacing w:val="11"/>
          <w:sz w:val="19"/>
          <w:szCs w:val="19"/>
        </w:rPr>
        <w:t>变革的最前沿。</w:t>
      </w:r>
      <w:r>
        <w:rPr>
          <w:rFonts w:ascii="SimSun" w:eastAsia="SimSun" w:hAnsi="SimSun" w:cs="SimSun"/>
          <w:sz w:val="19"/>
          <w:szCs w:val="19"/>
        </w:rPr>
        <w:t>NVIDIA</w:t>
      </w:r>
      <w:r>
        <w:rPr>
          <w:rFonts w:ascii="SimSun" w:eastAsia="SimSun" w:hAnsi="SimSun" w:cs="SimSun"/>
          <w:spacing w:val="15"/>
          <w:sz w:val="19"/>
          <w:szCs w:val="19"/>
        </w:rPr>
        <w:t xml:space="preserve">  </w:t>
      </w:r>
      <w:r>
        <w:rPr>
          <w:spacing w:val="11"/>
          <w:sz w:val="19"/>
          <w:szCs w:val="19"/>
        </w:rPr>
        <w:t>的平台在众多领域的</w:t>
      </w:r>
      <w:r>
        <w:rPr>
          <w:spacing w:val="11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spacing w:val="11"/>
          <w:sz w:val="19"/>
          <w:szCs w:val="19"/>
        </w:rPr>
        <w:t>应用</w:t>
      </w:r>
    </w:p>
    <w:p>
      <w:pPr>
        <w:spacing w:line="435" w:lineRule="auto"/>
        <w:rPr>
          <w:rFonts w:ascii="Arial"/>
          <w:sz w:val="21"/>
        </w:rPr>
      </w:pPr>
    </w:p>
    <w:p>
      <w:pPr>
        <w:spacing w:before="1" w:line="29" w:lineRule="exact"/>
      </w:pPr>
      <w:r>
        <w:drawing>
          <wp:inline distT="0" distB="0" distL="0" distR="0">
            <wp:extent cx="6588252" cy="18288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825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exact"/>
      </w:pPr>
    </w:p>
    <w:p>
      <w:pPr>
        <w:spacing w:line="14" w:lineRule="exact"/>
        <w:sectPr>
          <w:footerReference w:type="default" r:id="rId25"/>
          <w:type w:val="nextPage"/>
          <w:pgSz w:w="11906" w:h="16839"/>
          <w:pgMar w:top="914" w:right="792" w:bottom="400" w:left="703" w:header="0" w:footer="0" w:gutter="0"/>
          <w:pgNumType w:start="17"/>
          <w:cols w:num="1" w:space="708" w:equalWidth="0">
            <w:col w:w="10411" w:space="0"/>
          </w:cols>
          <w:titlePg w:val="0"/>
        </w:sectPr>
      </w:pPr>
    </w:p>
    <w:p>
      <w:pPr>
        <w:pStyle w:val="BodyText"/>
        <w:spacing w:before="80" w:line="215" w:lineRule="auto"/>
        <w:ind w:left="16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45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position w:val="1"/>
          <w:sz w:val="18"/>
          <w:szCs w:val="18"/>
        </w:rPr>
        <w:t>6 /</w:t>
      </w:r>
      <w:r>
        <w:rPr>
          <w:rFonts w:ascii="Arial" w:eastAsia="Arial" w:hAnsi="Arial" w:cs="Arial"/>
          <w:spacing w:val="7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26"/>
          <w:type w:val="continuous"/>
          <w:pgSz w:w="11906" w:h="16839"/>
          <w:pgMar w:top="914" w:right="792" w:bottom="400" w:left="703" w:header="0" w:footer="0" w:gutter="0"/>
          <w:pgNumType w:start="18"/>
          <w:cols w:num="3" w:space="708" w:equalWidth="0">
            <w:col w:w="4803" w:space="100"/>
            <w:col w:w="4124" w:space="100"/>
            <w:col w:w="1285" w:space="0"/>
          </w:cols>
        </w:sectPr>
      </w:pPr>
    </w:p>
    <w:p>
      <w:pPr>
        <w:pStyle w:val="BodyText"/>
        <w:spacing w:before="48" w:line="221" w:lineRule="auto"/>
        <w:ind w:left="9194"/>
        <w:rPr>
          <w:sz w:val="24"/>
          <w:szCs w:val="24"/>
        </w:rPr>
      </w:pPr>
      <w:r>
        <w:pict>
          <v:shape id="_x0000_s1032" style="width:420.65pt;height:0.6pt;margin-top:63pt;margin-left:121.8pt;mso-position-horizontal-relative:page;mso-position-vertical-relative:page;position:absolute;z-index:251671552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spacing w:line="241" w:lineRule="auto"/>
        <w:rPr>
          <w:rFonts w:ascii="Arial"/>
          <w:sz w:val="21"/>
        </w:rPr>
      </w:pPr>
    </w:p>
    <w:p>
      <w:pPr>
        <w:pStyle w:val="BodyText"/>
        <w:spacing w:before="61" w:line="264" w:lineRule="auto"/>
        <w:ind w:left="3137" w:right="59" w:firstLine="15"/>
        <w:rPr>
          <w:sz w:val="19"/>
          <w:szCs w:val="19"/>
        </w:rPr>
      </w:pPr>
      <w:r>
        <w:rPr>
          <w:spacing w:val="7"/>
          <w:sz w:val="19"/>
          <w:szCs w:val="19"/>
        </w:rPr>
        <w:t>中发挥了至关重要的作用，</w:t>
      </w:r>
      <w:r>
        <w:rPr>
          <w:spacing w:val="-3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包括大语言模型、生物学、</w:t>
      </w:r>
      <w:r>
        <w:rPr>
          <w:spacing w:val="-4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网络安全、数据中心和云计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算、对话式</w:t>
      </w:r>
      <w:r>
        <w:rPr>
          <w:spacing w:val="8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spacing w:val="8"/>
          <w:sz w:val="19"/>
          <w:szCs w:val="19"/>
        </w:rPr>
        <w:t>、</w:t>
      </w:r>
      <w:r>
        <w:rPr>
          <w:spacing w:val="-50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网络、物理学、机器人学以及量子计算、科学计算和边缘计算。</w:t>
      </w:r>
    </w:p>
    <w:p>
      <w:pPr>
        <w:spacing w:line="326" w:lineRule="auto"/>
        <w:rPr>
          <w:rFonts w:ascii="Arial"/>
          <w:sz w:val="21"/>
        </w:rPr>
      </w:pPr>
    </w:p>
    <w:p>
      <w:pPr>
        <w:pStyle w:val="BodyText"/>
        <w:spacing w:before="62" w:line="287" w:lineRule="auto"/>
        <w:ind w:left="3127" w:right="58" w:firstLine="426"/>
        <w:jc w:val="both"/>
        <w:rPr>
          <w:sz w:val="19"/>
          <w:szCs w:val="19"/>
        </w:rPr>
      </w:pPr>
      <w:r>
        <w:rPr>
          <w:rFonts w:ascii="SimSun" w:eastAsia="SimSun" w:hAnsi="SimSun" w:cs="SimSun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FigureAI</w:t>
      </w:r>
      <w:r>
        <w:rPr>
          <w:rFonts w:ascii="SimSun" w:eastAsia="SimSun" w:hAnsi="SimSun" w:cs="SimSun"/>
          <w:spacing w:val="31"/>
          <w:sz w:val="19"/>
          <w:szCs w:val="19"/>
        </w:rPr>
        <w:t xml:space="preserve"> 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今</w:t>
      </w:r>
      <w:r>
        <w:rPr>
          <w:spacing w:val="-49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晨</w:t>
      </w:r>
      <w:r>
        <w:rPr>
          <w:spacing w:val="-50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再</w:t>
      </w:r>
      <w:r>
        <w:rPr>
          <w:spacing w:val="-45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获</w:t>
      </w:r>
      <w:r>
        <w:rPr>
          <w:spacing w:val="-48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亿</w:t>
      </w:r>
      <w:r>
        <w:rPr>
          <w:spacing w:val="-47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元</w:t>
      </w:r>
      <w:r>
        <w:rPr>
          <w:spacing w:val="-37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融</w:t>
      </w:r>
      <w:r>
        <w:rPr>
          <w:spacing w:val="-33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资</w:t>
      </w:r>
      <w:r>
        <w:rPr>
          <w:spacing w:val="-25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，</w:t>
      </w:r>
      <w:r>
        <w:rPr>
          <w:spacing w:val="-34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英</w:t>
      </w:r>
      <w:r>
        <w:rPr>
          <w:spacing w:val="-51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伟</w:t>
      </w:r>
      <w:r>
        <w:rPr>
          <w:spacing w:val="-37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达</w:t>
      </w:r>
      <w:r>
        <w:rPr>
          <w:spacing w:val="-43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参</w:t>
      </w:r>
      <w:r>
        <w:rPr>
          <w:spacing w:val="-54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投</w:t>
      </w:r>
      <w:r>
        <w:rPr>
          <w:spacing w:val="-55"/>
          <w:sz w:val="19"/>
          <w:szCs w:val="19"/>
        </w:rPr>
        <w:t xml:space="preserve"> </w:t>
      </w:r>
      <w:r>
        <w:rPr>
          <w:spacing w:val="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。</w:t>
      </w:r>
      <w:r>
        <w:rPr>
          <w:spacing w:val="-27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今</w:t>
      </w:r>
      <w:r>
        <w:rPr>
          <w:spacing w:val="-5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晨</w:t>
      </w:r>
      <w:r>
        <w:rPr>
          <w:spacing w:val="-33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彭</w:t>
      </w:r>
      <w:r>
        <w:rPr>
          <w:spacing w:val="-48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博</w:t>
      </w:r>
      <w:r>
        <w:rPr>
          <w:spacing w:val="-49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社</w:t>
      </w:r>
      <w:r>
        <w:rPr>
          <w:spacing w:val="-54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发</w:t>
      </w:r>
      <w:r>
        <w:rPr>
          <w:spacing w:val="-45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布</w:t>
      </w:r>
      <w:r>
        <w:rPr>
          <w:spacing w:val="-51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报</w:t>
      </w:r>
      <w:r>
        <w:rPr>
          <w:spacing w:val="-46"/>
          <w:sz w:val="19"/>
          <w:szCs w:val="19"/>
        </w:rPr>
        <w:t xml:space="preserve"> </w:t>
      </w:r>
      <w:r>
        <w:rPr>
          <w:spacing w:val="2"/>
          <w:sz w:val="19"/>
          <w:szCs w:val="19"/>
        </w:rPr>
        <w:t>道</w:t>
      </w:r>
      <w:r>
        <w:rPr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Figure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AI</w:t>
      </w:r>
      <w:r>
        <w:rPr>
          <w:rFonts w:ascii="SimSun" w:eastAsia="SimSun" w:hAnsi="SimSun" w:cs="SimSun"/>
          <w:spacing w:val="11"/>
          <w:sz w:val="19"/>
          <w:szCs w:val="19"/>
        </w:rPr>
        <w:t xml:space="preserve">  </w:t>
      </w:r>
      <w:r>
        <w:rPr>
          <w:spacing w:val="11"/>
          <w:sz w:val="19"/>
          <w:szCs w:val="19"/>
        </w:rPr>
        <w:t>再次获得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11"/>
          <w:sz w:val="19"/>
          <w:szCs w:val="19"/>
        </w:rPr>
        <w:t>6.75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亿美元融资，消息</w:t>
      </w:r>
      <w:r>
        <w:rPr>
          <w:spacing w:val="10"/>
          <w:sz w:val="19"/>
          <w:szCs w:val="19"/>
        </w:rPr>
        <w:t>称投资人包括亚马逊和</w:t>
      </w:r>
      <w:r>
        <w:rPr>
          <w:spacing w:val="10"/>
          <w:sz w:val="19"/>
          <w:szCs w:val="19"/>
        </w:rPr>
        <w:t xml:space="preserve">  </w:t>
      </w:r>
      <w:r>
        <w:rPr>
          <w:rFonts w:ascii="SimSun" w:eastAsia="SimSun" w:hAnsi="SimSun" w:cs="SimSun"/>
          <w:sz w:val="19"/>
          <w:szCs w:val="19"/>
        </w:rPr>
        <w:t>Bezos</w:t>
      </w:r>
      <w:r>
        <w:rPr>
          <w:spacing w:val="10"/>
          <w:sz w:val="19"/>
          <w:szCs w:val="19"/>
        </w:rPr>
        <w:t>，微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软（</w:t>
      </w:r>
      <w:r>
        <w:rPr>
          <w:rFonts w:ascii="SimSun" w:eastAsia="SimSun" w:hAnsi="SimSun" w:cs="SimSun"/>
          <w:spacing w:val="4"/>
          <w:sz w:val="19"/>
          <w:szCs w:val="19"/>
        </w:rPr>
        <w:t>9500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万美元）和英伟达（</w:t>
      </w:r>
      <w:r>
        <w:rPr>
          <w:rFonts w:ascii="SimSun" w:eastAsia="SimSun" w:hAnsi="SimSun" w:cs="SimSun"/>
          <w:spacing w:val="4"/>
          <w:sz w:val="19"/>
          <w:szCs w:val="19"/>
        </w:rPr>
        <w:t>5000</w:t>
      </w:r>
      <w:r>
        <w:rPr>
          <w:rFonts w:ascii="SimSun" w:eastAsia="SimSun" w:hAnsi="SimSun" w:cs="SimSun"/>
          <w:spacing w:val="-3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万美元</w:t>
      </w:r>
      <w:r>
        <w:rPr>
          <w:spacing w:val="-1"/>
          <w:sz w:val="19"/>
          <w:szCs w:val="19"/>
        </w:rPr>
        <w:t>），</w:t>
      </w:r>
      <w:r>
        <w:rPr>
          <w:spacing w:val="4"/>
          <w:sz w:val="19"/>
          <w:szCs w:val="19"/>
        </w:rPr>
        <w:t>三星、</w:t>
      </w:r>
      <w:r>
        <w:rPr>
          <w:rFonts w:ascii="SimSun" w:eastAsia="SimSun" w:hAnsi="SimSun" w:cs="SimSun"/>
          <w:sz w:val="19"/>
          <w:szCs w:val="19"/>
        </w:rPr>
        <w:t>LG</w:t>
      </w:r>
      <w:r>
        <w:rPr>
          <w:rFonts w:ascii="SimSun" w:eastAsia="SimSun" w:hAnsi="SimSun" w:cs="SimSun"/>
          <w:spacing w:val="-2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亦有参与。</w:t>
      </w:r>
      <w:r>
        <w:rPr>
          <w:spacing w:val="-40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日前，</w:t>
      </w:r>
      <w:r>
        <w:rPr>
          <w:rFonts w:ascii="SimSun" w:eastAsia="SimSun" w:hAnsi="SimSun" w:cs="SimSun"/>
          <w:sz w:val="19"/>
          <w:szCs w:val="19"/>
        </w:rPr>
        <w:t xml:space="preserve">FigureAI </w:t>
      </w:r>
      <w:r>
        <w:rPr>
          <w:spacing w:val="7"/>
          <w:sz w:val="19"/>
          <w:szCs w:val="19"/>
        </w:rPr>
        <w:t>已与</w:t>
      </w:r>
      <w:r>
        <w:rPr>
          <w:spacing w:val="-39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BMW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 </w:t>
      </w:r>
      <w:r>
        <w:rPr>
          <w:spacing w:val="7"/>
          <w:sz w:val="19"/>
          <w:szCs w:val="19"/>
        </w:rPr>
        <w:t>签署协议，在宝马工厂部署并测试人形机器人，</w:t>
      </w:r>
      <w:r>
        <w:rPr>
          <w:spacing w:val="-51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目标</w:t>
      </w:r>
      <w:r>
        <w:rPr>
          <w:spacing w:val="-3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>2024</w:t>
      </w:r>
      <w:r>
        <w:rPr>
          <w:rFonts w:ascii="SimSun" w:eastAsia="SimSun" w:hAnsi="SimSun" w:cs="SimSun"/>
          <w:spacing w:val="-40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年底实现商业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化应用，本轮融资有望助力公司推进新一代人</w:t>
      </w:r>
      <w:r>
        <w:rPr>
          <w:spacing w:val="9"/>
          <w:sz w:val="19"/>
          <w:szCs w:val="19"/>
        </w:rPr>
        <w:t>形机器人的训练及产业化落地。</w:t>
      </w:r>
    </w:p>
    <w:p>
      <w:pPr>
        <w:spacing w:line="332" w:lineRule="auto"/>
        <w:rPr>
          <w:rFonts w:ascii="Arial"/>
          <w:sz w:val="21"/>
        </w:rPr>
      </w:pPr>
    </w:p>
    <w:p>
      <w:pPr>
        <w:pStyle w:val="BodyText"/>
        <w:spacing w:before="61" w:line="288" w:lineRule="auto"/>
        <w:ind w:left="3127" w:firstLine="434"/>
        <w:jc w:val="both"/>
        <w:rPr>
          <w:sz w:val="19"/>
          <w:szCs w:val="19"/>
        </w:rPr>
      </w:pPr>
      <w:r>
        <w:rPr>
          <w:spacing w:val="12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天太发布全球首款仿人脊柱人形机器人。</w:t>
      </w:r>
      <w:r>
        <w:rPr>
          <w:spacing w:val="12"/>
          <w:sz w:val="19"/>
          <w:szCs w:val="19"/>
        </w:rPr>
        <w:t>近日天</w:t>
      </w:r>
      <w:r>
        <w:rPr>
          <w:spacing w:val="11"/>
          <w:sz w:val="19"/>
          <w:szCs w:val="19"/>
        </w:rPr>
        <w:t>太机器人</w:t>
      </w:r>
      <w:r>
        <w:rPr>
          <w:spacing w:val="-36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TTbot</w:t>
      </w:r>
      <w:r>
        <w:rPr>
          <w:spacing w:val="11"/>
          <w:sz w:val="19"/>
          <w:szCs w:val="19"/>
        </w:rPr>
        <w:t>（国内专注机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器人核心运动单元的高新企业）发布了全球首款具</w:t>
      </w:r>
      <w:r>
        <w:rPr>
          <w:spacing w:val="10"/>
          <w:sz w:val="19"/>
          <w:szCs w:val="19"/>
        </w:rPr>
        <w:t>有仿人脊柱核心功能的人形机器</w:t>
      </w:r>
      <w:r>
        <w:rPr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人，并推出具有仿人脊柱功能的通用型人形机器人平台。此款机器人身高约</w:t>
      </w:r>
      <w:r>
        <w:rPr>
          <w:spacing w:val="-17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3"/>
          <w:sz w:val="19"/>
          <w:szCs w:val="19"/>
        </w:rPr>
        <w:t>1.65</w:t>
      </w:r>
      <w:r>
        <w:rPr>
          <w:rFonts w:ascii="SimSun" w:eastAsia="SimSun" w:hAnsi="SimSun" w:cs="SimSun"/>
          <w:spacing w:val="-38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米，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全身共有</w:t>
      </w:r>
      <w:r>
        <w:rPr>
          <w:spacing w:val="-22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64</w:t>
      </w:r>
      <w:r>
        <w:rPr>
          <w:rFonts w:ascii="SimSun" w:eastAsia="SimSun" w:hAnsi="SimSun" w:cs="SimSun"/>
          <w:spacing w:val="-35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个自由度，实现了仿人脊柱核心功能，行走速度可达</w:t>
      </w:r>
      <w:r>
        <w:rPr>
          <w:spacing w:val="-33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4"/>
          <w:sz w:val="19"/>
          <w:szCs w:val="19"/>
        </w:rPr>
        <w:t>5</w:t>
      </w:r>
      <w:r>
        <w:rPr>
          <w:rFonts w:ascii="SimSun" w:eastAsia="SimSun" w:hAnsi="SimSun" w:cs="SimSun"/>
          <w:sz w:val="19"/>
          <w:szCs w:val="19"/>
        </w:rPr>
        <w:t>km</w:t>
      </w:r>
      <w:r>
        <w:rPr>
          <w:rFonts w:ascii="SimSun" w:eastAsia="SimSun" w:hAnsi="SimSun" w:cs="SimSun"/>
          <w:spacing w:val="4"/>
          <w:sz w:val="19"/>
          <w:szCs w:val="19"/>
        </w:rPr>
        <w:t>/h</w:t>
      </w:r>
      <w:r>
        <w:rPr>
          <w:spacing w:val="4"/>
          <w:sz w:val="19"/>
          <w:szCs w:val="19"/>
        </w:rPr>
        <w:t>，具备跳跃、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上下楼梯、爬坡等多种能力。</w:t>
      </w:r>
    </w:p>
    <w:p>
      <w:pPr>
        <w:spacing w:line="327" w:lineRule="auto"/>
        <w:rPr>
          <w:rFonts w:ascii="Arial"/>
          <w:sz w:val="21"/>
        </w:rPr>
      </w:pPr>
    </w:p>
    <w:p>
      <w:pPr>
        <w:pStyle w:val="BodyText"/>
        <w:spacing w:before="62" w:line="291" w:lineRule="auto"/>
        <w:ind w:left="3127" w:firstLine="424"/>
        <w:jc w:val="both"/>
        <w:rPr>
          <w:sz w:val="19"/>
          <w:szCs w:val="19"/>
        </w:rPr>
      </w:pPr>
      <w:r>
        <w:rPr>
          <w:spacing w:val="13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优必选人形机器人</w:t>
      </w:r>
      <w:r>
        <w:rPr>
          <w:spacing w:val="-23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Walker</w:t>
      </w:r>
      <w:r>
        <w:rPr>
          <w:rFonts w:ascii="SimSun" w:eastAsia="SimSun" w:hAnsi="SimSun" w:cs="SimSun"/>
          <w:spacing w:val="13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S</w:t>
      </w:r>
      <w:r>
        <w:rPr>
          <w:rFonts w:ascii="SimSun" w:eastAsia="SimSun" w:hAnsi="SimSun" w:cs="SimSun"/>
          <w:spacing w:val="-32"/>
          <w:sz w:val="19"/>
          <w:szCs w:val="19"/>
        </w:rPr>
        <w:t xml:space="preserve"> </w:t>
      </w:r>
      <w:r>
        <w:rPr>
          <w:spacing w:val="13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进入新能源汽车工厂实训，展现工业场景应用能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力。</w:t>
      </w:r>
      <w:r>
        <w:rPr>
          <w:rFonts w:ascii="SimSun" w:eastAsia="SimSun" w:hAnsi="SimSun" w:cs="SimSun"/>
          <w:spacing w:val="7"/>
          <w:sz w:val="19"/>
          <w:szCs w:val="19"/>
        </w:rPr>
        <w:t>2</w:t>
      </w:r>
      <w:r>
        <w:rPr>
          <w:rFonts w:ascii="SimSun" w:eastAsia="SimSun" w:hAnsi="SimSun" w:cs="SimSun"/>
          <w:spacing w:val="-25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月</w:t>
      </w:r>
      <w:r>
        <w:rPr>
          <w:spacing w:val="-34"/>
          <w:sz w:val="19"/>
          <w:szCs w:val="19"/>
        </w:rPr>
        <w:t xml:space="preserve"> 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22 </w:t>
      </w:r>
      <w:r>
        <w:rPr>
          <w:spacing w:val="7"/>
          <w:sz w:val="19"/>
          <w:szCs w:val="19"/>
        </w:rPr>
        <w:t>日，深圳本土企业优必选公布的一段</w:t>
      </w:r>
      <w:r>
        <w:rPr>
          <w:spacing w:val="6"/>
          <w:sz w:val="19"/>
          <w:szCs w:val="19"/>
        </w:rPr>
        <w:t>视频透露，优必选工业版人形机器</w:t>
      </w:r>
      <w:r>
        <w:rPr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人</w:t>
      </w:r>
      <w:r>
        <w:rPr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Walker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S</w:t>
      </w:r>
      <w:r>
        <w:rPr>
          <w:rFonts w:ascii="SimSun" w:eastAsia="SimSun" w:hAnsi="SimSun" w:cs="SimSun"/>
          <w:spacing w:val="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已经在新能源汽车工厂</w:t>
      </w:r>
      <w:r>
        <w:rPr>
          <w:spacing w:val="-59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“</w:t>
      </w:r>
      <w:r>
        <w:rPr>
          <w:spacing w:val="-6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实训”。优必选人</w:t>
      </w:r>
      <w:r>
        <w:rPr>
          <w:spacing w:val="7"/>
          <w:sz w:val="19"/>
          <w:szCs w:val="19"/>
        </w:rPr>
        <w:t>形机器人</w:t>
      </w:r>
      <w:r>
        <w:rPr>
          <w:spacing w:val="-43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Walker</w:t>
      </w:r>
      <w:r>
        <w:rPr>
          <w:rFonts w:ascii="SimSun" w:eastAsia="SimSun" w:hAnsi="SimSun" w:cs="SimSun"/>
          <w:spacing w:val="7"/>
          <w:sz w:val="19"/>
          <w:szCs w:val="19"/>
        </w:rPr>
        <w:t xml:space="preserve"> </w:t>
      </w:r>
      <w:r>
        <w:rPr>
          <w:rFonts w:ascii="SimSun" w:eastAsia="SimSun" w:hAnsi="SimSun" w:cs="SimSun"/>
          <w:sz w:val="19"/>
          <w:szCs w:val="19"/>
        </w:rPr>
        <w:t>S</w:t>
      </w:r>
      <w:r>
        <w:rPr>
          <w:rFonts w:ascii="SimSun" w:eastAsia="SimSun" w:hAnsi="SimSun" w:cs="SimSun"/>
          <w:spacing w:val="-3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在新能</w:t>
      </w:r>
      <w:r>
        <w:rPr>
          <w:spacing w:val="7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源汽车工厂的实训，是人形机器人在工业场景中的一次重要尝试，展</w:t>
      </w:r>
      <w:r>
        <w:rPr>
          <w:spacing w:val="6"/>
          <w:sz w:val="19"/>
          <w:szCs w:val="19"/>
        </w:rPr>
        <w:t>现了其在移动、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感知、操作等方面的应用能力，为人形机器人的技</w:t>
      </w:r>
      <w:r>
        <w:rPr>
          <w:spacing w:val="10"/>
          <w:sz w:val="19"/>
          <w:szCs w:val="19"/>
        </w:rPr>
        <w:t>术进步和产业发展提供了有力的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支撑。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footerReference w:type="default" r:id="rId27"/>
          <w:pgSz w:w="11906" w:h="16839"/>
          <w:pgMar w:top="914" w:right="792" w:bottom="400" w:left="703" w:header="0" w:footer="0" w:gutter="0"/>
          <w:pgNumType w:start="19"/>
          <w:cols w:num="1" w:space="708" w:equalWidth="0">
            <w:col w:w="10411" w:space="0"/>
          </w:cols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9" w:lineRule="exact"/>
      </w:pPr>
      <w:r>
        <w:drawing>
          <wp:inline distT="0" distB="0" distL="0" distR="0">
            <wp:extent cx="6588252" cy="18288"/>
            <wp:effectExtent l="0" t="0" r="0" b="0"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825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exact"/>
      </w:pPr>
    </w:p>
    <w:p>
      <w:pPr>
        <w:spacing w:line="14" w:lineRule="exact"/>
        <w:sectPr>
          <w:footerReference w:type="default" r:id="rId28"/>
          <w:type w:val="nextPage"/>
          <w:pgSz w:w="11906" w:h="16839"/>
          <w:pgMar w:top="914" w:right="792" w:bottom="400" w:left="703" w:header="0" w:footer="0" w:gutter="0"/>
          <w:pgNumType w:start="20"/>
          <w:cols w:num="1" w:space="708" w:equalWidth="0">
            <w:col w:w="10411" w:space="0"/>
          </w:cols>
          <w:titlePg w:val="0"/>
        </w:sectPr>
      </w:pPr>
    </w:p>
    <w:p>
      <w:pPr>
        <w:pStyle w:val="BodyText"/>
        <w:spacing w:before="81" w:line="215" w:lineRule="auto"/>
        <w:ind w:left="16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45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position w:val="1"/>
          <w:sz w:val="18"/>
          <w:szCs w:val="18"/>
        </w:rPr>
        <w:t>7 /</w:t>
      </w:r>
      <w:r>
        <w:rPr>
          <w:rFonts w:ascii="Arial" w:eastAsia="Arial" w:hAnsi="Arial" w:cs="Arial"/>
          <w:spacing w:val="5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2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29"/>
          <w:type w:val="continuous"/>
          <w:pgSz w:w="11906" w:h="16839"/>
          <w:pgMar w:top="914" w:right="792" w:bottom="400" w:left="703" w:header="0" w:footer="0" w:gutter="0"/>
          <w:pgNumType w:start="21"/>
          <w:cols w:num="3" w:space="708" w:equalWidth="0">
            <w:col w:w="4805" w:space="100"/>
            <w:col w:w="4122" w:space="100"/>
            <w:col w:w="1285" w:space="0"/>
          </w:cols>
        </w:sectPr>
      </w:pPr>
    </w:p>
    <w:p>
      <w:pPr>
        <w:pStyle w:val="BodyText"/>
        <w:spacing w:before="48" w:line="221" w:lineRule="auto"/>
        <w:ind w:left="9194"/>
        <w:rPr>
          <w:sz w:val="24"/>
          <w:szCs w:val="24"/>
        </w:rPr>
      </w:pPr>
      <w:r>
        <w:pict>
          <v:shape id="_x0000_s1033" style="width:420.65pt;height:0.6pt;margin-top:63pt;margin-left:121.8pt;mso-position-horizontal-relative:page;mso-position-vertical-relative:page;position:absolute;z-index:251673600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pStyle w:val="BodyText"/>
        <w:spacing w:before="114" w:line="227" w:lineRule="auto"/>
        <w:ind w:left="3133"/>
        <w:outlineLvl w:val="0"/>
        <w:rPr>
          <w:sz w:val="35"/>
          <w:szCs w:val="35"/>
        </w:rPr>
      </w:pPr>
      <w:r>
        <w:rPr>
          <w:rFonts w:ascii="Arial" w:eastAsia="Arial" w:hAnsi="Arial" w:cs="Arial"/>
          <w:b/>
          <w:bCs/>
          <w:color w:val="002060"/>
          <w:spacing w:val="6"/>
          <w:sz w:val="35"/>
          <w:szCs w:val="35"/>
        </w:rPr>
        <w:t>2</w:t>
      </w:r>
      <w:r>
        <w:rPr>
          <w:rFonts w:ascii="Arial" w:eastAsia="Arial" w:hAnsi="Arial" w:cs="Arial"/>
          <w:b/>
          <w:bCs/>
          <w:color w:val="002060"/>
          <w:spacing w:val="94"/>
          <w:sz w:val="35"/>
          <w:szCs w:val="35"/>
        </w:rPr>
        <w:t xml:space="preserve"> </w:t>
      </w:r>
      <w:r>
        <w:rPr>
          <w:color w:val="002060"/>
          <w:spacing w:val="6"/>
          <w:sz w:val="35"/>
          <w:szCs w:val="35"/>
          <w14:textOutline w14:w="6537" w14:cap="sq">
            <w14:solidFill>
              <w14:srgbClr w14:val="002060"/>
            </w14:solidFill>
            <w14:prstDash w14:val="solid"/>
            <w14:bevel/>
          </w14:textOutline>
        </w:rPr>
        <w:t>行业概览</w:t>
      </w:r>
    </w:p>
    <w:p>
      <w:pPr>
        <w:pStyle w:val="BodyText"/>
        <w:spacing w:before="177" w:line="215" w:lineRule="auto"/>
        <w:ind w:left="3131"/>
        <w:outlineLvl w:val="1"/>
        <w:rPr>
          <w:sz w:val="28"/>
          <w:szCs w:val="28"/>
        </w:rPr>
      </w:pPr>
      <w:r>
        <w:rPr>
          <w:rFonts w:ascii="Arial" w:eastAsia="Arial" w:hAnsi="Arial" w:cs="Arial"/>
          <w:b/>
          <w:bCs/>
          <w:color w:val="002060"/>
          <w:spacing w:val="-1"/>
          <w:sz w:val="28"/>
          <w:szCs w:val="28"/>
        </w:rPr>
        <w:t>2.1</w:t>
      </w:r>
      <w:r>
        <w:rPr>
          <w:rFonts w:ascii="Arial" w:eastAsia="Arial" w:hAnsi="Arial" w:cs="Arial"/>
          <w:b/>
          <w:bCs/>
          <w:color w:val="002060"/>
          <w:spacing w:val="73"/>
          <w:sz w:val="28"/>
          <w:szCs w:val="28"/>
        </w:rPr>
        <w:t xml:space="preserve"> </w:t>
      </w:r>
      <w:r>
        <w:rPr>
          <w:color w:val="002060"/>
          <w:spacing w:val="-1"/>
          <w:sz w:val="28"/>
          <w:szCs w:val="28"/>
          <w14:textOutline w14:w="5103" w14:cap="sq">
            <w14:solidFill>
              <w14:srgbClr w14:val="002060"/>
            </w14:solidFill>
            <w14:prstDash w14:val="solid"/>
            <w14:bevel/>
          </w14:textOutline>
        </w:rPr>
        <w:t>产业链价格变化</w:t>
      </w:r>
    </w:p>
    <w:p>
      <w:pPr>
        <w:pStyle w:val="BodyText"/>
        <w:spacing w:before="136" w:line="283" w:lineRule="auto"/>
        <w:ind w:left="3129" w:right="39" w:firstLine="421"/>
        <w:jc w:val="both"/>
        <w:rPr>
          <w:sz w:val="19"/>
          <w:szCs w:val="19"/>
        </w:rPr>
      </w:pP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正极材料：</w:t>
      </w:r>
      <w:r>
        <w:rPr>
          <w:spacing w:val="-28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电解镍（</w:t>
      </w:r>
      <w:r>
        <w:rPr>
          <w:rFonts w:ascii="Arial" w:eastAsia="Arial" w:hAnsi="Arial" w:cs="Arial"/>
          <w:b/>
          <w:bCs/>
          <w:spacing w:val="9"/>
          <w:sz w:val="19"/>
          <w:szCs w:val="19"/>
        </w:rPr>
        <w:t>1#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）的价格较两周前上升，</w:t>
      </w:r>
      <w:r>
        <w:rPr>
          <w:spacing w:val="-54"/>
          <w:sz w:val="19"/>
          <w:szCs w:val="19"/>
        </w:rPr>
        <w:t xml:space="preserve"> 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电解钴(≥</w:t>
      </w:r>
      <w:r>
        <w:rPr>
          <w:rFonts w:ascii="Arial" w:eastAsia="Arial" w:hAnsi="Arial" w:cs="Arial"/>
          <w:b/>
          <w:bCs/>
          <w:spacing w:val="9"/>
          <w:sz w:val="19"/>
          <w:szCs w:val="19"/>
        </w:rPr>
        <w:t>99.8%</w:t>
      </w: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）、碳酸锂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（电池级）、磷酸铁（电池级）的价格较两周前下降，氢氧化锂（电池级）、三元前</w:t>
      </w:r>
      <w:r>
        <w:rPr>
          <w:spacing w:val="3"/>
          <w:sz w:val="19"/>
          <w:szCs w:val="19"/>
        </w:rPr>
        <w:t xml:space="preserve"> </w:t>
      </w:r>
      <w:r>
        <w:rPr>
          <w:spacing w:val="-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驱体（</w:t>
      </w:r>
      <w:r>
        <w:rPr>
          <w:rFonts w:ascii="Arial" w:eastAsia="Arial" w:hAnsi="Arial" w:cs="Arial"/>
          <w:b/>
          <w:bCs/>
          <w:spacing w:val="-6"/>
          <w:sz w:val="19"/>
          <w:szCs w:val="19"/>
        </w:rPr>
        <w:t xml:space="preserve">523 </w:t>
      </w:r>
      <w:r>
        <w:rPr>
          <w:spacing w:val="-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型）、三元前驱体（</w:t>
      </w:r>
      <w:r>
        <w:rPr>
          <w:rFonts w:ascii="Arial" w:eastAsia="Arial" w:hAnsi="Arial" w:cs="Arial"/>
          <w:b/>
          <w:bCs/>
          <w:spacing w:val="-6"/>
          <w:sz w:val="19"/>
          <w:szCs w:val="19"/>
        </w:rPr>
        <w:t xml:space="preserve">622 </w:t>
      </w:r>
      <w:r>
        <w:rPr>
          <w:spacing w:val="-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型）、三元前驱体（</w:t>
      </w:r>
      <w:r>
        <w:rPr>
          <w:rFonts w:ascii="Arial" w:eastAsia="Arial" w:hAnsi="Arial" w:cs="Arial"/>
          <w:b/>
          <w:bCs/>
          <w:spacing w:val="-6"/>
          <w:sz w:val="19"/>
          <w:szCs w:val="19"/>
        </w:rPr>
        <w:t xml:space="preserve">811 </w:t>
      </w:r>
      <w:r>
        <w:rPr>
          <w:spacing w:val="-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型）、三元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spacing w:val="-6"/>
          <w:sz w:val="19"/>
          <w:szCs w:val="19"/>
        </w:rPr>
        <w:t>523</w:t>
      </w:r>
      <w:r>
        <w:rPr>
          <w:spacing w:val="-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（动力型）、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三元</w:t>
      </w:r>
      <w:r>
        <w:rPr>
          <w:spacing w:val="-26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9"/>
          <w:szCs w:val="19"/>
        </w:rPr>
        <w:t>622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（常规）、三元</w:t>
      </w:r>
      <w:r>
        <w:rPr>
          <w:spacing w:val="-29"/>
          <w:sz w:val="19"/>
          <w:szCs w:val="19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19"/>
          <w:szCs w:val="19"/>
        </w:rPr>
        <w:t>811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（动力型）、磷酸铁锂（动力型）</w:t>
      </w:r>
      <w:r>
        <w:rPr>
          <w:spacing w:val="-55"/>
          <w:sz w:val="19"/>
          <w:szCs w:val="19"/>
        </w:rPr>
        <w:t xml:space="preserve"> 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的价格与上周持平。</w:t>
      </w:r>
    </w:p>
    <w:p>
      <w:pPr>
        <w:pStyle w:val="BodyText"/>
        <w:spacing w:before="43" w:line="301" w:lineRule="auto"/>
        <w:ind w:left="3124" w:firstLine="4"/>
        <w:jc w:val="both"/>
        <w:rPr>
          <w:sz w:val="19"/>
          <w:szCs w:val="19"/>
        </w:rPr>
      </w:pPr>
      <w:r>
        <w:rPr>
          <w:spacing w:val="6"/>
          <w:sz w:val="19"/>
          <w:szCs w:val="19"/>
        </w:rPr>
        <w:t>（</w:t>
      </w:r>
      <w:r>
        <w:rPr>
          <w:rFonts w:ascii="Arial" w:eastAsia="Arial" w:hAnsi="Arial" w:cs="Arial"/>
          <w:spacing w:val="6"/>
          <w:sz w:val="19"/>
          <w:szCs w:val="19"/>
        </w:rPr>
        <w:t>1</w:t>
      </w:r>
      <w:r>
        <w:rPr>
          <w:spacing w:val="6"/>
          <w:sz w:val="19"/>
          <w:szCs w:val="19"/>
        </w:rPr>
        <w:t>）金属钴镍方面，电解钴(≥</w:t>
      </w:r>
      <w:r>
        <w:rPr>
          <w:rFonts w:ascii="Arial" w:eastAsia="Arial" w:hAnsi="Arial" w:cs="Arial"/>
          <w:spacing w:val="6"/>
          <w:sz w:val="19"/>
          <w:szCs w:val="19"/>
        </w:rPr>
        <w:t>99.8%</w:t>
      </w:r>
      <w:r>
        <w:rPr>
          <w:spacing w:val="6"/>
          <w:sz w:val="19"/>
          <w:szCs w:val="19"/>
        </w:rPr>
        <w:t>）</w:t>
      </w:r>
      <w:r>
        <w:rPr>
          <w:rFonts w:ascii="Arial" w:eastAsia="Arial" w:hAnsi="Arial" w:cs="Arial"/>
          <w:spacing w:val="6"/>
          <w:sz w:val="19"/>
          <w:szCs w:val="19"/>
        </w:rPr>
        <w:t>2</w:t>
      </w:r>
      <w:r>
        <w:rPr>
          <w:rFonts w:ascii="Arial" w:eastAsia="Arial" w:hAnsi="Arial" w:cs="Arial"/>
          <w:spacing w:val="32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>23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日均价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21.7 </w:t>
      </w:r>
      <w:r>
        <w:rPr>
          <w:spacing w:val="6"/>
          <w:sz w:val="19"/>
          <w:szCs w:val="19"/>
        </w:rPr>
        <w:t>万元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吨，较两周前下</w:t>
      </w:r>
      <w:r>
        <w:rPr>
          <w:sz w:val="19"/>
          <w:szCs w:val="19"/>
        </w:rPr>
        <w:t xml:space="preserve">  </w:t>
      </w:r>
      <w:r>
        <w:rPr>
          <w:spacing w:val="3"/>
          <w:sz w:val="19"/>
          <w:szCs w:val="19"/>
        </w:rPr>
        <w:t>降</w:t>
      </w:r>
      <w:r>
        <w:rPr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pacing w:val="3"/>
          <w:sz w:val="19"/>
          <w:szCs w:val="19"/>
        </w:rPr>
        <w:t>1.8%</w:t>
      </w:r>
      <w:r>
        <w:rPr>
          <w:spacing w:val="3"/>
          <w:sz w:val="19"/>
          <w:szCs w:val="19"/>
        </w:rPr>
        <w:t>；</w:t>
      </w:r>
      <w:r>
        <w:rPr>
          <w:spacing w:val="-42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电解镍（</w:t>
      </w:r>
      <w:r>
        <w:rPr>
          <w:rFonts w:ascii="Arial" w:eastAsia="Arial" w:hAnsi="Arial" w:cs="Arial"/>
          <w:spacing w:val="3"/>
          <w:sz w:val="19"/>
          <w:szCs w:val="19"/>
        </w:rPr>
        <w:t>1#</w:t>
      </w:r>
      <w:r>
        <w:rPr>
          <w:spacing w:val="3"/>
          <w:sz w:val="19"/>
          <w:szCs w:val="19"/>
        </w:rPr>
        <w:t>）</w:t>
      </w:r>
      <w:r>
        <w:rPr>
          <w:rFonts w:ascii="Arial" w:eastAsia="Arial" w:hAnsi="Arial" w:cs="Arial"/>
          <w:spacing w:val="3"/>
          <w:sz w:val="19"/>
          <w:szCs w:val="19"/>
        </w:rPr>
        <w:t>2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月</w:t>
      </w:r>
      <w:r>
        <w:rPr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spacing w:val="3"/>
          <w:sz w:val="19"/>
          <w:szCs w:val="19"/>
        </w:rPr>
        <w:t>23</w:t>
      </w:r>
      <w:r>
        <w:rPr>
          <w:rFonts w:ascii="Arial" w:eastAsia="Arial" w:hAnsi="Arial" w:cs="Arial"/>
          <w:spacing w:val="48"/>
          <w:w w:val="101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日均价</w:t>
      </w:r>
      <w:r>
        <w:rPr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pacing w:val="3"/>
          <w:sz w:val="19"/>
          <w:szCs w:val="19"/>
        </w:rPr>
        <w:t>13.</w:t>
      </w:r>
      <w:r>
        <w:rPr>
          <w:rFonts w:ascii="Arial" w:eastAsia="Arial" w:hAnsi="Arial" w:cs="Arial"/>
          <w:spacing w:val="-31"/>
          <w:sz w:val="19"/>
          <w:szCs w:val="19"/>
        </w:rPr>
        <w:t xml:space="preserve"> </w:t>
      </w:r>
      <w:r>
        <w:rPr>
          <w:rFonts w:ascii="Arial" w:eastAsia="Arial" w:hAnsi="Arial" w:cs="Arial"/>
          <w:spacing w:val="3"/>
          <w:sz w:val="19"/>
          <w:szCs w:val="19"/>
        </w:rPr>
        <w:t xml:space="preserve">13 </w:t>
      </w:r>
      <w:r>
        <w:rPr>
          <w:spacing w:val="3"/>
          <w:sz w:val="19"/>
          <w:szCs w:val="19"/>
        </w:rPr>
        <w:t>元</w:t>
      </w:r>
      <w:r>
        <w:rPr>
          <w:rFonts w:ascii="Arial" w:eastAsia="Arial" w:hAnsi="Arial" w:cs="Arial"/>
          <w:spacing w:val="3"/>
          <w:sz w:val="19"/>
          <w:szCs w:val="19"/>
        </w:rPr>
        <w:t>/</w:t>
      </w:r>
      <w:r>
        <w:rPr>
          <w:spacing w:val="3"/>
          <w:sz w:val="19"/>
          <w:szCs w:val="19"/>
        </w:rPr>
        <w:t>吨，较两周前上升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3"/>
          <w:sz w:val="19"/>
          <w:szCs w:val="19"/>
        </w:rPr>
        <w:t>4.0%</w:t>
      </w:r>
      <w:r>
        <w:rPr>
          <w:spacing w:val="3"/>
          <w:sz w:val="19"/>
          <w:szCs w:val="19"/>
        </w:rPr>
        <w:t>；</w:t>
      </w:r>
      <w:r>
        <w:rPr>
          <w:spacing w:val="-54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受印尼</w:t>
      </w:r>
      <w:r>
        <w:rPr>
          <w:sz w:val="19"/>
          <w:szCs w:val="19"/>
        </w:rPr>
        <w:t xml:space="preserve">  </w:t>
      </w:r>
      <w:r>
        <w:rPr>
          <w:spacing w:val="9"/>
          <w:sz w:val="19"/>
          <w:szCs w:val="19"/>
        </w:rPr>
        <w:t>项目推进速度影响，供给端预期较为宽松，但是需求端没有明确增量，</w:t>
      </w:r>
      <w:r>
        <w:rPr>
          <w:spacing w:val="-37"/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因此镍钴价</w:t>
      </w:r>
      <w:r>
        <w:rPr>
          <w:sz w:val="19"/>
          <w:szCs w:val="19"/>
        </w:rPr>
        <w:t xml:space="preserve">  </w:t>
      </w:r>
      <w:r>
        <w:rPr>
          <w:spacing w:val="8"/>
          <w:sz w:val="19"/>
          <w:szCs w:val="19"/>
        </w:rPr>
        <w:t>格得不到足够支撑，预期未来会呈现震荡下行的走势</w:t>
      </w:r>
      <w:r>
        <w:rPr>
          <w:i/>
          <w:iCs/>
          <w:spacing w:val="8"/>
          <w:sz w:val="20"/>
          <w:szCs w:val="20"/>
        </w:rPr>
        <w:t>。</w:t>
      </w:r>
      <w:r>
        <w:rPr>
          <w:spacing w:val="7"/>
          <w:sz w:val="19"/>
          <w:szCs w:val="19"/>
        </w:rPr>
        <w:t>（</w:t>
      </w:r>
      <w:r>
        <w:rPr>
          <w:rFonts w:ascii="Arial" w:eastAsia="Arial" w:hAnsi="Arial" w:cs="Arial"/>
          <w:spacing w:val="7"/>
          <w:sz w:val="19"/>
          <w:szCs w:val="19"/>
        </w:rPr>
        <w:t>2</w:t>
      </w:r>
      <w:r>
        <w:rPr>
          <w:spacing w:val="7"/>
          <w:sz w:val="19"/>
          <w:szCs w:val="19"/>
        </w:rPr>
        <w:t>）</w:t>
      </w:r>
      <w:r>
        <w:rPr>
          <w:spacing w:val="-4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电池级碳酸锂</w:t>
      </w:r>
      <w:r>
        <w:rPr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7"/>
          <w:sz w:val="19"/>
          <w:szCs w:val="19"/>
        </w:rPr>
        <w:t>2</w:t>
      </w:r>
      <w:r>
        <w:rPr>
          <w:rFonts w:ascii="Arial" w:eastAsia="Arial" w:hAnsi="Arial" w:cs="Arial"/>
          <w:spacing w:val="19"/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月</w:t>
      </w:r>
      <w:r>
        <w:rPr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7"/>
          <w:sz w:val="19"/>
          <w:szCs w:val="19"/>
        </w:rPr>
        <w:t>23</w:t>
      </w:r>
      <w:r>
        <w:rPr>
          <w:rFonts w:ascii="Arial" w:eastAsia="Arial" w:hAnsi="Arial" w:cs="Arial"/>
          <w:sz w:val="19"/>
          <w:szCs w:val="19"/>
        </w:rPr>
        <w:t xml:space="preserve">   </w:t>
      </w:r>
      <w:r>
        <w:rPr>
          <w:spacing w:val="4"/>
          <w:sz w:val="19"/>
          <w:szCs w:val="19"/>
        </w:rPr>
        <w:t>日均价</w:t>
      </w:r>
      <w:r>
        <w:rPr>
          <w:spacing w:val="-16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 xml:space="preserve">9.75 </w:t>
      </w:r>
      <w:r>
        <w:rPr>
          <w:spacing w:val="4"/>
          <w:sz w:val="19"/>
          <w:szCs w:val="19"/>
        </w:rPr>
        <w:t>万元</w:t>
      </w:r>
      <w:r>
        <w:rPr>
          <w:rFonts w:ascii="Arial" w:eastAsia="Arial" w:hAnsi="Arial" w:cs="Arial"/>
          <w:spacing w:val="4"/>
          <w:sz w:val="19"/>
          <w:szCs w:val="19"/>
        </w:rPr>
        <w:t>/</w:t>
      </w:r>
      <w:r>
        <w:rPr>
          <w:spacing w:val="4"/>
          <w:sz w:val="19"/>
          <w:szCs w:val="19"/>
        </w:rPr>
        <w:t>吨，较两周前下跌</w:t>
      </w:r>
      <w:r>
        <w:rPr>
          <w:spacing w:val="-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0.6%</w:t>
      </w:r>
      <w:r>
        <w:rPr>
          <w:spacing w:val="4"/>
          <w:sz w:val="19"/>
          <w:szCs w:val="19"/>
        </w:rPr>
        <w:t>；</w:t>
      </w:r>
      <w:r>
        <w:rPr>
          <w:spacing w:val="-42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电池级氢氧化锂</w:t>
      </w:r>
      <w:r>
        <w:rPr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</w:t>
      </w:r>
      <w:r>
        <w:rPr>
          <w:rFonts w:ascii="Arial" w:eastAsia="Arial" w:hAnsi="Arial" w:cs="Arial"/>
          <w:spacing w:val="16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 xml:space="preserve">23  </w:t>
      </w:r>
      <w:r>
        <w:rPr>
          <w:spacing w:val="4"/>
          <w:sz w:val="19"/>
          <w:szCs w:val="19"/>
        </w:rPr>
        <w:t>日均价</w:t>
      </w:r>
      <w:r>
        <w:rPr>
          <w:spacing w:val="-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8.3</w:t>
      </w:r>
      <w:r>
        <w:rPr>
          <w:rFonts w:ascii="Arial" w:eastAsia="Arial" w:hAnsi="Arial" w:cs="Arial"/>
          <w:spacing w:val="16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万</w:t>
      </w:r>
      <w:r>
        <w:rPr>
          <w:sz w:val="19"/>
          <w:szCs w:val="19"/>
        </w:rPr>
        <w:t xml:space="preserve">  </w:t>
      </w:r>
      <w:r>
        <w:rPr>
          <w:spacing w:val="9"/>
          <w:sz w:val="19"/>
          <w:szCs w:val="19"/>
        </w:rPr>
        <w:t>元</w:t>
      </w:r>
      <w:r>
        <w:rPr>
          <w:rFonts w:ascii="Arial" w:eastAsia="Arial" w:hAnsi="Arial" w:cs="Arial"/>
          <w:spacing w:val="9"/>
          <w:sz w:val="19"/>
          <w:szCs w:val="19"/>
        </w:rPr>
        <w:t>/</w:t>
      </w:r>
      <w:r>
        <w:rPr>
          <w:spacing w:val="9"/>
          <w:sz w:val="19"/>
          <w:szCs w:val="19"/>
        </w:rPr>
        <w:t>吨，与两周前持平；短期内碳酸锂价格或将仍存波动，中长期看锂盐价格仍在下</w:t>
      </w:r>
      <w:r>
        <w:rPr>
          <w:sz w:val="19"/>
          <w:szCs w:val="19"/>
        </w:rPr>
        <w:t xml:space="preserve">  </w:t>
      </w:r>
      <w:r>
        <w:rPr>
          <w:spacing w:val="1"/>
          <w:sz w:val="19"/>
          <w:szCs w:val="19"/>
        </w:rPr>
        <w:t>行区间。（</w:t>
      </w:r>
      <w:r>
        <w:rPr>
          <w:rFonts w:ascii="Arial" w:eastAsia="Arial" w:hAnsi="Arial" w:cs="Arial"/>
          <w:spacing w:val="1"/>
          <w:sz w:val="19"/>
          <w:szCs w:val="19"/>
        </w:rPr>
        <w:t>3</w:t>
      </w:r>
      <w:r>
        <w:rPr>
          <w:spacing w:val="1"/>
          <w:sz w:val="19"/>
          <w:szCs w:val="19"/>
        </w:rPr>
        <w:t>）三元前驱体（</w:t>
      </w:r>
      <w:r>
        <w:rPr>
          <w:rFonts w:ascii="Arial" w:eastAsia="Arial" w:hAnsi="Arial" w:cs="Arial"/>
          <w:spacing w:val="1"/>
          <w:sz w:val="19"/>
          <w:szCs w:val="19"/>
        </w:rPr>
        <w:t xml:space="preserve">523 </w:t>
      </w:r>
      <w:r>
        <w:rPr>
          <w:spacing w:val="1"/>
          <w:sz w:val="19"/>
          <w:szCs w:val="19"/>
        </w:rPr>
        <w:t>型）、三元前驱体（</w:t>
      </w:r>
      <w:r>
        <w:rPr>
          <w:rFonts w:ascii="Arial" w:eastAsia="Arial" w:hAnsi="Arial" w:cs="Arial"/>
          <w:sz w:val="19"/>
          <w:szCs w:val="19"/>
        </w:rPr>
        <w:t xml:space="preserve">622 </w:t>
      </w:r>
      <w:r>
        <w:rPr>
          <w:sz w:val="19"/>
          <w:szCs w:val="19"/>
        </w:rPr>
        <w:t>型）和三元前驱体（</w:t>
      </w:r>
      <w:r>
        <w:rPr>
          <w:rFonts w:ascii="Arial" w:eastAsia="Arial" w:hAnsi="Arial" w:cs="Arial"/>
          <w:sz w:val="19"/>
          <w:szCs w:val="19"/>
        </w:rPr>
        <w:t xml:space="preserve">811 </w:t>
      </w:r>
      <w:r>
        <w:rPr>
          <w:sz w:val="19"/>
          <w:szCs w:val="19"/>
        </w:rPr>
        <w:t>型）</w:t>
      </w:r>
      <w:r>
        <w:rPr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>2</w:t>
      </w:r>
      <w:r>
        <w:rPr>
          <w:rFonts w:ascii="Arial" w:eastAsia="Arial" w:hAnsi="Arial" w:cs="Arial"/>
          <w:spacing w:val="27"/>
          <w:w w:val="10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>23</w:t>
      </w:r>
      <w:r>
        <w:rPr>
          <w:rFonts w:ascii="Arial" w:eastAsia="Arial" w:hAnsi="Arial" w:cs="Arial"/>
          <w:spacing w:val="50"/>
          <w:w w:val="10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日均价分别为</w:t>
      </w:r>
      <w:r>
        <w:rPr>
          <w:spacing w:val="-35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>6.95</w:t>
      </w:r>
      <w:r>
        <w:rPr>
          <w:rFonts w:ascii="Arial" w:eastAsia="Arial" w:hAnsi="Arial" w:cs="Arial"/>
          <w:spacing w:val="17"/>
          <w:w w:val="10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万元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吨、</w:t>
      </w:r>
      <w:r>
        <w:rPr>
          <w:rFonts w:ascii="Arial" w:eastAsia="Arial" w:hAnsi="Arial" w:cs="Arial"/>
          <w:spacing w:val="6"/>
          <w:sz w:val="19"/>
          <w:szCs w:val="19"/>
        </w:rPr>
        <w:t>7.75</w:t>
      </w:r>
      <w:r>
        <w:rPr>
          <w:rFonts w:ascii="Arial" w:eastAsia="Arial" w:hAnsi="Arial" w:cs="Arial"/>
          <w:spacing w:val="16"/>
          <w:w w:val="101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万元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吨、</w:t>
      </w:r>
      <w:r>
        <w:rPr>
          <w:spacing w:val="35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>8.5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万元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吨，与两周前持平。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（</w:t>
      </w:r>
      <w:r>
        <w:rPr>
          <w:rFonts w:ascii="Arial" w:eastAsia="Arial" w:hAnsi="Arial" w:cs="Arial"/>
          <w:spacing w:val="4"/>
          <w:sz w:val="19"/>
          <w:szCs w:val="19"/>
        </w:rPr>
        <w:t>4</w:t>
      </w:r>
      <w:r>
        <w:rPr>
          <w:spacing w:val="4"/>
          <w:sz w:val="19"/>
          <w:szCs w:val="19"/>
        </w:rPr>
        <w:t>）三元材料中，三元</w:t>
      </w:r>
      <w:r>
        <w:rPr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523</w:t>
      </w:r>
      <w:r>
        <w:rPr>
          <w:spacing w:val="4"/>
          <w:sz w:val="19"/>
          <w:szCs w:val="19"/>
        </w:rPr>
        <w:t>（动力型）、三元</w:t>
      </w:r>
      <w:r>
        <w:rPr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622</w:t>
      </w:r>
      <w:r>
        <w:rPr>
          <w:spacing w:val="4"/>
          <w:sz w:val="19"/>
          <w:szCs w:val="19"/>
        </w:rPr>
        <w:t>（常规）、三元</w:t>
      </w:r>
      <w:r>
        <w:rPr>
          <w:spacing w:val="-34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811</w:t>
      </w:r>
      <w:r>
        <w:rPr>
          <w:spacing w:val="4"/>
          <w:sz w:val="19"/>
          <w:szCs w:val="19"/>
        </w:rPr>
        <w:t>（动力型）</w:t>
      </w:r>
      <w:r>
        <w:rPr>
          <w:rFonts w:ascii="Arial" w:eastAsia="Arial" w:hAnsi="Arial" w:cs="Arial"/>
          <w:spacing w:val="4"/>
          <w:sz w:val="19"/>
          <w:szCs w:val="19"/>
        </w:rPr>
        <w:t>2</w:t>
      </w:r>
      <w:r>
        <w:rPr>
          <w:rFonts w:ascii="Arial" w:eastAsia="Arial" w:hAnsi="Arial" w:cs="Arial"/>
          <w:sz w:val="19"/>
          <w:szCs w:val="19"/>
        </w:rPr>
        <w:t xml:space="preserve">   </w:t>
      </w:r>
      <w:r>
        <w:rPr>
          <w:spacing w:val="-2"/>
          <w:sz w:val="19"/>
          <w:szCs w:val="19"/>
        </w:rPr>
        <w:t>月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"/>
          <w:sz w:val="19"/>
          <w:szCs w:val="19"/>
        </w:rPr>
        <w:t>23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日均价分别为</w:t>
      </w:r>
      <w:r>
        <w:rPr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-2"/>
          <w:sz w:val="19"/>
          <w:szCs w:val="19"/>
        </w:rPr>
        <w:t>12.2</w:t>
      </w:r>
      <w:r>
        <w:rPr>
          <w:rFonts w:ascii="Arial" w:eastAsia="Arial" w:hAnsi="Arial" w:cs="Arial"/>
          <w:spacing w:val="14"/>
          <w:w w:val="101"/>
          <w:sz w:val="19"/>
          <w:szCs w:val="19"/>
        </w:rPr>
        <w:t xml:space="preserve"> </w:t>
      </w:r>
      <w:r>
        <w:rPr>
          <w:spacing w:val="-2"/>
          <w:sz w:val="19"/>
          <w:szCs w:val="19"/>
        </w:rPr>
        <w:t>万元</w:t>
      </w:r>
      <w:r>
        <w:rPr>
          <w:rFonts w:ascii="Arial" w:eastAsia="Arial" w:hAnsi="Arial" w:cs="Arial"/>
          <w:spacing w:val="-2"/>
          <w:sz w:val="19"/>
          <w:szCs w:val="19"/>
        </w:rPr>
        <w:t>/</w:t>
      </w:r>
      <w:r>
        <w:rPr>
          <w:spacing w:val="-2"/>
          <w:sz w:val="19"/>
          <w:szCs w:val="19"/>
        </w:rPr>
        <w:t>吨、</w:t>
      </w:r>
      <w:r>
        <w:rPr>
          <w:rFonts w:ascii="Arial" w:eastAsia="Arial" w:hAnsi="Arial" w:cs="Arial"/>
          <w:spacing w:val="-2"/>
          <w:sz w:val="19"/>
          <w:szCs w:val="19"/>
        </w:rPr>
        <w:t>13</w:t>
      </w:r>
      <w:r>
        <w:rPr>
          <w:rFonts w:ascii="Arial" w:eastAsia="Arial" w:hAnsi="Arial" w:cs="Arial"/>
          <w:spacing w:val="-3"/>
          <w:sz w:val="19"/>
          <w:szCs w:val="19"/>
        </w:rPr>
        <w:t>.3</w:t>
      </w:r>
      <w:r>
        <w:rPr>
          <w:rFonts w:ascii="Arial" w:eastAsia="Arial" w:hAnsi="Arial" w:cs="Arial"/>
          <w:spacing w:val="14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万元</w:t>
      </w:r>
      <w:r>
        <w:rPr>
          <w:rFonts w:ascii="Arial" w:eastAsia="Arial" w:hAnsi="Arial" w:cs="Arial"/>
          <w:spacing w:val="-3"/>
          <w:sz w:val="19"/>
          <w:szCs w:val="19"/>
        </w:rPr>
        <w:t>/</w:t>
      </w:r>
      <w:r>
        <w:rPr>
          <w:spacing w:val="-3"/>
          <w:sz w:val="19"/>
          <w:szCs w:val="19"/>
        </w:rPr>
        <w:t>吨、</w:t>
      </w:r>
      <w:r>
        <w:rPr>
          <w:rFonts w:ascii="Arial" w:eastAsia="Arial" w:hAnsi="Arial" w:cs="Arial"/>
          <w:spacing w:val="-3"/>
          <w:sz w:val="19"/>
          <w:szCs w:val="19"/>
        </w:rPr>
        <w:t>15.95</w:t>
      </w:r>
      <w:r>
        <w:rPr>
          <w:rFonts w:ascii="Arial" w:eastAsia="Arial" w:hAnsi="Arial" w:cs="Arial"/>
          <w:spacing w:val="14"/>
          <w:w w:val="101"/>
          <w:sz w:val="19"/>
          <w:szCs w:val="19"/>
        </w:rPr>
        <w:t xml:space="preserve"> </w:t>
      </w:r>
      <w:r>
        <w:rPr>
          <w:spacing w:val="-3"/>
          <w:sz w:val="19"/>
          <w:szCs w:val="19"/>
        </w:rPr>
        <w:t>万元</w:t>
      </w:r>
      <w:r>
        <w:rPr>
          <w:rFonts w:ascii="Arial" w:eastAsia="Arial" w:hAnsi="Arial" w:cs="Arial"/>
          <w:spacing w:val="-3"/>
          <w:sz w:val="19"/>
          <w:szCs w:val="19"/>
        </w:rPr>
        <w:t>/</w:t>
      </w:r>
      <w:r>
        <w:rPr>
          <w:spacing w:val="-3"/>
          <w:sz w:val="19"/>
          <w:szCs w:val="19"/>
        </w:rPr>
        <w:t>吨，与两周前持平。（</w:t>
      </w:r>
      <w:r>
        <w:rPr>
          <w:rFonts w:ascii="Arial" w:eastAsia="Arial" w:hAnsi="Arial" w:cs="Arial"/>
          <w:spacing w:val="-3"/>
          <w:sz w:val="19"/>
          <w:szCs w:val="19"/>
        </w:rPr>
        <w:t>5</w:t>
      </w:r>
      <w:r>
        <w:rPr>
          <w:spacing w:val="-3"/>
          <w:sz w:val="19"/>
          <w:szCs w:val="19"/>
        </w:rPr>
        <w:t>）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磷酸铁（电池级）</w:t>
      </w:r>
      <w:r>
        <w:rPr>
          <w:rFonts w:ascii="Arial" w:eastAsia="Arial" w:hAnsi="Arial" w:cs="Arial"/>
          <w:spacing w:val="5"/>
          <w:sz w:val="19"/>
          <w:szCs w:val="19"/>
        </w:rPr>
        <w:t>2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23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日均价为</w:t>
      </w:r>
      <w:r>
        <w:rPr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 xml:space="preserve">1.035 </w:t>
      </w:r>
      <w:r>
        <w:rPr>
          <w:spacing w:val="5"/>
          <w:sz w:val="19"/>
          <w:szCs w:val="19"/>
        </w:rPr>
        <w:t>万</w:t>
      </w:r>
      <w:r>
        <w:rPr>
          <w:spacing w:val="4"/>
          <w:sz w:val="19"/>
          <w:szCs w:val="19"/>
        </w:rPr>
        <w:t>元</w:t>
      </w:r>
      <w:r>
        <w:rPr>
          <w:rFonts w:ascii="Arial" w:eastAsia="Arial" w:hAnsi="Arial" w:cs="Arial"/>
          <w:spacing w:val="4"/>
          <w:sz w:val="19"/>
          <w:szCs w:val="19"/>
        </w:rPr>
        <w:t>/</w:t>
      </w:r>
      <w:r>
        <w:rPr>
          <w:spacing w:val="4"/>
          <w:sz w:val="19"/>
          <w:szCs w:val="19"/>
        </w:rPr>
        <w:t>吨，较两周前下降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2.8%</w:t>
      </w:r>
      <w:r>
        <w:rPr>
          <w:rFonts w:ascii="Arial" w:eastAsia="Arial" w:hAnsi="Arial" w:cs="Arial"/>
          <w:spacing w:val="-25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，动力型磷</w:t>
      </w:r>
      <w:r>
        <w:rPr>
          <w:sz w:val="19"/>
          <w:szCs w:val="19"/>
        </w:rPr>
        <w:t xml:space="preserve">  </w:t>
      </w:r>
      <w:r>
        <w:rPr>
          <w:spacing w:val="4"/>
          <w:sz w:val="19"/>
          <w:szCs w:val="19"/>
        </w:rPr>
        <w:t>酸铁锂</w:t>
      </w:r>
      <w:r>
        <w:rPr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</w:t>
      </w:r>
      <w:r>
        <w:rPr>
          <w:rFonts w:ascii="Arial" w:eastAsia="Arial" w:hAnsi="Arial" w:cs="Arial"/>
          <w:spacing w:val="16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23</w:t>
      </w:r>
      <w:r>
        <w:rPr>
          <w:rFonts w:ascii="Arial" w:eastAsia="Arial" w:hAnsi="Arial" w:cs="Arial"/>
          <w:spacing w:val="48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日均价为</w:t>
      </w:r>
      <w:r>
        <w:rPr>
          <w:spacing w:val="-42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 xml:space="preserve">4.35 </w:t>
      </w:r>
      <w:r>
        <w:rPr>
          <w:spacing w:val="4"/>
          <w:sz w:val="19"/>
          <w:szCs w:val="19"/>
        </w:rPr>
        <w:t>万元</w:t>
      </w:r>
      <w:r>
        <w:rPr>
          <w:rFonts w:ascii="Arial" w:eastAsia="Arial" w:hAnsi="Arial" w:cs="Arial"/>
          <w:spacing w:val="4"/>
          <w:sz w:val="19"/>
          <w:szCs w:val="19"/>
        </w:rPr>
        <w:t>/</w:t>
      </w:r>
      <w:r>
        <w:rPr>
          <w:spacing w:val="4"/>
          <w:sz w:val="19"/>
          <w:szCs w:val="19"/>
        </w:rPr>
        <w:t>吨，与两周前持平。</w:t>
      </w:r>
    </w:p>
    <w:p>
      <w:pPr>
        <w:pStyle w:val="BodyText"/>
        <w:spacing w:before="48" w:line="294" w:lineRule="auto"/>
        <w:ind w:left="3127" w:right="45" w:firstLine="447"/>
        <w:rPr>
          <w:sz w:val="19"/>
          <w:szCs w:val="19"/>
        </w:rPr>
      </w:pPr>
      <w:r>
        <w:rPr>
          <w:spacing w:val="4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负极材料：市场无明显好转，材料厂商开工有所恢复。</w:t>
      </w:r>
      <w:r>
        <w:rPr>
          <w:rFonts w:ascii="Arial" w:eastAsia="Arial" w:hAnsi="Arial" w:cs="Arial"/>
          <w:spacing w:val="4"/>
          <w:sz w:val="19"/>
          <w:szCs w:val="19"/>
        </w:rPr>
        <w:t>2</w:t>
      </w:r>
      <w:r>
        <w:rPr>
          <w:rFonts w:ascii="Arial" w:eastAsia="Arial" w:hAnsi="Arial" w:cs="Arial"/>
          <w:spacing w:val="2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23</w:t>
      </w:r>
      <w:r>
        <w:rPr>
          <w:rFonts w:ascii="Arial" w:eastAsia="Arial" w:hAnsi="Arial" w:cs="Arial"/>
          <w:spacing w:val="48"/>
          <w:w w:val="101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日人造石墨（中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端）均价</w:t>
      </w:r>
      <w:r>
        <w:rPr>
          <w:spacing w:val="-31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3.05 </w:t>
      </w:r>
      <w:r>
        <w:rPr>
          <w:spacing w:val="6"/>
          <w:sz w:val="19"/>
          <w:szCs w:val="19"/>
        </w:rPr>
        <w:t>万元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吨，与两周前持平；天然石墨（中端）均价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3.85 </w:t>
      </w:r>
      <w:r>
        <w:rPr>
          <w:spacing w:val="6"/>
          <w:sz w:val="19"/>
          <w:szCs w:val="19"/>
        </w:rPr>
        <w:t>万元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吨，与两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周前持平。本周负极材料市场整体价格与上周持</w:t>
      </w:r>
      <w:r>
        <w:rPr>
          <w:spacing w:val="10"/>
          <w:sz w:val="19"/>
          <w:szCs w:val="19"/>
        </w:rPr>
        <w:t>平。但是部分负极企业反馈称，企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业对于后市持谨慎态度。目前负极企业主要希望</w:t>
      </w:r>
      <w:r>
        <w:rPr>
          <w:spacing w:val="6"/>
          <w:sz w:val="19"/>
          <w:szCs w:val="19"/>
        </w:rPr>
        <w:t>依靠两种方式突破同质化竞争困局，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一是积极开拓新市场，在销售方面发力，一是从工艺和原料方面入手，降</w:t>
      </w:r>
      <w:r>
        <w:rPr>
          <w:spacing w:val="10"/>
          <w:sz w:val="19"/>
          <w:szCs w:val="19"/>
        </w:rPr>
        <w:t>低成本。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原料端方面，原料煤焦油、低硫油浆价格持</w:t>
      </w:r>
      <w:r>
        <w:rPr>
          <w:spacing w:val="10"/>
          <w:sz w:val="19"/>
          <w:szCs w:val="19"/>
        </w:rPr>
        <w:t>续推涨，各个针状焦企业积极挺涨，后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市下游负极材料需求有向好预期，待针状焦</w:t>
      </w:r>
      <w:r>
        <w:rPr>
          <w:spacing w:val="10"/>
          <w:sz w:val="19"/>
          <w:szCs w:val="19"/>
        </w:rPr>
        <w:t>企业库存消耗后，针状焦前期涨幅将会</w:t>
      </w:r>
      <w:r>
        <w:rPr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落实。低硫石油焦方面，</w:t>
      </w:r>
      <w:r>
        <w:rPr>
          <w:spacing w:val="-23"/>
          <w:sz w:val="19"/>
          <w:szCs w:val="19"/>
        </w:rPr>
        <w:t xml:space="preserve"> </w:t>
      </w:r>
      <w:r>
        <w:rPr>
          <w:spacing w:val="10"/>
          <w:sz w:val="19"/>
          <w:szCs w:val="19"/>
        </w:rPr>
        <w:t>目前下游负极材料需求向好，锦西石化价格上涨</w:t>
      </w:r>
      <w:r>
        <w:rPr>
          <w:spacing w:val="-18"/>
          <w:sz w:val="19"/>
          <w:szCs w:val="19"/>
        </w:rPr>
        <w:t xml:space="preserve"> </w:t>
      </w:r>
      <w:r>
        <w:rPr>
          <w:rFonts w:ascii="Arial" w:eastAsia="Arial" w:hAnsi="Arial" w:cs="Arial"/>
          <w:spacing w:val="10"/>
          <w:sz w:val="19"/>
          <w:szCs w:val="19"/>
        </w:rPr>
        <w:t xml:space="preserve">100 </w:t>
      </w:r>
      <w:r>
        <w:rPr>
          <w:spacing w:val="10"/>
          <w:sz w:val="19"/>
          <w:szCs w:val="19"/>
        </w:rPr>
        <w:t>元</w:t>
      </w:r>
      <w:r>
        <w:rPr>
          <w:rFonts w:ascii="Arial" w:eastAsia="Arial" w:hAnsi="Arial" w:cs="Arial"/>
          <w:spacing w:val="10"/>
          <w:sz w:val="19"/>
          <w:szCs w:val="19"/>
        </w:rPr>
        <w:t>/</w:t>
      </w:r>
      <w:r>
        <w:rPr>
          <w:rFonts w:ascii="Arial" w:eastAsia="Arial" w:hAnsi="Arial" w:cs="Arial"/>
          <w:sz w:val="19"/>
          <w:szCs w:val="19"/>
        </w:rPr>
        <w:t xml:space="preserve">  </w:t>
      </w:r>
      <w:r>
        <w:rPr>
          <w:spacing w:val="8"/>
          <w:sz w:val="19"/>
          <w:szCs w:val="19"/>
        </w:rPr>
        <w:t>吨，后续部分炼厂将会跟涨。</w:t>
      </w:r>
    </w:p>
    <w:p>
      <w:pPr>
        <w:pStyle w:val="BodyText"/>
        <w:spacing w:before="87" w:line="282" w:lineRule="auto"/>
        <w:ind w:left="3127" w:right="96" w:firstLine="440"/>
        <w:rPr>
          <w:sz w:val="19"/>
          <w:szCs w:val="19"/>
        </w:rPr>
      </w:pP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隔膜：湿法隔膜（</w:t>
      </w:r>
      <w:r>
        <w:rPr>
          <w:rFonts w:ascii="Arial" w:eastAsia="Arial" w:hAnsi="Arial" w:cs="Arial"/>
          <w:b/>
          <w:bCs/>
          <w:spacing w:val="5"/>
          <w:sz w:val="19"/>
          <w:szCs w:val="19"/>
        </w:rPr>
        <w:t>9μm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）价格稳定，干法隔膜（</w:t>
      </w:r>
      <w:r>
        <w:rPr>
          <w:rFonts w:ascii="Arial" w:eastAsia="Arial" w:hAnsi="Arial" w:cs="Arial"/>
          <w:b/>
          <w:bCs/>
          <w:spacing w:val="5"/>
          <w:sz w:val="19"/>
          <w:szCs w:val="19"/>
        </w:rPr>
        <w:t>16μm</w:t>
      </w:r>
      <w:r>
        <w:rPr>
          <w:rFonts w:ascii="Arial" w:eastAsia="Arial" w:hAnsi="Arial" w:cs="Arial"/>
          <w:b/>
          <w:bCs/>
          <w:spacing w:val="-16"/>
          <w:sz w:val="19"/>
          <w:szCs w:val="19"/>
        </w:rPr>
        <w:t xml:space="preserve"> </w:t>
      </w:r>
      <w:r>
        <w:rPr>
          <w:spacing w:val="5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）价格下降。</w:t>
      </w:r>
      <w:r>
        <w:rPr>
          <w:rFonts w:ascii="Arial" w:eastAsia="Arial" w:hAnsi="Arial" w:cs="Arial"/>
          <w:spacing w:val="5"/>
          <w:sz w:val="19"/>
          <w:szCs w:val="19"/>
        </w:rPr>
        <w:t>2</w:t>
      </w:r>
      <w:r>
        <w:rPr>
          <w:rFonts w:ascii="Arial" w:eastAsia="Arial" w:hAnsi="Arial" w:cs="Arial"/>
          <w:spacing w:val="16"/>
          <w:w w:val="101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23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日</w:t>
      </w:r>
      <w:r>
        <w:rPr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干法隔膜（</w:t>
      </w:r>
      <w:r>
        <w:rPr>
          <w:rFonts w:ascii="Arial" w:eastAsia="Arial" w:hAnsi="Arial" w:cs="Arial"/>
          <w:spacing w:val="6"/>
          <w:sz w:val="19"/>
          <w:szCs w:val="19"/>
        </w:rPr>
        <w:t>16</w:t>
      </w:r>
      <w:r>
        <w:rPr>
          <w:spacing w:val="6"/>
          <w:sz w:val="19"/>
          <w:szCs w:val="19"/>
        </w:rPr>
        <w:t>μ</w:t>
      </w:r>
      <w:r>
        <w:rPr>
          <w:rFonts w:ascii="Arial" w:eastAsia="Arial" w:hAnsi="Arial" w:cs="Arial"/>
          <w:spacing w:val="6"/>
          <w:sz w:val="19"/>
          <w:szCs w:val="19"/>
        </w:rPr>
        <w:t>m</w:t>
      </w:r>
      <w:r>
        <w:rPr>
          <w:spacing w:val="6"/>
          <w:sz w:val="19"/>
          <w:szCs w:val="19"/>
        </w:rPr>
        <w:t>）均价为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0.425 </w:t>
      </w:r>
      <w:r>
        <w:rPr>
          <w:spacing w:val="6"/>
          <w:sz w:val="19"/>
          <w:szCs w:val="19"/>
        </w:rPr>
        <w:t>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平方米，与两周前持平；湿法隔膜（</w:t>
      </w:r>
      <w:r>
        <w:rPr>
          <w:rFonts w:ascii="Arial" w:eastAsia="Arial" w:hAnsi="Arial" w:cs="Arial"/>
          <w:spacing w:val="6"/>
          <w:sz w:val="19"/>
          <w:szCs w:val="19"/>
        </w:rPr>
        <w:t>9</w:t>
      </w:r>
      <w:r>
        <w:rPr>
          <w:spacing w:val="6"/>
          <w:sz w:val="19"/>
          <w:szCs w:val="19"/>
        </w:rPr>
        <w:t>μ</w:t>
      </w:r>
      <w:r>
        <w:rPr>
          <w:rFonts w:ascii="Arial" w:eastAsia="Arial" w:hAnsi="Arial" w:cs="Arial"/>
          <w:spacing w:val="5"/>
          <w:sz w:val="19"/>
          <w:szCs w:val="19"/>
        </w:rPr>
        <w:t>m</w:t>
      </w:r>
      <w:r>
        <w:rPr>
          <w:spacing w:val="5"/>
          <w:sz w:val="19"/>
          <w:szCs w:val="19"/>
        </w:rPr>
        <w:t>）均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价为</w:t>
      </w:r>
      <w:r>
        <w:rPr>
          <w:spacing w:val="-32"/>
          <w:sz w:val="19"/>
          <w:szCs w:val="19"/>
        </w:rPr>
        <w:t xml:space="preserve"> </w:t>
      </w:r>
      <w:r>
        <w:rPr>
          <w:rFonts w:ascii="Arial" w:eastAsia="Arial" w:hAnsi="Arial" w:cs="Arial"/>
          <w:spacing w:val="11"/>
          <w:sz w:val="19"/>
          <w:szCs w:val="19"/>
        </w:rPr>
        <w:t xml:space="preserve">0.95 </w:t>
      </w:r>
      <w:r>
        <w:rPr>
          <w:spacing w:val="11"/>
          <w:sz w:val="19"/>
          <w:szCs w:val="19"/>
        </w:rPr>
        <w:t>元</w:t>
      </w:r>
      <w:r>
        <w:rPr>
          <w:rFonts w:ascii="Arial" w:eastAsia="Arial" w:hAnsi="Arial" w:cs="Arial"/>
          <w:spacing w:val="11"/>
          <w:sz w:val="19"/>
          <w:szCs w:val="19"/>
        </w:rPr>
        <w:t>/</w:t>
      </w:r>
      <w:r>
        <w:rPr>
          <w:spacing w:val="11"/>
          <w:sz w:val="19"/>
          <w:szCs w:val="19"/>
        </w:rPr>
        <w:t>平方米，与两周前持平。各</w:t>
      </w:r>
      <w:r>
        <w:rPr>
          <w:spacing w:val="10"/>
          <w:sz w:val="19"/>
          <w:szCs w:val="19"/>
        </w:rPr>
        <w:t>家开工差异较大，头部企业相对开工率要</w:t>
      </w:r>
      <w:r>
        <w:rPr>
          <w:sz w:val="19"/>
          <w:szCs w:val="19"/>
        </w:rPr>
        <w:t xml:space="preserve"> </w:t>
      </w:r>
      <w:r>
        <w:rPr>
          <w:spacing w:val="9"/>
          <w:sz w:val="19"/>
          <w:szCs w:val="19"/>
        </w:rPr>
        <w:t>高，个别下游厂商仍然在维持定量生产。</w:t>
      </w:r>
    </w:p>
    <w:p>
      <w:pPr>
        <w:pStyle w:val="BodyText"/>
        <w:spacing w:before="85" w:line="294" w:lineRule="auto"/>
        <w:ind w:left="3124" w:right="45" w:firstLine="447"/>
        <w:jc w:val="both"/>
        <w:rPr>
          <w:sz w:val="19"/>
          <w:szCs w:val="19"/>
        </w:rPr>
      </w:pPr>
      <w:r>
        <w:rPr>
          <w:spacing w:val="9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电解液：三元电解液、磷酸铁锂电解液、六氟磷酸锂价格与上周持平，溶剂价</w:t>
      </w:r>
      <w:r>
        <w:rPr>
          <w:spacing w:val="9"/>
          <w:sz w:val="19"/>
          <w:szCs w:val="19"/>
        </w:rPr>
        <w:t xml:space="preserve"> </w:t>
      </w:r>
      <w:r>
        <w:rPr>
          <w:spacing w:val="7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格趋于稳定。</w:t>
      </w:r>
      <w:r>
        <w:rPr>
          <w:spacing w:val="7"/>
          <w:sz w:val="19"/>
          <w:szCs w:val="19"/>
        </w:rPr>
        <w:t>三元电解液（圆柱</w:t>
      </w:r>
      <w:r>
        <w:rPr>
          <w:rFonts w:ascii="Arial" w:eastAsia="Arial" w:hAnsi="Arial" w:cs="Arial"/>
          <w:spacing w:val="7"/>
          <w:sz w:val="19"/>
          <w:szCs w:val="19"/>
        </w:rPr>
        <w:t>/2600</w:t>
      </w:r>
      <w:r>
        <w:rPr>
          <w:rFonts w:ascii="Arial" w:eastAsia="Arial" w:hAnsi="Arial" w:cs="Arial"/>
          <w:sz w:val="19"/>
          <w:szCs w:val="19"/>
        </w:rPr>
        <w:t>mAh</w:t>
      </w:r>
      <w:r>
        <w:rPr>
          <w:spacing w:val="6"/>
          <w:sz w:val="19"/>
          <w:szCs w:val="19"/>
        </w:rPr>
        <w:t>）</w:t>
      </w:r>
      <w:r>
        <w:rPr>
          <w:rFonts w:ascii="Arial" w:eastAsia="Arial" w:hAnsi="Arial" w:cs="Arial"/>
          <w:spacing w:val="6"/>
          <w:sz w:val="19"/>
          <w:szCs w:val="19"/>
        </w:rPr>
        <w:t>2</w:t>
      </w:r>
      <w:r>
        <w:rPr>
          <w:rFonts w:ascii="Arial" w:eastAsia="Arial" w:hAnsi="Arial" w:cs="Arial"/>
          <w:spacing w:val="17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>23</w:t>
      </w:r>
      <w:r>
        <w:rPr>
          <w:rFonts w:ascii="Arial" w:eastAsia="Arial" w:hAnsi="Arial" w:cs="Arial"/>
          <w:spacing w:val="48"/>
          <w:sz w:val="19"/>
          <w:szCs w:val="19"/>
        </w:rPr>
        <w:t xml:space="preserve"> </w:t>
      </w:r>
      <w:r>
        <w:rPr>
          <w:spacing w:val="6"/>
          <w:sz w:val="19"/>
          <w:szCs w:val="19"/>
        </w:rPr>
        <w:t>日均价为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6"/>
          <w:sz w:val="19"/>
          <w:szCs w:val="19"/>
        </w:rPr>
        <w:t xml:space="preserve">2.5 </w:t>
      </w:r>
      <w:r>
        <w:rPr>
          <w:spacing w:val="6"/>
          <w:sz w:val="19"/>
          <w:szCs w:val="19"/>
        </w:rPr>
        <w:t>万元</w:t>
      </w:r>
      <w:r>
        <w:rPr>
          <w:rFonts w:ascii="Arial" w:eastAsia="Arial" w:hAnsi="Arial" w:cs="Arial"/>
          <w:spacing w:val="6"/>
          <w:sz w:val="19"/>
          <w:szCs w:val="19"/>
        </w:rPr>
        <w:t>/</w:t>
      </w:r>
      <w:r>
        <w:rPr>
          <w:spacing w:val="6"/>
          <w:sz w:val="19"/>
          <w:szCs w:val="19"/>
        </w:rPr>
        <w:t>吨，与两周</w:t>
      </w:r>
      <w:r>
        <w:rPr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前持平；磷酸铁锂电解液</w:t>
      </w:r>
      <w:r>
        <w:rPr>
          <w:spacing w:val="-38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2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月</w:t>
      </w:r>
      <w:r>
        <w:rPr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>23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spacing w:val="5"/>
          <w:sz w:val="19"/>
          <w:szCs w:val="19"/>
        </w:rPr>
        <w:t>日均价为</w:t>
      </w:r>
      <w:r>
        <w:rPr>
          <w:spacing w:val="-20"/>
          <w:sz w:val="19"/>
          <w:szCs w:val="19"/>
        </w:rPr>
        <w:t xml:space="preserve"> </w:t>
      </w:r>
      <w:r>
        <w:rPr>
          <w:rFonts w:ascii="Arial" w:eastAsia="Arial" w:hAnsi="Arial" w:cs="Arial"/>
          <w:spacing w:val="5"/>
          <w:sz w:val="19"/>
          <w:szCs w:val="19"/>
        </w:rPr>
        <w:t xml:space="preserve">1.85 </w:t>
      </w:r>
      <w:r>
        <w:rPr>
          <w:spacing w:val="5"/>
          <w:sz w:val="19"/>
          <w:szCs w:val="19"/>
        </w:rPr>
        <w:t>万</w:t>
      </w:r>
      <w:r>
        <w:rPr>
          <w:spacing w:val="4"/>
          <w:sz w:val="19"/>
          <w:szCs w:val="19"/>
        </w:rPr>
        <w:t>元</w:t>
      </w:r>
      <w:r>
        <w:rPr>
          <w:rFonts w:ascii="Arial" w:eastAsia="Arial" w:hAnsi="Arial" w:cs="Arial"/>
          <w:spacing w:val="4"/>
          <w:sz w:val="19"/>
          <w:szCs w:val="19"/>
        </w:rPr>
        <w:t>/</w:t>
      </w:r>
      <w:r>
        <w:rPr>
          <w:spacing w:val="4"/>
          <w:sz w:val="19"/>
          <w:szCs w:val="19"/>
        </w:rPr>
        <w:t>吨，与两周前持平；六氟磷酸</w:t>
      </w:r>
      <w:r>
        <w:rPr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锂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23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日均价为</w:t>
      </w:r>
      <w:r>
        <w:rPr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 xml:space="preserve">6.65 </w:t>
      </w:r>
      <w:r>
        <w:rPr>
          <w:spacing w:val="4"/>
          <w:sz w:val="19"/>
          <w:szCs w:val="19"/>
        </w:rPr>
        <w:t>万元</w:t>
      </w:r>
      <w:r>
        <w:rPr>
          <w:rFonts w:ascii="Arial" w:eastAsia="Arial" w:hAnsi="Arial" w:cs="Arial"/>
          <w:spacing w:val="4"/>
          <w:sz w:val="19"/>
          <w:szCs w:val="19"/>
        </w:rPr>
        <w:t>/</w:t>
      </w:r>
      <w:r>
        <w:rPr>
          <w:spacing w:val="4"/>
          <w:sz w:val="19"/>
          <w:szCs w:val="19"/>
        </w:rPr>
        <w:t>吨，与两周前持平；</w:t>
      </w:r>
      <w:r>
        <w:rPr>
          <w:spacing w:val="-47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电池级</w:t>
      </w:r>
      <w:r>
        <w:rPr>
          <w:spacing w:val="-29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DMC</w:t>
      </w:r>
      <w:r>
        <w:rPr>
          <w:rFonts w:ascii="Arial" w:eastAsia="Arial" w:hAnsi="Arial" w:cs="Arial"/>
          <w:spacing w:val="4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价格</w:t>
      </w:r>
      <w:r>
        <w:rPr>
          <w:spacing w:val="3"/>
          <w:sz w:val="19"/>
          <w:szCs w:val="19"/>
        </w:rPr>
        <w:t>为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spacing w:val="3"/>
          <w:sz w:val="19"/>
          <w:szCs w:val="19"/>
        </w:rPr>
        <w:t xml:space="preserve">0.465 </w:t>
      </w:r>
      <w:r>
        <w:rPr>
          <w:spacing w:val="3"/>
          <w:sz w:val="19"/>
          <w:szCs w:val="19"/>
        </w:rPr>
        <w:t>万元</w:t>
      </w:r>
      <w:r>
        <w:rPr>
          <w:sz w:val="19"/>
          <w:szCs w:val="19"/>
        </w:rPr>
        <w:t xml:space="preserve"> </w:t>
      </w:r>
      <w:r>
        <w:rPr>
          <w:rFonts w:ascii="Arial" w:eastAsia="Arial" w:hAnsi="Arial" w:cs="Arial"/>
          <w:spacing w:val="8"/>
          <w:sz w:val="19"/>
          <w:szCs w:val="19"/>
        </w:rPr>
        <w:t>/</w:t>
      </w:r>
      <w:r>
        <w:rPr>
          <w:spacing w:val="8"/>
          <w:sz w:val="19"/>
          <w:szCs w:val="19"/>
        </w:rPr>
        <w:t>吨，与两周前持平；</w:t>
      </w:r>
      <w:r>
        <w:rPr>
          <w:spacing w:val="-41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电池级</w:t>
      </w:r>
      <w:r>
        <w:rPr>
          <w:spacing w:val="-27"/>
          <w:sz w:val="19"/>
          <w:szCs w:val="19"/>
        </w:rPr>
        <w:t xml:space="preserve"> </w:t>
      </w:r>
      <w:r>
        <w:rPr>
          <w:rFonts w:ascii="Arial" w:eastAsia="Arial" w:hAnsi="Arial" w:cs="Arial"/>
          <w:sz w:val="19"/>
          <w:szCs w:val="19"/>
        </w:rPr>
        <w:t>EC</w:t>
      </w:r>
      <w:r>
        <w:rPr>
          <w:rFonts w:ascii="Arial" w:eastAsia="Arial" w:hAnsi="Arial" w:cs="Arial"/>
          <w:spacing w:val="8"/>
          <w:sz w:val="19"/>
          <w:szCs w:val="19"/>
        </w:rPr>
        <w:t xml:space="preserve"> </w:t>
      </w:r>
      <w:r>
        <w:rPr>
          <w:spacing w:val="8"/>
          <w:sz w:val="19"/>
          <w:szCs w:val="19"/>
        </w:rPr>
        <w:t>价格为</w:t>
      </w:r>
      <w:r>
        <w:rPr>
          <w:spacing w:val="-33"/>
          <w:sz w:val="19"/>
          <w:szCs w:val="19"/>
        </w:rPr>
        <w:t xml:space="preserve"> </w:t>
      </w:r>
      <w:r>
        <w:rPr>
          <w:rFonts w:ascii="Arial" w:eastAsia="Arial" w:hAnsi="Arial" w:cs="Arial"/>
          <w:spacing w:val="8"/>
          <w:sz w:val="19"/>
          <w:szCs w:val="19"/>
        </w:rPr>
        <w:t xml:space="preserve">0.51 </w:t>
      </w:r>
      <w:r>
        <w:rPr>
          <w:spacing w:val="8"/>
          <w:sz w:val="19"/>
          <w:szCs w:val="19"/>
        </w:rPr>
        <w:t>万元</w:t>
      </w:r>
      <w:r>
        <w:rPr>
          <w:rFonts w:ascii="Arial" w:eastAsia="Arial" w:hAnsi="Arial" w:cs="Arial"/>
          <w:spacing w:val="8"/>
          <w:sz w:val="19"/>
          <w:szCs w:val="19"/>
        </w:rPr>
        <w:t>/</w:t>
      </w:r>
      <w:r>
        <w:rPr>
          <w:spacing w:val="8"/>
          <w:sz w:val="19"/>
          <w:szCs w:val="19"/>
        </w:rPr>
        <w:t>吨，与两周前持平</w:t>
      </w:r>
      <w:r>
        <w:rPr>
          <w:spacing w:val="7"/>
          <w:sz w:val="19"/>
          <w:szCs w:val="19"/>
        </w:rPr>
        <w:t>；本周电解液</w:t>
      </w:r>
      <w:r>
        <w:rPr>
          <w:sz w:val="19"/>
          <w:szCs w:val="19"/>
        </w:rPr>
        <w:t xml:space="preserve"> </w:t>
      </w:r>
      <w:r>
        <w:rPr>
          <w:spacing w:val="7"/>
          <w:sz w:val="19"/>
          <w:szCs w:val="19"/>
        </w:rPr>
        <w:t>市场呈现平稳向好的态势，各家出货量有小幅增加，大</w:t>
      </w:r>
      <w:r>
        <w:rPr>
          <w:spacing w:val="6"/>
          <w:sz w:val="19"/>
          <w:szCs w:val="19"/>
        </w:rPr>
        <w:t>部分电解液企业有小幅增量，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主要是因为储能板块有放量。六氟磷酸锂市场本周</w:t>
      </w:r>
      <w:r>
        <w:rPr>
          <w:spacing w:val="10"/>
          <w:sz w:val="19"/>
          <w:szCs w:val="19"/>
        </w:rPr>
        <w:t>需求保持平稳，大多数厂商开工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达不到满产状态，主要是六氟市场价格相对较低，</w:t>
      </w:r>
      <w:r>
        <w:rPr>
          <w:spacing w:val="10"/>
          <w:sz w:val="19"/>
          <w:szCs w:val="19"/>
        </w:rPr>
        <w:t>厂家利润空间微薄，导致厂家开</w:t>
      </w:r>
      <w:r>
        <w:rPr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工意愿不强。溶剂和添加剂市场的开工率保持稳定</w:t>
      </w:r>
      <w:r>
        <w:rPr>
          <w:spacing w:val="10"/>
          <w:sz w:val="19"/>
          <w:szCs w:val="19"/>
        </w:rPr>
        <w:t>，市场供应充足，价格无明显变</w:t>
      </w:r>
    </w:p>
    <w:p>
      <w:pPr>
        <w:spacing w:before="39" w:line="28" w:lineRule="exact"/>
      </w:pPr>
      <w:r>
        <w:drawing>
          <wp:inline distT="0" distB="0" distL="0" distR="0">
            <wp:extent cx="6588252" cy="18288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588252" cy="18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5" w:lineRule="exact"/>
      </w:pPr>
    </w:p>
    <w:p>
      <w:pPr>
        <w:spacing w:line="15" w:lineRule="exact"/>
        <w:sectPr>
          <w:footerReference w:type="default" r:id="rId30"/>
          <w:pgSz w:w="11906" w:h="16839"/>
          <w:pgMar w:top="914" w:right="755" w:bottom="400" w:left="703" w:header="0" w:footer="0" w:gutter="0"/>
          <w:pgNumType w:start="22"/>
          <w:cols w:num="1" w:space="708" w:equalWidth="0">
            <w:col w:w="10448" w:space="0"/>
          </w:cols>
        </w:sectPr>
      </w:pPr>
    </w:p>
    <w:p>
      <w:pPr>
        <w:pStyle w:val="BodyText"/>
        <w:spacing w:before="80" w:line="215" w:lineRule="auto"/>
        <w:ind w:left="16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45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position w:val="1"/>
          <w:sz w:val="18"/>
          <w:szCs w:val="18"/>
        </w:rPr>
        <w:t>8 /</w:t>
      </w:r>
      <w:r>
        <w:rPr>
          <w:rFonts w:ascii="Arial" w:eastAsia="Arial" w:hAnsi="Arial" w:cs="Arial"/>
          <w:spacing w:val="6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1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31"/>
          <w:type w:val="continuous"/>
          <w:pgSz w:w="11906" w:h="16839"/>
          <w:pgMar w:top="914" w:right="755" w:bottom="400" w:left="703" w:header="0" w:footer="0" w:gutter="0"/>
          <w:pgNumType w:start="23"/>
          <w:cols w:num="3" w:space="708" w:equalWidth="0">
            <w:col w:w="4804" w:space="100"/>
            <w:col w:w="4123" w:space="100"/>
            <w:col w:w="1322" w:space="0"/>
          </w:cols>
        </w:sectPr>
      </w:pPr>
    </w:p>
    <w:p>
      <w:pPr>
        <w:pStyle w:val="BodyText"/>
        <w:spacing w:before="48" w:line="221" w:lineRule="auto"/>
        <w:ind w:left="9296"/>
        <w:rPr>
          <w:sz w:val="24"/>
          <w:szCs w:val="24"/>
        </w:rPr>
      </w:pPr>
      <w:r>
        <w:pict>
          <v:shape id="_x0000_s1034" style="width:420.65pt;height:0.6pt;margin-top:63pt;margin-left:121.8pt;mso-position-horizontal-relative:page;mso-position-vertical-relative:page;position:absolute;z-index:251675648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74624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spacing w:before="8"/>
      </w:pPr>
    </w:p>
    <w:p>
      <w:pPr>
        <w:spacing w:before="7"/>
      </w:pPr>
    </w:p>
    <w:p>
      <w:pPr>
        <w:spacing w:before="7"/>
      </w:pPr>
    </w:p>
    <w:p>
      <w:pPr>
        <w:sectPr>
          <w:footerReference w:type="default" r:id="rId32"/>
          <w:pgSz w:w="11906" w:h="16839"/>
          <w:pgMar w:top="914" w:right="584" w:bottom="400" w:left="600" w:header="0" w:footer="0" w:gutter="0"/>
          <w:pgNumType w:start="24"/>
          <w:cols w:num="1" w:space="708" w:equalWidth="0">
            <w:col w:w="10721" w:space="0"/>
          </w:cols>
        </w:sect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3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65" w:line="192" w:lineRule="auto"/>
        <w:ind w:left="16"/>
        <w:rPr>
          <w:sz w:val="20"/>
          <w:szCs w:val="20"/>
        </w:rPr>
      </w:pPr>
      <w:r>
        <w:rPr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图表</w:t>
      </w:r>
      <w:r>
        <w:rPr>
          <w:spacing w:val="-37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5"/>
          <w:sz w:val="20"/>
          <w:szCs w:val="20"/>
        </w:rPr>
        <w:t>3</w:t>
      </w:r>
      <w:r>
        <w:rPr>
          <w:rFonts w:ascii="Arial" w:eastAsia="Arial" w:hAnsi="Arial" w:cs="Arial"/>
          <w:b/>
          <w:bCs/>
          <w:spacing w:val="50"/>
          <w:w w:val="101"/>
          <w:sz w:val="20"/>
          <w:szCs w:val="20"/>
        </w:rPr>
        <w:t xml:space="preserve"> </w:t>
      </w:r>
      <w:r>
        <w:rPr>
          <w:spacing w:val="5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钴镍价格情况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0" w:line="235" w:lineRule="auto"/>
        <w:rPr>
          <w:sz w:val="19"/>
          <w:szCs w:val="19"/>
        </w:rPr>
      </w:pPr>
      <w:r>
        <w:rPr>
          <w:spacing w:val="3"/>
          <w:sz w:val="19"/>
          <w:szCs w:val="19"/>
        </w:rPr>
        <w:t>化。</w:t>
      </w:r>
    </w:p>
    <w:p>
      <w:pPr>
        <w:pStyle w:val="BodyText"/>
        <w:spacing w:before="70" w:line="287" w:lineRule="auto"/>
        <w:ind w:left="3" w:right="171" w:firstLine="441"/>
        <w:jc w:val="both"/>
        <w:rPr>
          <w:sz w:val="19"/>
          <w:szCs w:val="19"/>
        </w:rPr>
      </w:pPr>
      <w:r>
        <w:rPr>
          <w:spacing w:val="6"/>
          <w:sz w:val="19"/>
          <w:szCs w:val="19"/>
          <w14:textOutline w14:w="3614" w14:cap="sq">
            <w14:solidFill>
              <w14:srgbClr w14:val="000000"/>
            </w14:solidFill>
            <w14:prstDash w14:val="solid"/>
            <w14:bevel/>
          </w14:textOutline>
        </w:rPr>
        <w:t>电芯：三元电芯价格稳定，磷酸铁锂电芯价格下降较多。</w:t>
      </w:r>
      <w:r>
        <w:rPr>
          <w:spacing w:val="6"/>
          <w:sz w:val="19"/>
          <w:szCs w:val="19"/>
        </w:rPr>
        <w:t>方形动力电芯（三元）</w:t>
      </w:r>
      <w:r>
        <w:rPr>
          <w:spacing w:val="14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月</w:t>
      </w:r>
      <w:r>
        <w:rPr>
          <w:spacing w:val="-37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23</w:t>
      </w:r>
      <w:r>
        <w:rPr>
          <w:rFonts w:ascii="Arial" w:eastAsia="Arial" w:hAnsi="Arial" w:cs="Arial"/>
          <w:spacing w:val="46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日均价为</w:t>
      </w:r>
      <w:r>
        <w:rPr>
          <w:spacing w:val="-36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 xml:space="preserve">0.475 </w:t>
      </w:r>
      <w:r>
        <w:rPr>
          <w:spacing w:val="4"/>
          <w:sz w:val="19"/>
          <w:szCs w:val="19"/>
        </w:rPr>
        <w:t>元</w:t>
      </w:r>
      <w:r>
        <w:rPr>
          <w:rFonts w:ascii="Arial" w:eastAsia="Arial" w:hAnsi="Arial" w:cs="Arial"/>
          <w:spacing w:val="4"/>
          <w:sz w:val="19"/>
          <w:szCs w:val="19"/>
        </w:rPr>
        <w:t>/</w:t>
      </w:r>
      <w:r>
        <w:rPr>
          <w:rFonts w:ascii="Arial" w:eastAsia="Arial" w:hAnsi="Arial" w:cs="Arial"/>
          <w:sz w:val="19"/>
          <w:szCs w:val="19"/>
        </w:rPr>
        <w:t>Wh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，与两周前持平；方形动力电芯（磷酸铁锂</w:t>
      </w:r>
      <w:r>
        <w:rPr>
          <w:spacing w:val="3"/>
          <w:sz w:val="19"/>
          <w:szCs w:val="19"/>
        </w:rPr>
        <w:t>）</w:t>
      </w:r>
      <w:r>
        <w:rPr>
          <w:rFonts w:ascii="Arial" w:eastAsia="Arial" w:hAnsi="Arial" w:cs="Arial"/>
          <w:spacing w:val="3"/>
          <w:sz w:val="19"/>
          <w:szCs w:val="19"/>
        </w:rPr>
        <w:t>2</w:t>
      </w:r>
      <w:r>
        <w:rPr>
          <w:rFonts w:ascii="Arial" w:eastAsia="Arial" w:hAnsi="Arial" w:cs="Arial"/>
          <w:spacing w:val="16"/>
          <w:sz w:val="19"/>
          <w:szCs w:val="19"/>
        </w:rPr>
        <w:t xml:space="preserve"> </w:t>
      </w:r>
      <w:r>
        <w:rPr>
          <w:spacing w:val="3"/>
          <w:sz w:val="19"/>
          <w:szCs w:val="19"/>
        </w:rPr>
        <w:t>月</w:t>
      </w:r>
      <w:r>
        <w:rPr>
          <w:spacing w:val="-39"/>
          <w:sz w:val="19"/>
          <w:szCs w:val="19"/>
        </w:rPr>
        <w:t xml:space="preserve"> </w:t>
      </w:r>
      <w:r>
        <w:rPr>
          <w:rFonts w:ascii="Arial" w:eastAsia="Arial" w:hAnsi="Arial" w:cs="Arial"/>
          <w:spacing w:val="3"/>
          <w:sz w:val="19"/>
          <w:szCs w:val="19"/>
        </w:rPr>
        <w:t>23</w:t>
      </w:r>
      <w:r>
        <w:rPr>
          <w:rFonts w:ascii="Arial" w:eastAsia="Arial" w:hAnsi="Arial" w:cs="Arial"/>
          <w:sz w:val="19"/>
          <w:szCs w:val="19"/>
        </w:rPr>
        <w:t xml:space="preserve">   </w:t>
      </w:r>
      <w:r>
        <w:rPr>
          <w:spacing w:val="4"/>
          <w:sz w:val="19"/>
          <w:szCs w:val="19"/>
        </w:rPr>
        <w:t>日均价为</w:t>
      </w:r>
      <w:r>
        <w:rPr>
          <w:spacing w:val="-28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 xml:space="preserve">0.38 </w:t>
      </w:r>
      <w:r>
        <w:rPr>
          <w:spacing w:val="4"/>
          <w:sz w:val="19"/>
          <w:szCs w:val="19"/>
        </w:rPr>
        <w:t>元</w:t>
      </w:r>
      <w:r>
        <w:rPr>
          <w:rFonts w:ascii="Arial" w:eastAsia="Arial" w:hAnsi="Arial" w:cs="Arial"/>
          <w:spacing w:val="4"/>
          <w:sz w:val="19"/>
          <w:szCs w:val="19"/>
        </w:rPr>
        <w:t>/</w:t>
      </w:r>
      <w:r>
        <w:rPr>
          <w:rFonts w:ascii="Arial" w:eastAsia="Arial" w:hAnsi="Arial" w:cs="Arial"/>
          <w:sz w:val="19"/>
          <w:szCs w:val="19"/>
        </w:rPr>
        <w:t>Wh</w:t>
      </w:r>
      <w:r>
        <w:rPr>
          <w:rFonts w:ascii="Arial" w:eastAsia="Arial" w:hAnsi="Arial" w:cs="Arial"/>
          <w:spacing w:val="-28"/>
          <w:sz w:val="19"/>
          <w:szCs w:val="19"/>
        </w:rPr>
        <w:t xml:space="preserve"> </w:t>
      </w:r>
      <w:r>
        <w:rPr>
          <w:spacing w:val="4"/>
          <w:sz w:val="19"/>
          <w:szCs w:val="19"/>
        </w:rPr>
        <w:t>，较两周前下降</w:t>
      </w:r>
      <w:r>
        <w:rPr>
          <w:spacing w:val="-23"/>
          <w:sz w:val="19"/>
          <w:szCs w:val="19"/>
        </w:rPr>
        <w:t xml:space="preserve"> </w:t>
      </w:r>
      <w:r>
        <w:rPr>
          <w:rFonts w:ascii="Arial" w:eastAsia="Arial" w:hAnsi="Arial" w:cs="Arial"/>
          <w:spacing w:val="4"/>
          <w:sz w:val="19"/>
          <w:szCs w:val="19"/>
        </w:rPr>
        <w:t>11.6%</w:t>
      </w:r>
      <w:r>
        <w:rPr>
          <w:spacing w:val="4"/>
          <w:sz w:val="19"/>
          <w:szCs w:val="19"/>
        </w:rPr>
        <w:t>。</w:t>
      </w:r>
    </w:p>
    <w:p>
      <w:pPr>
        <w:pStyle w:val="BodyText"/>
        <w:spacing w:before="201" w:line="192" w:lineRule="auto"/>
        <w:ind w:left="2021"/>
        <w:rPr>
          <w:sz w:val="20"/>
          <w:szCs w:val="20"/>
        </w:rPr>
      </w:pPr>
      <w:r>
        <w:rPr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图表</w:t>
      </w:r>
      <w:r>
        <w:rPr>
          <w:spacing w:val="-29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7"/>
          <w:sz w:val="20"/>
          <w:szCs w:val="20"/>
        </w:rPr>
        <w:t>4</w:t>
      </w:r>
      <w:r>
        <w:rPr>
          <w:rFonts w:ascii="Arial" w:eastAsia="Arial" w:hAnsi="Arial" w:cs="Arial"/>
          <w:b/>
          <w:bCs/>
          <w:spacing w:val="50"/>
          <w:sz w:val="20"/>
          <w:szCs w:val="20"/>
        </w:rPr>
        <w:t xml:space="preserve"> </w:t>
      </w:r>
      <w:r>
        <w:rPr>
          <w:spacing w:val="7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碳酸锂和氢氧化锂价格情况</w:t>
      </w:r>
    </w:p>
    <w:p>
      <w:pPr>
        <w:spacing w:line="192" w:lineRule="auto"/>
        <w:rPr>
          <w:sz w:val="20"/>
          <w:szCs w:val="20"/>
        </w:rPr>
        <w:sectPr>
          <w:footerReference w:type="default" r:id="rId33"/>
          <w:type w:val="continuous"/>
          <w:pgSz w:w="11906" w:h="16839"/>
          <w:pgMar w:top="914" w:right="584" w:bottom="400" w:left="600" w:header="0" w:footer="0" w:gutter="0"/>
          <w:pgNumType w:start="25"/>
          <w:cols w:num="2" w:space="708" w:equalWidth="0">
            <w:col w:w="3130" w:space="100"/>
            <w:col w:w="7492" w:space="0"/>
          </w:cols>
        </w:sectPr>
      </w:pPr>
    </w:p>
    <w:tbl>
      <w:tblPr>
        <w:tblStyle w:val="TableNormal0"/>
        <w:tblW w:w="107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97"/>
        <w:gridCol w:w="914"/>
        <w:gridCol w:w="5609"/>
      </w:tblGrid>
      <w:tr>
        <w:tblPrEx>
          <w:tblW w:w="1072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47"/>
        </w:trPr>
        <w:tc>
          <w:tcPr>
            <w:tcW w:w="5111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24" w:line="3503" w:lineRule="exact"/>
              <w:ind w:firstLine="78"/>
            </w:pPr>
            <w:r>
              <w:rPr>
                <w:position w:val="-70"/>
              </w:rPr>
              <w:drawing>
                <wp:inline distT="0" distB="0" distL="0" distR="0">
                  <wp:extent cx="3145789" cy="2224405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89" cy="2224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198" w:line="3355" w:lineRule="exact"/>
              <w:ind w:firstLine="80"/>
            </w:pPr>
            <w:r>
              <w:rPr>
                <w:position w:val="-67"/>
              </w:rPr>
              <w:drawing>
                <wp:inline distT="0" distB="0" distL="0" distR="0">
                  <wp:extent cx="3261995" cy="2130425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1995" cy="21304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720" w:type="dxa"/>
          <w:tblInd w:w="0" w:type="dxa"/>
          <w:tblLayout w:type="fixed"/>
        </w:tblPrEx>
        <w:trPr>
          <w:trHeight w:val="628"/>
        </w:trPr>
        <w:tc>
          <w:tcPr>
            <w:tcW w:w="419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211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资料来源：鑫椤数据，华安证券研究所</w:t>
            </w:r>
          </w:p>
          <w:p>
            <w:pPr>
              <w:pStyle w:val="TableText"/>
              <w:spacing w:before="90" w:line="226" w:lineRule="auto"/>
              <w:ind w:left="136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图表</w:t>
            </w:r>
            <w:r>
              <w:rPr>
                <w:rFonts w:ascii="KaiTi" w:eastAsia="KaiTi" w:hAnsi="KaiTi" w:cs="KaiTi"/>
                <w:spacing w:val="-25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</w:rPr>
              <w:t xml:space="preserve">5 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三元前驱体价格情况</w:t>
            </w:r>
          </w:p>
        </w:tc>
        <w:tc>
          <w:tcPr>
            <w:tcW w:w="6523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74" w:line="211" w:lineRule="auto"/>
              <w:ind w:left="104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资料来源：鑫椤数据，华安证券研究所</w:t>
            </w:r>
          </w:p>
          <w:p>
            <w:pPr>
              <w:pStyle w:val="TableText"/>
              <w:spacing w:before="90" w:line="226" w:lineRule="auto"/>
              <w:ind w:left="1053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图表</w:t>
            </w:r>
            <w:r>
              <w:rPr>
                <w:rFonts w:ascii="KaiTi" w:eastAsia="KaiTi" w:hAnsi="KaiTi" w:cs="KaiTi"/>
                <w:spacing w:val="-30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6"/>
                <w:sz w:val="20"/>
                <w:szCs w:val="20"/>
              </w:rPr>
              <w:t>6</w:t>
            </w:r>
            <w:r>
              <w:rPr>
                <w:b/>
                <w:bCs/>
                <w:spacing w:val="1"/>
                <w:sz w:val="20"/>
                <w:szCs w:val="20"/>
              </w:rPr>
              <w:t xml:space="preserve">  </w:t>
            </w:r>
            <w:r>
              <w:rPr>
                <w:rFonts w:ascii="KaiTi" w:eastAsia="KaiTi" w:hAnsi="KaiTi" w:cs="KaiTi"/>
                <w:spacing w:val="6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三元正极材料价格情况</w:t>
            </w:r>
          </w:p>
        </w:tc>
      </w:tr>
      <w:tr>
        <w:tblPrEx>
          <w:tblW w:w="10720" w:type="dxa"/>
          <w:tblInd w:w="0" w:type="dxa"/>
          <w:tblLayout w:type="fixed"/>
        </w:tblPrEx>
        <w:trPr>
          <w:trHeight w:val="4054"/>
        </w:trPr>
        <w:tc>
          <w:tcPr>
            <w:tcW w:w="5111" w:type="dxa"/>
            <w:gridSpan w:val="2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47" w:line="3976" w:lineRule="exact"/>
              <w:ind w:firstLine="78"/>
            </w:pPr>
            <w:r>
              <w:rPr>
                <w:position w:val="-79"/>
              </w:rPr>
              <w:drawing>
                <wp:inline distT="0" distB="0" distL="0" distR="0">
                  <wp:extent cx="3044825" cy="2524759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4825" cy="25247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9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8" w:line="3954" w:lineRule="exact"/>
              <w:ind w:firstLine="80"/>
            </w:pPr>
            <w:r>
              <w:rPr>
                <w:position w:val="-79"/>
              </w:rPr>
              <w:drawing>
                <wp:inline distT="0" distB="0" distL="0" distR="0">
                  <wp:extent cx="3222625" cy="251079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2625" cy="2510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ectPr>
          <w:footerReference w:type="default" r:id="rId38"/>
          <w:type w:val="continuous"/>
          <w:pgSz w:w="11906" w:h="16839"/>
          <w:pgMar w:top="914" w:right="584" w:bottom="400" w:left="600" w:header="0" w:footer="0" w:gutter="0"/>
          <w:pgNumType w:start="26"/>
          <w:cols w:num="1" w:space="708" w:equalWidth="0">
            <w:col w:w="10721" w:space="0"/>
          </w:cols>
        </w:sectPr>
      </w:pPr>
    </w:p>
    <w:tbl>
      <w:tblPr>
        <w:tblStyle w:val="TableNormal1"/>
        <w:tblW w:w="107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197"/>
        <w:gridCol w:w="6523"/>
      </w:tblGrid>
      <w:tr>
        <w:tblPrEx>
          <w:tblW w:w="1072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54"/>
        </w:trPr>
        <w:tc>
          <w:tcPr>
            <w:tcW w:w="4197" w:type="dxa"/>
            <w:tcBorders>
              <w:top w:val="single" w:sz="2" w:space="0" w:color="000000"/>
              <w:bottom w:val="single" w:sz="8" w:space="0" w:color="000000"/>
            </w:tcBorders>
            <w:vAlign w:val="top"/>
          </w:tcPr>
          <w:p>
            <w:pPr>
              <w:spacing w:before="82" w:line="211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资料来源：鑫椤数据，华安证券研究所</w:t>
            </w:r>
          </w:p>
        </w:tc>
        <w:tc>
          <w:tcPr>
            <w:tcW w:w="6523" w:type="dxa"/>
            <w:tcBorders>
              <w:top w:val="single" w:sz="2" w:space="0" w:color="000000"/>
              <w:bottom w:val="single" w:sz="8" w:space="0" w:color="000000"/>
            </w:tcBorders>
            <w:vAlign w:val="top"/>
          </w:tcPr>
          <w:p>
            <w:pPr>
              <w:spacing w:before="82" w:line="211" w:lineRule="auto"/>
              <w:ind w:left="104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资料来源：鑫椤数据，华安证券研究所</w:t>
            </w:r>
          </w:p>
        </w:tc>
      </w:tr>
    </w:tbl>
    <w:p>
      <w:pPr>
        <w:spacing w:line="14" w:lineRule="exact"/>
        <w:rPr>
          <w:rFonts w:ascii="Arial"/>
          <w:sz w:val="2"/>
        </w:rPr>
      </w:pPr>
    </w:p>
    <w:p>
      <w:pPr>
        <w:spacing w:line="14" w:lineRule="exact"/>
        <w:rPr>
          <w:rFonts w:ascii="Arial" w:eastAsia="Arial" w:hAnsi="Arial" w:cs="Arial"/>
          <w:sz w:val="2"/>
          <w:szCs w:val="2"/>
        </w:rPr>
        <w:sectPr>
          <w:footerReference w:type="default" r:id="rId39"/>
          <w:type w:val="nextPage"/>
          <w:pgSz w:w="11906" w:h="16839"/>
          <w:pgMar w:top="914" w:right="584" w:bottom="400" w:left="600" w:header="0" w:footer="0" w:gutter="0"/>
          <w:pgNumType w:start="27"/>
          <w:cols w:num="1" w:space="708" w:equalWidth="0">
            <w:col w:w="10721" w:space="0"/>
          </w:cols>
          <w:titlePg w:val="0"/>
        </w:sectPr>
      </w:pPr>
    </w:p>
    <w:p>
      <w:pPr>
        <w:pStyle w:val="BodyText"/>
        <w:spacing w:before="80" w:line="215" w:lineRule="auto"/>
        <w:ind w:left="118"/>
      </w:pPr>
      <w:r>
        <w:rPr>
          <w:spacing w:val="-1"/>
        </w:rPr>
        <w:t>敬请参阅末页重要声明及评级说明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8" w:line="245" w:lineRule="exac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spacing w:val="-3"/>
          <w:position w:val="1"/>
          <w:sz w:val="18"/>
          <w:szCs w:val="18"/>
        </w:rPr>
        <w:t>9 /</w:t>
      </w:r>
      <w:r>
        <w:rPr>
          <w:rFonts w:ascii="Arial" w:eastAsia="Arial" w:hAnsi="Arial" w:cs="Arial"/>
          <w:spacing w:val="6"/>
          <w:position w:val="1"/>
          <w:sz w:val="18"/>
          <w:szCs w:val="18"/>
        </w:rPr>
        <w:t xml:space="preserve"> </w:t>
      </w:r>
      <w:r>
        <w:rPr>
          <w:rFonts w:ascii="Arial" w:eastAsia="Arial" w:hAnsi="Arial" w:cs="Arial"/>
          <w:spacing w:val="-3"/>
          <w:position w:val="1"/>
          <w:sz w:val="18"/>
          <w:szCs w:val="18"/>
        </w:rPr>
        <w:t>22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2" w:line="216" w:lineRule="auto"/>
      </w:pPr>
      <w:r>
        <w:rPr>
          <w:spacing w:val="-1"/>
        </w:rPr>
        <w:t>证券研究报告</w:t>
      </w:r>
    </w:p>
    <w:p>
      <w:pPr>
        <w:spacing w:line="216" w:lineRule="auto"/>
        <w:sectPr>
          <w:footerReference w:type="default" r:id="rId40"/>
          <w:type w:val="continuous"/>
          <w:pgSz w:w="11906" w:h="16839"/>
          <w:pgMar w:top="914" w:right="584" w:bottom="400" w:left="600" w:header="0" w:footer="0" w:gutter="0"/>
          <w:pgNumType w:start="28"/>
          <w:cols w:num="3" w:space="708" w:equalWidth="0">
            <w:col w:w="4906" w:space="100"/>
            <w:col w:w="4123" w:space="100"/>
            <w:col w:w="1493" w:space="0"/>
          </w:cols>
        </w:sectPr>
      </w:pPr>
    </w:p>
    <w:p>
      <w:pPr>
        <w:pStyle w:val="BodyText"/>
        <w:spacing w:before="48" w:line="221" w:lineRule="auto"/>
        <w:ind w:left="9296"/>
        <w:rPr>
          <w:sz w:val="24"/>
          <w:szCs w:val="24"/>
        </w:rPr>
      </w:pPr>
      <w:r>
        <w:pict>
          <v:shape id="_x0000_s1035" style="width:420.65pt;height:0.6pt;margin-top:63pt;margin-left:121.8pt;mso-position-horizontal-relative:page;mso-position-vertical-relative:page;position:absolute;z-index:251678720" coordorigin="0,0" coordsize="8412,12" o:allowincell="f" path="m,l8412,l8412,11l,11l,xe" filled="t" fillcolor="#002060" stroked="f"/>
        </w:pict>
      </w:r>
      <w:r>
        <w:drawing>
          <wp:anchor distT="0" distB="0" distL="0" distR="0" simplePos="0" relativeHeight="251677696" behindDoc="0" locked="0" layoutInCell="0" allowOverlap="1">
            <wp:simplePos x="0" y="0"/>
            <wp:positionH relativeFrom="page">
              <wp:posOffset>547116</wp:posOffset>
            </wp:positionH>
            <wp:positionV relativeFrom="page">
              <wp:posOffset>661416</wp:posOffset>
            </wp:positionV>
            <wp:extent cx="899160" cy="249935"/>
            <wp:effectExtent l="0" t="0" r="0" b="0"/>
            <wp:wrapNone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9160" cy="2499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0" locked="0" layoutInCell="0" allowOverlap="1">
            <wp:simplePos x="0" y="0"/>
            <wp:positionH relativeFrom="page">
              <wp:posOffset>381634</wp:posOffset>
            </wp:positionH>
            <wp:positionV relativeFrom="page">
              <wp:posOffset>4243070</wp:posOffset>
            </wp:positionV>
            <wp:extent cx="6611619" cy="2588005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11619" cy="25880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2060"/>
          <w:spacing w:val="-1"/>
          <w:sz w:val="24"/>
          <w:szCs w:val="24"/>
          <w14:textOutline w14:w="4358" w14:cap="sq">
            <w14:solidFill>
              <w14:srgbClr w14:val="002060"/>
            </w14:solidFill>
            <w14:prstDash w14:val="solid"/>
            <w14:bevel/>
          </w14:textOutline>
        </w:rPr>
        <w:t>行业研究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pStyle w:val="BodyText"/>
        <w:spacing w:before="65" w:line="224" w:lineRule="auto"/>
        <w:ind w:left="16"/>
        <w:rPr>
          <w:sz w:val="20"/>
          <w:szCs w:val="20"/>
        </w:rPr>
      </w:pPr>
      <w:r>
        <w:rPr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图表</w:t>
      </w:r>
      <w:r>
        <w:rPr>
          <w:spacing w:val="-33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7</w:t>
      </w:r>
      <w:r>
        <w:rPr>
          <w:rFonts w:ascii="Arial" w:eastAsia="Arial" w:hAnsi="Arial" w:cs="Arial"/>
          <w:b/>
          <w:bCs/>
          <w:spacing w:val="49"/>
          <w:sz w:val="20"/>
          <w:szCs w:val="20"/>
        </w:rPr>
        <w:t xml:space="preserve"> </w:t>
      </w:r>
      <w:r>
        <w:rPr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磷酸铁价格情况</w:t>
      </w:r>
      <w:r>
        <w:rPr>
          <w:spacing w:val="3"/>
          <w:sz w:val="20"/>
          <w:szCs w:val="20"/>
        </w:rPr>
        <w:t xml:space="preserve">                              </w:t>
      </w:r>
      <w:r>
        <w:rPr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图表</w:t>
      </w:r>
      <w:r>
        <w:rPr>
          <w:spacing w:val="-30"/>
          <w:sz w:val="20"/>
          <w:szCs w:val="20"/>
        </w:rPr>
        <w:t xml:space="preserve"> </w:t>
      </w:r>
      <w:r>
        <w:rPr>
          <w:rFonts w:ascii="Arial" w:eastAsia="Arial" w:hAnsi="Arial" w:cs="Arial"/>
          <w:b/>
          <w:bCs/>
          <w:spacing w:val="6"/>
          <w:sz w:val="20"/>
          <w:szCs w:val="20"/>
        </w:rPr>
        <w:t>8</w:t>
      </w:r>
      <w:r>
        <w:rPr>
          <w:rFonts w:ascii="Arial" w:eastAsia="Arial" w:hAnsi="Arial" w:cs="Arial"/>
          <w:b/>
          <w:bCs/>
          <w:spacing w:val="49"/>
          <w:sz w:val="20"/>
          <w:szCs w:val="20"/>
        </w:rPr>
        <w:t xml:space="preserve"> </w:t>
      </w:r>
      <w:r>
        <w:rPr>
          <w:spacing w:val="6"/>
          <w:sz w:val="20"/>
          <w:szCs w:val="20"/>
          <w14:textOutline w14:w="3795" w14:cap="sq">
            <w14:solidFill>
              <w14:srgbClr w14:val="000000"/>
            </w14:solidFill>
            <w14:prstDash w14:val="solid"/>
            <w14:bevel/>
          </w14:textOutline>
        </w:rPr>
        <w:t>磷酸铁锂价格情况</w:t>
      </w:r>
    </w:p>
    <w:p>
      <w:pPr>
        <w:spacing w:line="16" w:lineRule="exact"/>
      </w:pPr>
    </w:p>
    <w:tbl>
      <w:tblPr>
        <w:tblStyle w:val="TableNormal2"/>
        <w:tblW w:w="1072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113"/>
        <w:gridCol w:w="5607"/>
      </w:tblGrid>
      <w:tr>
        <w:tblPrEx>
          <w:tblW w:w="10720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36"/>
        </w:trPr>
        <w:tc>
          <w:tcPr>
            <w:tcW w:w="5113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5" w:line="3420" w:lineRule="exact"/>
              <w:ind w:firstLine="80"/>
            </w:pPr>
            <w:r>
              <w:rPr>
                <w:position w:val="-68"/>
              </w:rPr>
              <w:drawing>
                <wp:inline distT="0" distB="0" distL="0" distR="0">
                  <wp:extent cx="3145155" cy="2171700"/>
                  <wp:effectExtent l="0" t="0" r="0" b="0"/>
                  <wp:docPr id="50" name="IM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0" name="IM 50"/>
                          <pic:cNvPicPr/>
                        </pic:nvPicPr>
                        <pic:blipFill>
                          <a:blip xmlns:r="http://schemas.openxmlformats.org/officeDocument/2006/relationships"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155" cy="217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07" w:type="dxa"/>
            <w:tcBorders>
              <w:top w:val="single" w:sz="2" w:space="0" w:color="000000"/>
              <w:bottom w:val="single" w:sz="2" w:space="0" w:color="000000"/>
            </w:tcBorders>
            <w:vAlign w:val="top"/>
          </w:tcPr>
          <w:p>
            <w:pPr>
              <w:spacing w:before="2" w:line="3423" w:lineRule="exact"/>
              <w:ind w:firstLine="80"/>
            </w:pPr>
            <w:r>
              <w:rPr>
                <w:position w:val="-68"/>
              </w:rPr>
              <w:drawing>
                <wp:inline distT="0" distB="0" distL="0" distR="0">
                  <wp:extent cx="3459479" cy="2174239"/>
                  <wp:effectExtent l="0" t="0" r="0" b="0"/>
                  <wp:docPr id="52" name="IM 5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" name="IM 52"/>
                          <pic:cNvPicPr/>
                        </pic:nvPicPr>
                        <pic:blipFill>
                          <a:blip xmlns:r="http://schemas.openxmlformats.org/officeDocument/2006/relationships"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59479" cy="2174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10720" w:type="dxa"/>
          <w:tblInd w:w="0" w:type="dxa"/>
          <w:tblLayout w:type="fixed"/>
        </w:tblPrEx>
        <w:trPr>
          <w:trHeight w:val="2665"/>
        </w:trPr>
        <w:tc>
          <w:tcPr>
            <w:tcW w:w="5113" w:type="dxa"/>
            <w:tcBorders>
              <w:top w:val="single" w:sz="2" w:space="0" w:color="000000"/>
            </w:tcBorders>
            <w:vAlign w:val="top"/>
          </w:tcPr>
          <w:p>
            <w:pPr>
              <w:spacing w:before="73" w:line="211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资料来源：鑫椤数据，华安证券研究所</w:t>
            </w:r>
          </w:p>
          <w:p>
            <w:pPr>
              <w:pStyle w:val="TableText"/>
              <w:spacing w:before="90" w:line="226" w:lineRule="auto"/>
              <w:ind w:left="16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图表</w:t>
            </w:r>
            <w:r>
              <w:rPr>
                <w:rFonts w:ascii="KaiTi" w:eastAsia="KaiTi" w:hAnsi="KaiTi" w:cs="KaiTi"/>
                <w:spacing w:val="-37"/>
                <w:sz w:val="20"/>
                <w:szCs w:val="20"/>
              </w:rPr>
              <w:t xml:space="preserve"> </w:t>
            </w:r>
            <w:r>
              <w:rPr>
                <w:b/>
                <w:bCs/>
                <w:spacing w:val="5"/>
                <w:sz w:val="20"/>
                <w:szCs w:val="20"/>
              </w:rPr>
              <w:t>9</w:t>
            </w:r>
            <w:r>
              <w:rPr>
                <w:b/>
                <w:bCs/>
                <w:spacing w:val="50"/>
                <w:w w:val="101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石墨价格情况</w:t>
            </w:r>
          </w:p>
        </w:tc>
        <w:tc>
          <w:tcPr>
            <w:tcW w:w="5607" w:type="dxa"/>
            <w:tcBorders>
              <w:top w:val="single" w:sz="2" w:space="0" w:color="000000"/>
            </w:tcBorders>
            <w:vAlign w:val="top"/>
          </w:tcPr>
          <w:p>
            <w:pPr>
              <w:spacing w:before="73" w:line="211" w:lineRule="auto"/>
              <w:ind w:left="124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资料来源：鑫椤数据，华安证券研究所</w:t>
            </w:r>
          </w:p>
          <w:p>
            <w:pPr>
              <w:spacing w:before="90" w:line="226" w:lineRule="auto"/>
              <w:ind w:left="137"/>
              <w:rPr>
                <w:rFonts w:ascii="KaiTi" w:eastAsia="KaiTi" w:hAnsi="KaiTi" w:cs="KaiTi"/>
                <w:sz w:val="20"/>
                <w:szCs w:val="20"/>
              </w:rPr>
            </w:pPr>
            <w:r>
              <w:rPr>
                <w:rFonts w:ascii="KaiTi" w:eastAsia="KaiTi" w:hAnsi="KaiTi" w:cs="KaiTi"/>
                <w:spacing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图表</w:t>
            </w:r>
            <w:r>
              <w:rPr>
                <w:rFonts w:ascii="KaiTi" w:eastAsia="KaiTi" w:hAnsi="KaiTi" w:cs="KaiTi"/>
                <w:spacing w:val="-17"/>
                <w:sz w:val="20"/>
                <w:szCs w:val="20"/>
              </w:rPr>
              <w:t xml:space="preserve"> </w:t>
            </w:r>
            <w:r>
              <w:rPr>
                <w:rFonts w:ascii="SimSun" w:eastAsia="SimSun" w:hAnsi="SimSun" w:cs="SimSun"/>
                <w:spacing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10</w:t>
            </w:r>
            <w:r>
              <w:rPr>
                <w:rFonts w:ascii="SimSun" w:eastAsia="SimSun" w:hAnsi="SimSun" w:cs="SimSun"/>
                <w:spacing w:val="28"/>
                <w:sz w:val="20"/>
                <w:szCs w:val="20"/>
              </w:rPr>
              <w:t xml:space="preserve"> </w:t>
            </w:r>
            <w:r>
              <w:rPr>
                <w:rFonts w:ascii="KaiTi" w:eastAsia="KaiTi" w:hAnsi="KaiTi" w:cs="KaiTi"/>
                <w:spacing w:val="1"/>
                <w:sz w:val="20"/>
                <w:szCs w:val="20"/>
                <w14:textOutline w14:w="3795" w14:cap="sq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隔膜价格情况</w:t>
            </w:r>
          </w:p>
        </w:tc>
      </w:tr>
      <w:tr>
        <w:tblPrEx>
          <w:tblW w:w="10720" w:type="dxa"/>
          <w:tblInd w:w="0" w:type="dxa"/>
          <w:tblLayout w:type="fixed"/>
        </w:tblPrEx>
        <w:trPr>
          <w:trHeight w:val="6284"/>
        </w:trPr>
        <w:tc>
          <w:tcPr>
            <w:tcW w:w="10720" w:type="dxa"/>
            <w:gridSpan w:val="2"/>
            <w:tcBorders>
              <w:bottom w:val="single" w:sz="8" w:space="0" w:color="000000"/>
            </w:tcBorders>
            <w:vAlign w:val="top"/>
          </w:tcPr>
          <w:p>
            <w:pPr>
              <w:pStyle w:val="TableText"/>
              <w:spacing w:line="254" w:lineRule="auto"/>
              <w:rPr>
                <w:sz w:val="21"/>
              </w:rPr>
            </w:pPr>
          </w:p>
          <w:p>
            <w:pPr>
              <w:pStyle w:val="TableText"/>
              <w:spacing w:line="254" w:lineRule="auto"/>
              <w:rPr>
                <w:sz w:val="21"/>
              </w:rPr>
            </w:pPr>
          </w:p>
          <w:p>
            <w:pPr>
              <w:pStyle w:val="TableText"/>
              <w:spacing w:line="254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pStyle w:val="TableText"/>
              <w:spacing w:line="255" w:lineRule="auto"/>
              <w:rPr>
                <w:sz w:val="21"/>
              </w:rPr>
            </w:pPr>
          </w:p>
          <w:p>
            <w:pPr>
              <w:spacing w:before="58" w:line="211" w:lineRule="auto"/>
              <w:ind w:left="123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</w:rPr>
              <w:t>资料来源：鑫椤数据，华安证券研究所</w:t>
            </w:r>
            <w:r>
              <w:rPr>
                <w:rFonts w:ascii="KaiTi" w:eastAsia="KaiTi" w:hAnsi="KaiTi" w:cs="KaiTi"/>
                <w:sz w:val="18"/>
                <w:szCs w:val="18"/>
              </w:rPr>
              <w:t xml:space="preserve">      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 xml:space="preserve">                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资料来源：鑫椤数据，华安证券研究所</w:t>
            </w:r>
          </w:p>
        </w:tc>
      </w:tr>
    </w:tbl>
    <w:p>
      <w:pPr>
        <w:spacing w:line="14" w:lineRule="exact"/>
        <w:rPr>
          <w:rFonts w:ascii="Arial"/>
          <w:sz w:val="2"/>
        </w:rPr>
      </w:pPr>
    </w:p>
    <w:p>
      <w:pPr>
        <w:spacing w:line="14" w:lineRule="exact"/>
        <w:rPr>
          <w:rFonts w:ascii="Arial" w:eastAsia="Arial" w:hAnsi="Arial" w:cs="Arial"/>
          <w:sz w:val="2"/>
          <w:szCs w:val="2"/>
        </w:rPr>
      </w:pPr>
      <w:r>
        <w:rPr>
          <w:rFonts w:ascii="Arial" w:eastAsia="Arial" w:hAnsi="Arial" w:cs="Arial"/>
          <w:sz w:val="2"/>
          <w:szCs w:val="2"/>
        </w:rPr>
        <w:br/>
      </w:r>
      <w:r>
        <w:rPr>
          <w:rFonts w:ascii="Arial" w:eastAsia="Arial" w:hAnsi="Arial" w:cs="Arial"/>
          <w:sz w:val="2"/>
          <w:szCs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https://d.book118.com/155121043020011113</w:t>
        </w:r>
      </w:hyperlink>
    </w:p>
    <w:p>
      <w:pPr>
        <w:spacing w:line="14" w:lineRule="exact"/>
        <w:rPr>
          <w:rFonts w:ascii="Arial" w:eastAsia="Arial" w:hAnsi="Arial" w:cs="Arial"/>
          <w:sz w:val="2"/>
          <w:szCs w:val="2"/>
        </w:rPr>
      </w:pPr>
    </w:p>
    <w:sectPr>
      <w:footerReference w:type="default" r:id="rId45"/>
      <w:pgSz w:w="11906" w:h="16839"/>
      <w:pgMar w:top="914" w:right="584" w:bottom="400" w:left="600" w:header="0" w:footer="0" w:gutter="0"/>
      <w:pgNumType w:start="29"/>
      <w:cols w:num="1" w:space="708" w:equalWidth="0">
        <w:col w:w="10721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0" w:line="205" w:lineRule="auto"/>
      <w:ind w:left="120"/>
    </w:pPr>
    <w:r>
      <w:pict>
        <v:shape id="_x0000_s2049" style="width:504.85pt;height:0.5pt;margin-top:781.08pt;margin-left:48.96pt;mso-position-horizontal-relative:page;mso-position-vertical-relative:page;position:absolute;z-index:251659264" coordorigin="0,0" coordsize="10097,10" o:allowincell="f" path="m,l10096,l10096,9l,9l,xe" filled="t" fillcolor="#00206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5.95pt;height:12.6pt;margin-top:8.63pt;margin-left:460.16pt;position:absolute;z-index:2516582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6" w:lineRule="auto"/>
                  <w:ind w:left="20"/>
                </w:pPr>
                <w:r>
                  <w:rPr>
                    <w:spacing w:val="-1"/>
                  </w:rPr>
                  <w:t>证券研究报告</w:t>
                </w:r>
              </w:p>
            </w:txbxContent>
          </v:textbox>
        </v:shape>
      </w:pict>
    </w:r>
    <w:r>
      <w:rPr>
        <w:spacing w:val="-1"/>
      </w:rPr>
      <w:t>敬请参阅末页重要声明及评级说明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0" w:line="205" w:lineRule="auto"/>
      <w:ind w:left="120"/>
    </w:pPr>
    <w:r>
      <w:pict>
        <v:shape id="_x0000_s2051" style="width:504.85pt;height:0.5pt;margin-top:781.08pt;margin-left:48.96pt;mso-position-horizontal-relative:page;mso-position-vertical-relative:page;position:absolute;z-index:251661312" coordorigin="0,0" coordsize="10097,10" o:allowincell="f" path="m,l10096,l10096,9l,9l,xe" filled="t" fillcolor="#00206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5.95pt;height:12.6pt;margin-top:8.63pt;margin-left:460.16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6" w:lineRule="auto"/>
                  <w:ind w:left="20"/>
                </w:pPr>
                <w:r>
                  <w:rPr>
                    <w:spacing w:val="-1"/>
                  </w:rPr>
                  <w:t>证券研究报告</w:t>
                </w:r>
              </w:p>
            </w:txbxContent>
          </v:textbox>
        </v:shape>
      </w:pict>
    </w:r>
    <w:r>
      <w:rPr>
        <w:spacing w:val="-1"/>
      </w:rPr>
      <w:t>敬请参阅末页重要声明及评级说明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90" w:line="205" w:lineRule="auto"/>
      <w:ind w:left="120"/>
    </w:pPr>
    <w:r>
      <w:pict>
        <v:shape id="_x0000_s2053" style="width:504.85pt;height:0.5pt;margin-top:781.08pt;margin-left:48.96pt;mso-position-horizontal-relative:page;mso-position-vertical-relative:page;position:absolute;z-index:251663360" coordorigin="0,0" coordsize="10097,10" o:allowincell="f" path="m,l10096,l10096,9l,9l,xe" filled="t" fillcolor="#002060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5.95pt;height:12.6pt;margin-top:8.63pt;margin-left:460.16pt;position:absolute;z-index:2516623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6" w:lineRule="auto"/>
                  <w:ind w:left="20"/>
                </w:pPr>
                <w:r>
                  <w:rPr>
                    <w:spacing w:val="-1"/>
                  </w:rPr>
                  <w:t>证券研究报告</w:t>
                </w:r>
              </w:p>
            </w:txbxContent>
          </v:textbox>
        </v:shape>
      </w:pict>
    </w:r>
    <w:r>
      <w:rPr>
        <w:spacing w:val="-1"/>
      </w:rPr>
      <w:t>敬请参阅末页重要声明及评级说明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8"/>
      <w:szCs w:val="18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Arial" w:eastAsia="Arial" w:hAnsi="Arial" w:cs="Arial"/>
      <w:sz w:val="19"/>
      <w:szCs w:val="19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footer" Target="footer4.xml" /><Relationship Id="rId12" Type="http://schemas.openxmlformats.org/officeDocument/2006/relationships/image" Target="media/image5.jpeg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footer" Target="footer7.xml" /><Relationship Id="rId16" Type="http://schemas.openxmlformats.org/officeDocument/2006/relationships/footer" Target="footer8.xml" /><Relationship Id="rId17" Type="http://schemas.openxmlformats.org/officeDocument/2006/relationships/footer" Target="footer9.xml" /><Relationship Id="rId18" Type="http://schemas.openxmlformats.org/officeDocument/2006/relationships/footer" Target="footer10.xml" /><Relationship Id="rId19" Type="http://schemas.openxmlformats.org/officeDocument/2006/relationships/footer" Target="footer11.xml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footer" Target="footer13.xml" /><Relationship Id="rId22" Type="http://schemas.openxmlformats.org/officeDocument/2006/relationships/footer" Target="footer14.xml" /><Relationship Id="rId23" Type="http://schemas.openxmlformats.org/officeDocument/2006/relationships/footer" Target="footer15.xml" /><Relationship Id="rId24" Type="http://schemas.openxmlformats.org/officeDocument/2006/relationships/footer" Target="footer16.xml" /><Relationship Id="rId25" Type="http://schemas.openxmlformats.org/officeDocument/2006/relationships/footer" Target="footer17.xml" /><Relationship Id="rId26" Type="http://schemas.openxmlformats.org/officeDocument/2006/relationships/footer" Target="footer18.xml" /><Relationship Id="rId27" Type="http://schemas.openxmlformats.org/officeDocument/2006/relationships/footer" Target="footer19.xml" /><Relationship Id="rId28" Type="http://schemas.openxmlformats.org/officeDocument/2006/relationships/footer" Target="footer20.xml" /><Relationship Id="rId29" Type="http://schemas.openxmlformats.org/officeDocument/2006/relationships/footer" Target="footer21.xml" /><Relationship Id="rId3" Type="http://schemas.openxmlformats.org/officeDocument/2006/relationships/fontTable" Target="fontTable.xml" /><Relationship Id="rId30" Type="http://schemas.openxmlformats.org/officeDocument/2006/relationships/footer" Target="footer22.xml" /><Relationship Id="rId31" Type="http://schemas.openxmlformats.org/officeDocument/2006/relationships/footer" Target="footer23.xml" /><Relationship Id="rId32" Type="http://schemas.openxmlformats.org/officeDocument/2006/relationships/footer" Target="footer24.xml" /><Relationship Id="rId33" Type="http://schemas.openxmlformats.org/officeDocument/2006/relationships/footer" Target="footer25.xml" /><Relationship Id="rId34" Type="http://schemas.openxmlformats.org/officeDocument/2006/relationships/image" Target="media/image6.jpeg" /><Relationship Id="rId35" Type="http://schemas.openxmlformats.org/officeDocument/2006/relationships/image" Target="media/image7.jpeg" /><Relationship Id="rId36" Type="http://schemas.openxmlformats.org/officeDocument/2006/relationships/image" Target="media/image8.jpeg" /><Relationship Id="rId37" Type="http://schemas.openxmlformats.org/officeDocument/2006/relationships/image" Target="media/image9.jpeg" /><Relationship Id="rId38" Type="http://schemas.openxmlformats.org/officeDocument/2006/relationships/footer" Target="footer26.xml" /><Relationship Id="rId39" Type="http://schemas.openxmlformats.org/officeDocument/2006/relationships/footer" Target="footer27.xml" /><Relationship Id="rId4" Type="http://schemas.openxmlformats.org/officeDocument/2006/relationships/image" Target="media/image1.jpeg" /><Relationship Id="rId40" Type="http://schemas.openxmlformats.org/officeDocument/2006/relationships/footer" Target="footer28.xml" /><Relationship Id="rId41" Type="http://schemas.openxmlformats.org/officeDocument/2006/relationships/image" Target="media/image10.png" /><Relationship Id="rId42" Type="http://schemas.openxmlformats.org/officeDocument/2006/relationships/image" Target="media/image11.jpeg" /><Relationship Id="rId43" Type="http://schemas.openxmlformats.org/officeDocument/2006/relationships/image" Target="media/image12.jpeg" /><Relationship Id="rId44" Type="http://schemas.openxmlformats.org/officeDocument/2006/relationships/hyperlink" Target="https://d.book118.com/155121043020011113" TargetMode="External" /><Relationship Id="rId45" Type="http://schemas.openxmlformats.org/officeDocument/2006/relationships/footer" Target="footer29.xm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image" Target="media/image3.jpeg" /><Relationship Id="rId8" Type="http://schemas.openxmlformats.org/officeDocument/2006/relationships/footer" Target="footer2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zch3280</dc:creator>
  <cp:revision>0</cp:revision>
  <dcterms:created xsi:type="dcterms:W3CDTF">2024-02-28T21:35:00Z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2024-02-28T22:06:21Z</vt:filetime>
  </property>
  <property fmtid="{D5CDD505-2E9C-101B-9397-08002B2CF9AE}" pid="3" name="CRO">
    <vt:lpwstr>wqlLaW5nc29mdCBQREYgdG8gV1BTIDkw</vt:lpwstr>
  </property>
</Properties>
</file>