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2024年昆明冶金高等专科学校高职单招（英语／数学／语文）笔试历年真题摘选含答案解析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下列诗人中属于边塞诗派的是（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C.常建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鲁迅短篇小说《风波》的结构线索是（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B.九斤老太的唠叨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C.七斤的苦闷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下列句子中，含有使动用法的是（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A.吾非至于子之门则殆矣，吾长见笑于大方之家。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D.孟尝君怪其疾也，衣冠而见之。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《苦恼》一文在刻画人物形象时运用了哪些手法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B.环境烘托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C.白描手法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D.对话、细节与心理描写方法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A.杭州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B.密州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C.黄州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D.惠州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下列孟子《寡人之于国也》的文句中，最能体现其文主旨的是（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A.寡人之民不加多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B.五十步笑百步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C.申之以孝悌之义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D.王无罪岁，斯天下之民至焉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下列作品中，属于汉代乐府民歌的是（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https://d.book118.com/155124014213011122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15512401421301112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