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2024年灌木行业趋势报告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03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_Toc7039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63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一、项目运营与管理</w:t>
        </w:r>
        <w:r>
          <w:tab/>
        </w:r>
        <w:r>
          <w:fldChar w:fldCharType="begin"/>
        </w:r>
        <w:r>
          <w:instrText xml:space="preserve"> PAGEREF _Toc23631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_Toc28312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3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_Toc24638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9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_Toc23990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1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_Toc19012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二、灌木行业选址方案分析</w:t>
        </w:r>
        <w:r>
          <w:tab/>
        </w:r>
        <w:r>
          <w:fldChar w:fldCharType="begin"/>
        </w:r>
        <w:r>
          <w:instrText xml:space="preserve"> PAGEREF _Toc299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2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(一)、灌木行业选址影响因素</w:t>
        </w:r>
        <w:r>
          <w:tab/>
        </w:r>
        <w:r>
          <w:fldChar w:fldCharType="begin"/>
        </w:r>
        <w:r>
          <w:instrText xml:space="preserve"> PAGEREF _Toc9323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6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(二)、灌木行业选址原则</w:t>
        </w:r>
        <w:r>
          <w:tab/>
        </w:r>
        <w:r>
          <w:fldChar w:fldCharType="begin"/>
        </w:r>
        <w:r>
          <w:instrText xml:space="preserve"> PAGEREF _Toc27069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(三)、消费习惯对灌木行业选址的影响</w:t>
        </w:r>
        <w:r>
          <w:tab/>
        </w:r>
        <w:r>
          <w:fldChar w:fldCharType="begin"/>
        </w:r>
        <w:r>
          <w:instrText xml:space="preserve"> PAGEREF _Toc14275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4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(四)、消费能力对灌木行业选址的影响</w:t>
        </w:r>
        <w:r>
          <w:tab/>
        </w:r>
        <w:r>
          <w:fldChar w:fldCharType="begin"/>
        </w:r>
        <w:r>
          <w:instrText xml:space="preserve"> PAGEREF _Toc12843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1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(五)、经营成本对灌木行业选址的影响</w:t>
        </w:r>
        <w:r>
          <w:tab/>
        </w:r>
        <w:r>
          <w:fldChar w:fldCharType="begin"/>
        </w:r>
        <w:r>
          <w:instrText xml:space="preserve"> PAGEREF _Toc6713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3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(六)、交通条件对灌木行业选址的影响</w:t>
        </w:r>
        <w:r>
          <w:tab/>
        </w:r>
        <w:r>
          <w:fldChar w:fldCharType="begin"/>
        </w:r>
        <w:r>
          <w:instrText xml:space="preserve"> PAGEREF _Toc3635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53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三、制度建设与管理</w:t>
        </w:r>
        <w:r>
          <w:tab/>
        </w:r>
        <w:r>
          <w:fldChar w:fldCharType="begin"/>
        </w:r>
        <w:r>
          <w:instrText xml:space="preserve"> PAGEREF _Toc22535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2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_Toc19126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1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_Toc32214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6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_Toc4060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493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四、市场营销与推广策略</w:t>
        </w:r>
        <w:r>
          <w:tab/>
        </w:r>
        <w:r>
          <w:fldChar w:fldCharType="begin"/>
        </w:r>
        <w:r>
          <w:instrText xml:space="preserve"> PAGEREF _Toc12493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9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_Toc32098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8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_Toc11286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8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_Toc14987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3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五、环境与社会责任</w:t>
        </w:r>
        <w:r>
          <w:tab/>
        </w:r>
        <w:r>
          <w:fldChar w:fldCharType="begin"/>
        </w:r>
        <w:r>
          <w:instrText xml:space="preserve"> PAGEREF _Toc30637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3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_Toc7738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_Toc2665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4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六、制度运行与优化</w:t>
        </w:r>
        <w:r>
          <w:tab/>
        </w:r>
        <w:r>
          <w:fldChar w:fldCharType="begin"/>
        </w:r>
        <w:r>
          <w:instrText xml:space="preserve"> PAGEREF _Toc31045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5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_Toc22953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7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_Toc7172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1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七、项目管理与团队协作</w:t>
        </w:r>
        <w:r>
          <w:tab/>
        </w:r>
        <w:r>
          <w:fldChar w:fldCharType="begin"/>
        </w:r>
        <w:r>
          <w:instrText xml:space="preserve"> PAGEREF _Toc11019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5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_Toc14755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3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_Toc24839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7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_Toc7878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_Toc378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800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八、灌木行业财务管理分析</w:t>
        </w:r>
        <w:r>
          <w:tab/>
        </w:r>
        <w:r>
          <w:fldChar w:fldCharType="begin"/>
        </w:r>
        <w:r>
          <w:instrText xml:space="preserve"> PAGEREF _Toc7800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9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(一)、灌木行业财务管理制度</w:t>
        </w:r>
        <w:r>
          <w:tab/>
        </w:r>
        <w:r>
          <w:fldChar w:fldCharType="begin"/>
        </w:r>
        <w:r>
          <w:instrText xml:space="preserve"> PAGEREF _Toc27996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5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(二)、灌木行业经济效益分析</w:t>
        </w:r>
        <w:r>
          <w:tab/>
        </w:r>
        <w:r>
          <w:fldChar w:fldCharType="begin"/>
        </w:r>
        <w:r>
          <w:instrText xml:space="preserve"> PAGEREF _Toc28552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4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(三)、灌木行业收入及成本核算</w:t>
        </w:r>
        <w:r>
          <w:tab/>
        </w:r>
        <w:r>
          <w:fldChar w:fldCharType="begin"/>
        </w:r>
        <w:r>
          <w:instrText xml:space="preserve"> PAGEREF _Toc15149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4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(四)、灌木行业成本管理</w:t>
        </w:r>
        <w:r>
          <w:tab/>
        </w:r>
        <w:r>
          <w:fldChar w:fldCharType="begin"/>
        </w:r>
        <w:r>
          <w:instrText xml:space="preserve"> PAGEREF _Toc17844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6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九、公司文化与社会责任</w:t>
        </w:r>
        <w:r>
          <w:tab/>
        </w:r>
        <w:r>
          <w:fldChar w:fldCharType="begin"/>
        </w:r>
        <w:r>
          <w:instrText xml:space="preserve"> PAGEREF _Toc29162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1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_Toc3418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2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_Toc4227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0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十、灌木行业制度建设与执行</w:t>
        </w:r>
        <w:r>
          <w:tab/>
        </w:r>
        <w:r>
          <w:fldChar w:fldCharType="begin"/>
        </w:r>
        <w:r>
          <w:instrText xml:space="preserve"> PAGEREF _Toc9608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0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_Toc28203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1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_Toc5017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9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_Toc8698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1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(四)、主要防范措施</w:t>
        </w:r>
        <w:r>
          <w:tab/>
        </w:r>
        <w:r>
          <w:fldChar w:fldCharType="begin"/>
        </w:r>
        <w:r>
          <w:instrText xml:space="preserve"> PAGEREF _Toc17611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7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_Toc21678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7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十一、可持续发展与绿色经营</w:t>
        </w:r>
        <w:r>
          <w:tab/>
        </w:r>
        <w:r>
          <w:fldChar w:fldCharType="begin"/>
        </w:r>
        <w:r>
          <w:instrText xml:space="preserve"> PAGEREF _Toc21871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2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_Toc13729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4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_Toc21149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3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_Toc21538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4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_Toc21145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83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_Toc26832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_Toc24906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0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_Toc14001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8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_Toc26989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7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_Toc10774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https://d.book118.com/155244321013011044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0D631230"/>
    <w:rsid w:val="13614867"/>
    <w:rsid w:val="3DAC44EE"/>
    <w:rsid w:val="453746B4"/>
    <w:rsid w:val="482775B3"/>
    <w:rsid w:val="49C53810"/>
    <w:rsid w:val="4E155AC7"/>
    <w:rsid w:val="50930768"/>
    <w:rsid w:val="62A91464"/>
    <w:rsid w:val="692E1C42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autoRedefine/>
    <w:qFormat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155244321013011044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2024-01-17T06:47:21Z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