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77B3E" w:rsidRPr="007B3D25" w:rsidP="007B3D25" w14:paraId="7500FBEB" w14:textId="77777777">
      <w:pPr>
        <w:spacing w:before="48" w:beforeLines="20" w:after="360" w:afterLines="150" w:line="360" w:lineRule="auto"/>
        <w:jc w:val="center"/>
        <w:rPr>
          <w:rFonts w:ascii="华文中宋" w:eastAsia="华文中宋" w:hAnsi="华文中宋"/>
          <w:b/>
          <w:sz w:val="30"/>
        </w:rPr>
      </w:pPr>
      <w:r w:rsidRPr="007B3D25">
        <w:rPr>
          <w:rFonts w:ascii="华文中宋" w:eastAsia="华文中宋" w:hAnsi="华文中宋"/>
          <w:b/>
          <w:sz w:val="30"/>
        </w:rPr>
        <w:t>2023</w:t>
      </w:r>
      <w:r w:rsidRPr="007B3D25">
        <w:rPr>
          <w:rFonts w:ascii="华文中宋" w:eastAsia="华文中宋" w:hAnsi="华文中宋"/>
          <w:b/>
          <w:sz w:val="30"/>
        </w:rPr>
        <w:t>广东中山市沙溪镇人民政府所属事业单位第二期招聘事业单位人员</w:t>
      </w:r>
      <w:r w:rsidRPr="007B3D25">
        <w:rPr>
          <w:rFonts w:ascii="华文中宋" w:eastAsia="华文中宋" w:hAnsi="华文中宋"/>
          <w:b/>
          <w:sz w:val="30"/>
        </w:rPr>
        <w:t>6</w:t>
      </w:r>
      <w:r w:rsidRPr="007B3D25">
        <w:rPr>
          <w:rFonts w:ascii="华文中宋" w:eastAsia="华文中宋" w:hAnsi="华文中宋"/>
          <w:b/>
          <w:sz w:val="30"/>
        </w:rPr>
        <w:t>人笔试备考试题及答案解析</w:t>
      </w:r>
    </w:p>
    <w:p w:rsidR="00A77B3E" w14:paraId="41CD684C" w14:textId="77777777">
      <w:pPr>
        <w:spacing w:after="260" w:line="360" w:lineRule="auto"/>
        <w:jc w:val="center"/>
        <w:rPr>
          <w:sz w:val="21"/>
        </w:rPr>
      </w:pPr>
      <w:r>
        <w:rPr>
          <w:rFonts w:eastAsia="微软雅黑"/>
        </w:rPr>
        <w:t>毕业院校：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姓名：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考场：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考号：</w:t>
      </w:r>
      <w:r>
        <w:rPr>
          <w:rFonts w:eastAsia="微软雅黑"/>
        </w:rPr>
        <w:t>__________</w:t>
      </w:r>
    </w:p>
    <w:p w:rsidR="00A77B3E" w14:paraId="00270441" w14:textId="77777777">
      <w:pPr>
        <w:spacing w:after="260" w:line="360" w:lineRule="auto"/>
      </w:pPr>
      <w:r>
        <w:rPr>
          <w:rFonts w:ascii="微软雅黑" w:eastAsia="微软雅黑" w:cs="微软雅黑"/>
        </w:rPr>
        <w:t>一、选择题</w:t>
      </w:r>
    </w:p>
    <w:p w:rsidR="00090F29" w14:paraId="73DAE084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0000FF"/>
          <w:szCs w:val="14"/>
        </w:rPr>
        <w:t>1</w:t>
      </w:r>
      <w:r w:rsidRPr="00090F29">
        <w:rPr>
          <w:rFonts w:ascii="微软雅黑" w:eastAsia="微软雅黑" w:cs="微软雅黑"/>
          <w:color w:val="0000FF"/>
          <w:szCs w:val="14"/>
        </w:rPr>
        <w:t>．</w:t>
      </w:r>
      <w:r w:rsidRPr="00090F29">
        <w:rPr>
          <w:rFonts w:ascii="微软雅黑" w:eastAsia="微软雅黑" w:cs="微软雅黑"/>
          <w:szCs w:val="14"/>
        </w:rPr>
        <w:t>在租约规定的期限内，作为级差地租</w:t>
      </w:r>
      <w:r w:rsidRPr="00090F29">
        <w:rPr>
          <w:rFonts w:ascii="微软雅黑" w:eastAsia="微软雅黑" w:cs="微软雅黑"/>
          <w:szCs w:val="14"/>
        </w:rPr>
        <w:t>II</w:t>
      </w:r>
      <w:r w:rsidRPr="00090F29">
        <w:rPr>
          <w:rFonts w:ascii="微软雅黑" w:eastAsia="微软雅黑" w:cs="微软雅黑"/>
          <w:szCs w:val="14"/>
        </w:rPr>
        <w:t>的超额利润</w:t>
      </w:r>
      <w:r w:rsidRPr="00090F29">
        <w:rPr>
          <w:rFonts w:ascii="微软雅黑" w:eastAsia="微软雅黑" w:cs="微软雅黑"/>
          <w:szCs w:val="14"/>
        </w:rPr>
        <w:t>()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2EE41CEB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、由农业资本家获得</w:t>
      </w:r>
    </w:p>
    <w:p w:rsidR="00090F29" w14:paraId="00363A11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B</w:t>
      </w:r>
      <w:r w:rsidRPr="00090F29">
        <w:rPr>
          <w:rFonts w:ascii="微软雅黑" w:eastAsia="微软雅黑" w:cs="微软雅黑"/>
          <w:szCs w:val="14"/>
        </w:rPr>
        <w:t>、由土地所有者获得</w:t>
      </w:r>
    </w:p>
    <w:p w:rsidR="00090F29" w14:paraId="3B5E57B9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C</w:t>
      </w:r>
      <w:r w:rsidRPr="00090F29">
        <w:rPr>
          <w:rFonts w:ascii="微软雅黑" w:eastAsia="微软雅黑" w:cs="微软雅黑"/>
          <w:szCs w:val="14"/>
        </w:rPr>
        <w:t>、由农业资本家和土地所有者瓜分</w:t>
      </w:r>
    </w:p>
    <w:p w:rsidR="00090F29" w14:paraId="2D581ADE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D</w:t>
      </w:r>
      <w:r w:rsidRPr="00090F29">
        <w:rPr>
          <w:rFonts w:ascii="微软雅黑" w:eastAsia="微软雅黑" w:cs="微软雅黑"/>
          <w:szCs w:val="14"/>
        </w:rPr>
        <w:t>、由农业资本家和农业工人瓜分</w:t>
      </w:r>
    </w:p>
    <w:p w:rsidR="00090F29" w14:paraId="280B8387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228B22"/>
          <w:szCs w:val="14"/>
        </w:rPr>
        <w:t>答案：</w:t>
      </w:r>
      <w:r w:rsidRPr="00090F29">
        <w:rPr>
          <w:rFonts w:ascii="微软雅黑" w:eastAsia="微软雅黑" w:cs="微软雅黑"/>
          <w:szCs w:val="14"/>
        </w:rPr>
        <w:t>A</w:t>
      </w:r>
    </w:p>
    <w:p w:rsidR="00090F29" w14:paraId="5CC19374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090F29">
        <w:rPr>
          <w:rFonts w:ascii="微软雅黑" w:eastAsia="微软雅黑" w:cs="微软雅黑"/>
          <w:color w:val="228B22"/>
          <w:szCs w:val="14"/>
        </w:rPr>
        <w:t>解析：</w:t>
      </w:r>
      <w:r w:rsidRPr="00090F29">
        <w:rPr>
          <w:rFonts w:ascii="微软雅黑" w:eastAsia="微软雅黑" w:cs="微软雅黑"/>
          <w:szCs w:val="14"/>
        </w:rPr>
        <w:t>因租约在签定时，就已经明确了农业资本家和土地所有者的地租数量，所以在租约规定的期限内，农业资本家因多投入而产生的级差地租</w:t>
      </w:r>
      <w:r w:rsidRPr="00090F29">
        <w:rPr>
          <w:rFonts w:ascii="微软雅黑" w:eastAsia="微软雅黑" w:cs="微软雅黑"/>
          <w:szCs w:val="14"/>
        </w:rPr>
        <w:t>II</w:t>
      </w:r>
      <w:r w:rsidRPr="00090F29">
        <w:rPr>
          <w:rFonts w:ascii="微软雅黑" w:eastAsia="微软雅黑" w:cs="微软雅黑"/>
          <w:szCs w:val="14"/>
        </w:rPr>
        <w:t>自然由农业资本家获得，</w:t>
      </w: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选项是正确的。当租约期满，作为级差地租</w:t>
      </w:r>
      <w:r w:rsidRPr="00090F29">
        <w:rPr>
          <w:rFonts w:ascii="微软雅黑" w:eastAsia="微软雅黑" w:cs="微软雅黑"/>
          <w:szCs w:val="14"/>
        </w:rPr>
        <w:t>II</w:t>
      </w:r>
      <w:r w:rsidRPr="00090F29">
        <w:rPr>
          <w:rFonts w:ascii="微软雅黑" w:eastAsia="微软雅黑" w:cs="微软雅黑"/>
          <w:szCs w:val="14"/>
        </w:rPr>
        <w:t>的未来产生的超额利润到底归谁所有，要取决于农业资本家和土地所有者之间的斗争。故选</w:t>
      </w: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0942B8F0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0000FF"/>
          <w:szCs w:val="14"/>
        </w:rPr>
        <w:t>2</w:t>
      </w:r>
      <w:r w:rsidRPr="00090F29">
        <w:rPr>
          <w:rFonts w:ascii="微软雅黑" w:eastAsia="微软雅黑" w:cs="微软雅黑"/>
          <w:color w:val="0000FF"/>
          <w:szCs w:val="14"/>
        </w:rPr>
        <w:t>．</w:t>
      </w:r>
      <w:r w:rsidRPr="00090F29">
        <w:rPr>
          <w:rFonts w:ascii="微软雅黑" w:eastAsia="微软雅黑" w:cs="微软雅黑"/>
          <w:szCs w:val="14"/>
        </w:rPr>
        <w:t>国家海关总署负责人驳斥了中国加入</w:t>
      </w:r>
      <w:r w:rsidRPr="00090F29">
        <w:rPr>
          <w:rFonts w:ascii="微软雅黑" w:eastAsia="微软雅黑" w:cs="微软雅黑"/>
          <w:szCs w:val="14"/>
        </w:rPr>
        <w:t>WTO</w:t>
      </w:r>
      <w:r w:rsidRPr="00090F29">
        <w:rPr>
          <w:rFonts w:ascii="微软雅黑" w:eastAsia="微软雅黑" w:cs="微软雅黑"/>
          <w:szCs w:val="14"/>
        </w:rPr>
        <w:t>后关税减收的影响应该降到最低程度的反对意见。该负责人对关税减收的影响持什么态度</w:t>
      </w:r>
      <w:r w:rsidRPr="00090F29">
        <w:rPr>
          <w:rFonts w:ascii="微软雅黑" w:eastAsia="微软雅黑" w:cs="微软雅黑"/>
          <w:szCs w:val="14"/>
        </w:rPr>
        <w:t>?()</w:t>
      </w:r>
    </w:p>
    <w:p w:rsidR="00090F29" w14:paraId="5FBD82F6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、应该最大限度地缩小其影响</w:t>
      </w:r>
    </w:p>
    <w:p w:rsidR="00090F29" w14:paraId="045604EB" w14:textId="77777777">
      <w:pPr>
        <w:pStyle w:val="NormalWeb"/>
        <w:widowControl/>
        <w:spacing w:beforeAutospacing="0" w:after="260" w:afterAutospacing="0" w:line="360" w:lineRule="auto"/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134" w:right="1474" w:bottom="1134" w:left="1474" w:header="708" w:footer="708" w:gutter="0"/>
          <w:cols w:sep="1" w:space="708"/>
          <w:docGrid w:linePitch="360"/>
        </w:sectPr>
      </w:pPr>
      <w:r w:rsidRPr="00090F29">
        <w:rPr>
          <w:rFonts w:ascii="微软雅黑" w:eastAsia="微软雅黑" w:cs="微软雅黑"/>
          <w:szCs w:val="14"/>
        </w:rPr>
        <w:t>B</w:t>
      </w:r>
      <w:r w:rsidRPr="00090F29">
        <w:rPr>
          <w:rFonts w:ascii="微软雅黑" w:eastAsia="微软雅黑" w:cs="微软雅黑"/>
          <w:szCs w:val="14"/>
        </w:rPr>
        <w:t>、应该最大限度地扩大其影响</w:t>
      </w:r>
    </w:p>
    <w:p w:rsidR="00090F29" w14:paraId="73074DE9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C</w:t>
      </w:r>
      <w:r w:rsidRPr="00090F29">
        <w:rPr>
          <w:rFonts w:ascii="微软雅黑" w:eastAsia="微软雅黑" w:cs="微软雅黑"/>
          <w:szCs w:val="14"/>
        </w:rPr>
        <w:t>、无所谓态度</w:t>
      </w:r>
    </w:p>
    <w:p w:rsidR="00090F29" w14:paraId="7A44D9BA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D</w:t>
      </w:r>
      <w:r w:rsidRPr="00090F29">
        <w:rPr>
          <w:rFonts w:ascii="微软雅黑" w:eastAsia="微软雅黑" w:cs="微软雅黑"/>
          <w:szCs w:val="14"/>
        </w:rPr>
        <w:t>、态度不明确</w:t>
      </w:r>
    </w:p>
    <w:p w:rsidR="00090F29" w14:paraId="3E61BEF7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228B22"/>
          <w:szCs w:val="14"/>
        </w:rPr>
        <w:t>答案：</w:t>
      </w:r>
      <w:r w:rsidRPr="00090F29">
        <w:rPr>
          <w:rFonts w:ascii="微软雅黑" w:eastAsia="微软雅黑" w:cs="微软雅黑"/>
          <w:szCs w:val="14"/>
        </w:rPr>
        <w:t>A</w:t>
      </w:r>
    </w:p>
    <w:p w:rsidR="00090F29" w14:paraId="46E7D017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090F29">
        <w:rPr>
          <w:rFonts w:ascii="微软雅黑" w:eastAsia="微软雅黑" w:cs="微软雅黑"/>
          <w:color w:val="228B22"/>
          <w:szCs w:val="14"/>
        </w:rPr>
        <w:t>解析：</w:t>
      </w:r>
      <w:r w:rsidRPr="00090F29">
        <w:rPr>
          <w:rFonts w:ascii="微软雅黑" w:eastAsia="微软雅黑" w:cs="微软雅黑"/>
          <w:szCs w:val="14"/>
        </w:rPr>
        <w:t>第一步，分析文段，找到描述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该负责人对关税减收的影响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的关键信息。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驳斥了中国加入</w:t>
      </w:r>
      <w:r w:rsidRPr="00090F29">
        <w:rPr>
          <w:rFonts w:ascii="微软雅黑" w:eastAsia="微软雅黑" w:cs="微软雅黑"/>
          <w:szCs w:val="14"/>
        </w:rPr>
        <w:t>WTO</w:t>
      </w:r>
      <w:r w:rsidRPr="00090F29">
        <w:rPr>
          <w:rFonts w:ascii="微软雅黑" w:eastAsia="微软雅黑" w:cs="微软雅黑"/>
          <w:szCs w:val="14"/>
        </w:rPr>
        <w:t>后关税减收的影响应该降到最低程度的反对意见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，说明有人反对将关税减收的影响降到最低，但是国家海关总署负责人对此驳斥，双重否定表肯定，由此可知该负责人希望影响降到最低程度。第二步，对比选项。</w:t>
      </w: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项符合上述文意。故选</w:t>
      </w: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4626CB56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0000FF"/>
          <w:szCs w:val="14"/>
        </w:rPr>
        <w:t>3</w:t>
      </w:r>
      <w:r w:rsidRPr="00090F29">
        <w:rPr>
          <w:rFonts w:ascii="微软雅黑" w:eastAsia="微软雅黑" w:cs="微软雅黑"/>
          <w:color w:val="0000FF"/>
          <w:szCs w:val="14"/>
        </w:rPr>
        <w:t>．</w:t>
      </w:r>
      <w:r w:rsidRPr="00090F29">
        <w:rPr>
          <w:rFonts w:ascii="微软雅黑" w:eastAsia="微软雅黑" w:cs="微软雅黑"/>
          <w:szCs w:val="14"/>
        </w:rPr>
        <w:t>建筑物及其附属设施的费用分担、收益分配等事项，如何确定</w:t>
      </w:r>
      <w:r w:rsidRPr="00090F29">
        <w:rPr>
          <w:rFonts w:ascii="微软雅黑" w:eastAsia="微软雅黑" w:cs="微软雅黑"/>
          <w:szCs w:val="14"/>
        </w:rPr>
        <w:t>?()</w:t>
      </w:r>
    </w:p>
    <w:p w:rsidR="00090F29" w14:paraId="595378EF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、有约定的，按照约定</w:t>
      </w:r>
    </w:p>
    <w:p w:rsidR="00090F29" w14:paraId="725348BB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B</w:t>
      </w:r>
      <w:r w:rsidRPr="00090F29">
        <w:rPr>
          <w:rFonts w:ascii="微软雅黑" w:eastAsia="微软雅黑" w:cs="微软雅黑"/>
          <w:szCs w:val="14"/>
        </w:rPr>
        <w:t>、没有约定的，按业主专有面积所占比例确定</w:t>
      </w:r>
    </w:p>
    <w:p w:rsidR="00090F29" w14:paraId="001A1AF5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C</w:t>
      </w:r>
      <w:r w:rsidRPr="00090F29">
        <w:rPr>
          <w:rFonts w:ascii="微软雅黑" w:eastAsia="微软雅黑" w:cs="微软雅黑"/>
          <w:szCs w:val="14"/>
        </w:rPr>
        <w:t>、约定不明的，按业主专有面积所占比例确定</w:t>
      </w:r>
    </w:p>
    <w:p w:rsidR="00090F29" w14:paraId="0488E793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D</w:t>
      </w:r>
      <w:r w:rsidRPr="00090F29">
        <w:rPr>
          <w:rFonts w:ascii="微软雅黑" w:eastAsia="微软雅黑" w:cs="微软雅黑"/>
          <w:szCs w:val="14"/>
        </w:rPr>
        <w:t>、以上都是</w:t>
      </w:r>
    </w:p>
    <w:p w:rsidR="00090F29" w14:paraId="13289938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228B22"/>
          <w:szCs w:val="14"/>
        </w:rPr>
        <w:t>答案：</w:t>
      </w:r>
      <w:r w:rsidRPr="00090F29">
        <w:rPr>
          <w:rFonts w:ascii="微软雅黑" w:eastAsia="微软雅黑" w:cs="微软雅黑"/>
          <w:szCs w:val="14"/>
        </w:rPr>
        <w:t>D</w:t>
      </w:r>
    </w:p>
    <w:p w:rsidR="00090F29" w14:paraId="178ABEA4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090F29">
        <w:rPr>
          <w:rFonts w:ascii="微软雅黑" w:eastAsia="微软雅黑" w:cs="微软雅黑"/>
          <w:color w:val="228B22"/>
          <w:szCs w:val="14"/>
        </w:rPr>
        <w:t>解析：</w:t>
      </w:r>
      <w:r w:rsidRPr="00090F29">
        <w:rPr>
          <w:rFonts w:ascii="微软雅黑" w:eastAsia="微软雅黑" w:cs="微软雅黑"/>
          <w:szCs w:val="14"/>
        </w:rPr>
        <w:t>民法典第二百八十三条规定，建筑物及其附属设施的费用分摊、收益分配等事项，有约定的，按照约定</w:t>
      </w:r>
      <w:r w:rsidRPr="00090F29">
        <w:rPr>
          <w:rFonts w:ascii="微软雅黑" w:eastAsia="微软雅黑" w:cs="微软雅黑"/>
          <w:szCs w:val="14"/>
        </w:rPr>
        <w:t>;</w:t>
      </w:r>
      <w:r w:rsidRPr="00090F29">
        <w:rPr>
          <w:rFonts w:ascii="微软雅黑" w:eastAsia="微软雅黑" w:cs="微软雅黑"/>
          <w:szCs w:val="14"/>
        </w:rPr>
        <w:t>没有约定或者约定不明确的，按照业主专有部分面积所占比例确定。故选</w:t>
      </w:r>
      <w:r w:rsidRPr="00090F29">
        <w:rPr>
          <w:rFonts w:ascii="微软雅黑" w:eastAsia="微软雅黑" w:cs="微软雅黑"/>
          <w:szCs w:val="14"/>
        </w:rPr>
        <w:t>D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40C05D34" w14:textId="77777777">
      <w:pPr>
        <w:pStyle w:val="NormalWeb"/>
        <w:widowControl/>
        <w:spacing w:beforeAutospacing="0" w:after="260" w:afterAutospacing="0" w:line="360" w:lineRule="auto"/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134" w:right="1474" w:bottom="1134" w:left="1474" w:header="708" w:footer="708" w:gutter="0"/>
          <w:pgNumType w:start="2"/>
          <w:cols w:sep="1" w:space="708"/>
          <w:titlePg w:val="0"/>
          <w:docGrid w:linePitch="360"/>
        </w:sectPr>
      </w:pPr>
      <w:r w:rsidRPr="00090F29">
        <w:rPr>
          <w:rFonts w:ascii="微软雅黑" w:eastAsia="微软雅黑" w:cs="微软雅黑"/>
          <w:color w:val="0000FF"/>
          <w:szCs w:val="14"/>
        </w:rPr>
        <w:t>4</w:t>
      </w:r>
      <w:r w:rsidRPr="00090F29">
        <w:rPr>
          <w:rFonts w:ascii="微软雅黑" w:eastAsia="微软雅黑" w:cs="微软雅黑"/>
          <w:color w:val="0000FF"/>
          <w:szCs w:val="14"/>
        </w:rPr>
        <w:t>．</w:t>
      </w:r>
      <w:r w:rsidRPr="00090F29">
        <w:rPr>
          <w:rFonts w:ascii="微软雅黑" w:eastAsia="微软雅黑" w:cs="微软雅黑"/>
          <w:szCs w:val="14"/>
        </w:rPr>
        <w:t>传统文化的传承与发扬是个老话题，但也时常遭遇新困境。一方面，由于传承手段缺乏创新，传统文化并未真正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活在当下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;</w:t>
      </w:r>
    </w:p>
    <w:p w:rsidR="00090F29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另一方面，如何处理好深与浅、博与专的</w:t>
      </w:r>
      <w:r w:rsidRPr="00090F29">
        <w:rPr>
          <w:rFonts w:ascii="微软雅黑" w:eastAsia="微软雅黑" w:cs="微软雅黑"/>
          <w:szCs w:val="14"/>
        </w:rPr>
        <w:t>平衡问题，仍待探索。专家指出，在新的历史时期，亟需创新表达方式、传播方式，增强互动性、时代感，让更多人乐于接受传统文化，领略其魅力。</w:t>
      </w:r>
    </w:p>
    <w:p w:rsidR="00090F29" w14:paraId="2EC457E4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这段文字意在强调</w:t>
      </w:r>
      <w:r w:rsidRPr="00090F29">
        <w:rPr>
          <w:rFonts w:ascii="微软雅黑" w:eastAsia="微软雅黑" w:cs="微软雅黑"/>
          <w:szCs w:val="14"/>
        </w:rPr>
        <w:t>()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3D6C8644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、换个方式拥抱传统文化</w:t>
      </w:r>
    </w:p>
    <w:p w:rsidR="00090F29" w14:paraId="0767C0A3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B</w:t>
      </w:r>
      <w:r w:rsidRPr="00090F29">
        <w:rPr>
          <w:rFonts w:ascii="微软雅黑" w:eastAsia="微软雅黑" w:cs="微软雅黑"/>
          <w:szCs w:val="14"/>
        </w:rPr>
        <w:t>、传统文化的新困境</w:t>
      </w:r>
    </w:p>
    <w:p w:rsidR="00090F29" w14:paraId="3255F034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C</w:t>
      </w:r>
      <w:r w:rsidRPr="00090F29">
        <w:rPr>
          <w:rFonts w:ascii="微软雅黑" w:eastAsia="微软雅黑" w:cs="微软雅黑"/>
          <w:szCs w:val="14"/>
        </w:rPr>
        <w:t>、传统文化的新价值</w:t>
      </w:r>
    </w:p>
    <w:p w:rsidR="00090F29" w14:paraId="25ECBD34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D</w:t>
      </w:r>
      <w:r w:rsidRPr="00090F29">
        <w:rPr>
          <w:rFonts w:ascii="微软雅黑" w:eastAsia="微软雅黑" w:cs="微软雅黑"/>
          <w:szCs w:val="14"/>
        </w:rPr>
        <w:t>、重新燃起对传统文化的敬畏</w:t>
      </w:r>
    </w:p>
    <w:p w:rsidR="00090F29" w14:paraId="06234438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228B22"/>
          <w:szCs w:val="14"/>
        </w:rPr>
        <w:t>答案：</w:t>
      </w:r>
      <w:r w:rsidRPr="00090F29">
        <w:rPr>
          <w:rFonts w:ascii="微软雅黑" w:eastAsia="微软雅黑" w:cs="微软雅黑"/>
          <w:szCs w:val="14"/>
        </w:rPr>
        <w:t>A</w:t>
      </w:r>
    </w:p>
    <w:p w:rsidR="00090F29" w14:paraId="11FCC108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090F29">
        <w:rPr>
          <w:rFonts w:ascii="微软雅黑" w:eastAsia="微软雅黑" w:cs="微软雅黑"/>
          <w:color w:val="228B22"/>
          <w:szCs w:val="14"/>
        </w:rPr>
        <w:t>解析：</w:t>
      </w:r>
      <w:r w:rsidRPr="00090F29">
        <w:rPr>
          <w:rFonts w:ascii="微软雅黑" w:eastAsia="微软雅黑" w:cs="微软雅黑"/>
          <w:szCs w:val="14"/>
        </w:rPr>
        <w:t>文段首先介绍传统文化的传承时常遭遇新困境，并通过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一方面</w:t>
      </w:r>
      <w:r w:rsidRPr="00090F29">
        <w:rPr>
          <w:rFonts w:ascii="微软雅黑" w:eastAsia="微软雅黑" w:cs="微软雅黑"/>
          <w:szCs w:val="14"/>
        </w:rPr>
        <w:t>”“</w:t>
      </w:r>
      <w:r w:rsidRPr="00090F29">
        <w:rPr>
          <w:rFonts w:ascii="微软雅黑" w:eastAsia="微软雅黑" w:cs="微软雅黑"/>
          <w:szCs w:val="14"/>
        </w:rPr>
        <w:t>另一方面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对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困境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进行具体解释，最后通过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亟需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引出对策，指出亟需创新传统文化的表达方式等，让更多的人接受传统文化，文段为提出问题</w:t>
      </w:r>
      <w:r w:rsidRPr="00090F29">
        <w:rPr>
          <w:rFonts w:ascii="微软雅黑" w:eastAsia="微软雅黑" w:cs="微软雅黑"/>
          <w:szCs w:val="14"/>
        </w:rPr>
        <w:t>+</w:t>
      </w:r>
      <w:r w:rsidRPr="00090F29">
        <w:rPr>
          <w:rFonts w:ascii="微软雅黑" w:eastAsia="微软雅黑" w:cs="微软雅黑"/>
          <w:szCs w:val="14"/>
        </w:rPr>
        <w:t>解决问题结构，重点在尾句的对策，重点强调需要创新表达及传播方式，让人接受传统文化，同义替换，对应</w:t>
      </w: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项，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换个方式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对应创新表达及传播方式，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拥抱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对应让人接受传统文化。故选</w:t>
      </w: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28861B96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0000FF"/>
          <w:szCs w:val="14"/>
        </w:rPr>
        <w:t>5</w:t>
      </w:r>
      <w:r w:rsidRPr="00090F29">
        <w:rPr>
          <w:rFonts w:ascii="微软雅黑" w:eastAsia="微软雅黑" w:cs="微软雅黑"/>
          <w:color w:val="0000FF"/>
          <w:szCs w:val="14"/>
        </w:rPr>
        <w:t>．</w:t>
      </w:r>
      <w:r w:rsidRPr="00090F29">
        <w:rPr>
          <w:rFonts w:ascii="微软雅黑" w:eastAsia="微软雅黑" w:cs="微软雅黑"/>
          <w:szCs w:val="14"/>
        </w:rPr>
        <w:t>随着互联网技术的蓬勃发展，移动支付已经融入人们的衣、食、住、行等很多方面，改变着人们的日常生活。同时，也让我国的大消费市场以数倍于过去的速度扩张。这说明</w:t>
      </w:r>
      <w:r w:rsidRPr="00090F29">
        <w:rPr>
          <w:rFonts w:ascii="微软雅黑" w:eastAsia="微软雅黑" w:cs="微软雅黑"/>
          <w:szCs w:val="14"/>
        </w:rPr>
        <w:t>()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3BDD0E80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、消费对生产具有反作用</w:t>
      </w:r>
    </w:p>
    <w:p w:rsidR="00090F29" w14:paraId="2A822981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B</w:t>
      </w:r>
      <w:r w:rsidRPr="00090F29">
        <w:rPr>
          <w:rFonts w:ascii="微软雅黑" w:eastAsia="微软雅黑" w:cs="微软雅黑"/>
          <w:szCs w:val="14"/>
        </w:rPr>
        <w:t>、移动支付促进了互联网技术的快速发展</w:t>
      </w:r>
      <w:r>
        <w:br/>
      </w:r>
      <w: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https://d.book118.com/155300034334011102</w:t>
        </w:r>
      </w:hyperlink>
    </w:p>
    <w:p w:rsidR="00090F29">
      <w:pPr>
        <w:pStyle w:val="NormalWeb"/>
        <w:widowControl/>
        <w:spacing w:beforeAutospacing="0" w:after="260" w:afterAutospacing="0" w:line="360" w:lineRule="auto"/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134" w:right="1474" w:bottom="1134" w:left="1474" w:header="708" w:footer="708" w:gutter="0"/>
      <w:pgNumType w:start="3"/>
      <w:cols w:sep="1"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B3D25" w:rsidP="00C95F94" w14:paraId="5742E99F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B3D25" w14:paraId="65766D49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B3D25" w:rsidP="00C95F94" w14:paraId="3D09542D" w14:textId="509E5F2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7B3D25" w14:paraId="6B489761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B3D25" w14:paraId="67479297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B3D25" w:rsidP="00C95F9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B3D25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B3D25" w:rsidP="00C95F94" w14:textId="509E5F2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7B3D25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B3D25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B3D25" w:rsidP="00C95F9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B3D25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B3D25" w:rsidP="00C95F94" w14:textId="509E5F2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7B3D25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B3D2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B3D25" w14:paraId="35576714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B3D25" w14:paraId="0CE163E8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B3D25" w14:paraId="02704888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B3D25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B3D25" w14:textId="77777777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B3D25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B3D25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B3D25" w14:textId="77777777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B3D25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90F29"/>
    <w:rsid w:val="007B3D25"/>
    <w:rsid w:val="00A77B3E"/>
    <w:rsid w:val="00C95F94"/>
    <w:rsid w:val="00CA2A55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000FAACE"/>
  <w15:docId w15:val="{3DD1B511-A8FA-4802-B9ED-2F36F6357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EastAsia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正文1"/>
    <w:autoRedefine/>
    <w:qFormat/>
    <w:rsid w:val="00090F29"/>
    <w:pPr>
      <w:widowControl w:val="0"/>
      <w:jc w:val="both"/>
    </w:pPr>
    <w:rPr>
      <w:rFonts w:ascii="等线" w:eastAsia="等线" w:hAnsi="等线"/>
      <w:kern w:val="2"/>
      <w:sz w:val="21"/>
      <w:szCs w:val="22"/>
    </w:rPr>
  </w:style>
  <w:style w:type="paragraph" w:styleId="NormalWeb">
    <w:name w:val="Normal (Web)"/>
    <w:basedOn w:val="1"/>
    <w:qFormat/>
    <w:rsid w:val="00090F29"/>
    <w:pPr>
      <w:spacing w:beforeAutospacing="1" w:afterAutospacing="1"/>
      <w:jc w:val="left"/>
    </w:pPr>
    <w:rPr>
      <w:kern w:val="0"/>
      <w:sz w:val="24"/>
      <w:szCs w:val="24"/>
    </w:rPr>
  </w:style>
  <w:style w:type="paragraph" w:styleId="Header">
    <w:name w:val="header"/>
    <w:basedOn w:val="Normal"/>
    <w:link w:val="a"/>
    <w:rsid w:val="007B3D2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rsid w:val="007B3D25"/>
    <w:rPr>
      <w:sz w:val="18"/>
      <w:szCs w:val="18"/>
    </w:rPr>
  </w:style>
  <w:style w:type="paragraph" w:styleId="Footer">
    <w:name w:val="footer"/>
    <w:basedOn w:val="Normal"/>
    <w:link w:val="a0"/>
    <w:rsid w:val="007B3D2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rsid w:val="007B3D25"/>
    <w:rPr>
      <w:sz w:val="18"/>
      <w:szCs w:val="18"/>
    </w:rPr>
  </w:style>
  <w:style w:type="character" w:styleId="PageNumber">
    <w:name w:val="page number"/>
    <w:basedOn w:val="DefaultParagraphFont"/>
    <w:rsid w:val="007B3D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155300034334011102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3217</Words>
  <Characters>18339</Characters>
  <Application>Microsoft Office Word</Application>
  <DocSecurity>0</DocSecurity>
  <Lines>152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铭基 席</cp:lastModifiedBy>
  <cp:revision>2</cp:revision>
  <dcterms:created xsi:type="dcterms:W3CDTF">2024-02-03T08:13:00Z</dcterms:created>
  <dcterms:modified xsi:type="dcterms:W3CDTF">2024-02-03T08:13:00Z</dcterms:modified>
</cp:coreProperties>
</file>