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right"/>
        <w:rPr>
          <w:color w:val="auto"/>
        </w:rPr>
      </w:pPr>
      <w:r>
        <w:rPr>
          <w:rFonts w:ascii="宋体" w:eastAsia="宋体" w:hAnsi="宋体" w:cs="宋体"/>
          <w:b/>
          <w:color w:val="auto"/>
          <w:sz w:val="24"/>
        </w:rPr>
        <w:drawing>
          <wp:anchor distT="0" distB="0" distL="114300" distR="114300" simplePos="0" relativeHeight="251658240" behindDoc="0" locked="0" layoutInCell="1" allowOverlap="1">
            <wp:simplePos x="0" y="0"/>
            <wp:positionH relativeFrom="page">
              <wp:posOffset>10439400</wp:posOffset>
            </wp:positionH>
            <wp:positionV relativeFrom="topMargin">
              <wp:posOffset>12204700</wp:posOffset>
            </wp:positionV>
            <wp:extent cx="469900" cy="355600"/>
            <wp:effectExtent l="0" t="0" r="2540" b="1016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6"/>
                    <a:stretch>
                      <a:fillRect/>
                    </a:stretch>
                  </pic:blipFill>
                  <pic:spPr>
                    <a:xfrm>
                      <a:off x="0" y="0"/>
                      <a:ext cx="469900" cy="355600"/>
                    </a:xfrm>
                    <a:prstGeom prst="rect">
                      <a:avLst/>
                    </a:prstGeom>
                  </pic:spPr>
                </pic:pic>
              </a:graphicData>
            </a:graphic>
          </wp:anchor>
        </w:drawing>
      </w:r>
      <w:r>
        <w:rPr>
          <w:rFonts w:ascii="宋体" w:eastAsia="宋体" w:hAnsi="宋体" w:cs="宋体"/>
          <w:b/>
          <w:color w:val="auto"/>
          <w:sz w:val="24"/>
        </w:rPr>
        <w:t>试卷类型：</w:t>
      </w:r>
      <w:r>
        <w:rPr>
          <w:rFonts w:ascii="Times New Roman" w:eastAsia="Times New Roman" w:hAnsi="Times New Roman" w:cs="Times New Roman"/>
          <w:b/>
          <w:color w:val="auto"/>
          <w:sz w:val="24"/>
        </w:rPr>
        <w:t>A</w:t>
      </w:r>
    </w:p>
    <w:p>
      <w:pPr>
        <w:spacing w:line="285" w:lineRule="auto"/>
        <w:jc w:val="center"/>
        <w:rPr>
          <w:color w:val="auto"/>
        </w:rPr>
      </w:pPr>
      <w:r>
        <w:rPr>
          <w:rFonts w:ascii="宋体" w:eastAsia="宋体" w:hAnsi="宋体" w:cs="宋体"/>
          <w:b/>
          <w:color w:val="auto"/>
          <w:sz w:val="32"/>
        </w:rPr>
        <w:t>高三思想政治</w:t>
      </w:r>
    </w:p>
    <w:p>
      <w:pPr>
        <w:spacing w:line="285" w:lineRule="auto"/>
        <w:jc w:val="right"/>
        <w:rPr>
          <w:color w:val="auto"/>
        </w:rPr>
      </w:pPr>
      <w:r>
        <w:rPr>
          <w:rFonts w:ascii="Times New Roman" w:eastAsia="Times New Roman" w:hAnsi="Times New Roman" w:cs="Times New Roman"/>
          <w:b/>
          <w:color w:val="auto"/>
          <w:sz w:val="24"/>
        </w:rPr>
        <w:t>2024.1</w:t>
      </w:r>
    </w:p>
    <w:p>
      <w:pPr>
        <w:spacing w:line="285" w:lineRule="auto"/>
        <w:jc w:val="both"/>
        <w:rPr>
          <w:color w:val="auto"/>
        </w:rPr>
      </w:pPr>
      <w:r>
        <w:rPr>
          <w:rFonts w:ascii="宋体" w:eastAsia="宋体" w:hAnsi="宋体" w:cs="宋体"/>
          <w:b/>
          <w:color w:val="auto"/>
          <w:sz w:val="24"/>
        </w:rPr>
        <w:t>注意事项：</w:t>
      </w:r>
    </w:p>
    <w:p>
      <w:pPr>
        <w:spacing w:line="285" w:lineRule="auto"/>
        <w:jc w:val="both"/>
        <w:rPr>
          <w:color w:val="auto"/>
        </w:rPr>
      </w:pPr>
      <w:r>
        <w:rPr>
          <w:rFonts w:ascii="Times New Roman" w:eastAsia="Times New Roman" w:hAnsi="Times New Roman" w:cs="Times New Roman"/>
          <w:b/>
          <w:color w:val="auto"/>
          <w:sz w:val="24"/>
        </w:rPr>
        <w:t>1</w:t>
      </w:r>
      <w:r>
        <w:rPr>
          <w:rFonts w:ascii="宋体" w:eastAsia="宋体" w:hAnsi="宋体" w:cs="宋体"/>
          <w:b/>
          <w:color w:val="auto"/>
          <w:sz w:val="24"/>
        </w:rPr>
        <w:t>．答题前，考生先将自己的学校、姓名、班级、座号、考号填涂在相应位置。</w:t>
      </w:r>
    </w:p>
    <w:p>
      <w:pPr>
        <w:spacing w:line="285" w:lineRule="auto"/>
        <w:jc w:val="both"/>
        <w:rPr>
          <w:color w:val="auto"/>
        </w:rPr>
      </w:pPr>
      <w:r>
        <w:rPr>
          <w:rFonts w:ascii="Times New Roman" w:eastAsia="Times New Roman" w:hAnsi="Times New Roman" w:cs="Times New Roman"/>
          <w:b/>
          <w:color w:val="auto"/>
          <w:sz w:val="24"/>
        </w:rPr>
        <w:t>2</w:t>
      </w:r>
      <w:r>
        <w:rPr>
          <w:rFonts w:ascii="宋体" w:eastAsia="宋体" w:hAnsi="宋体" w:cs="宋体"/>
          <w:b/>
          <w:color w:val="auto"/>
          <w:sz w:val="24"/>
        </w:rPr>
        <w:t>．选择题答案必须使用</w:t>
      </w:r>
      <w:r>
        <w:rPr>
          <w:rFonts w:ascii="Times New Roman" w:eastAsia="Times New Roman" w:hAnsi="Times New Roman" w:cs="Times New Roman"/>
          <w:b/>
          <w:color w:val="auto"/>
          <w:sz w:val="24"/>
        </w:rPr>
        <w:t>2B</w:t>
      </w:r>
      <w:r>
        <w:rPr>
          <w:rFonts w:ascii="宋体" w:eastAsia="宋体" w:hAnsi="宋体" w:cs="宋体"/>
          <w:b/>
          <w:color w:val="auto"/>
          <w:sz w:val="24"/>
        </w:rPr>
        <w:t>铅笔（按填涂样例）正确填涂；非选择题答案必须使用</w:t>
      </w:r>
      <w:r>
        <w:rPr>
          <w:rFonts w:ascii="Times New Roman" w:eastAsia="Times New Roman" w:hAnsi="Times New Roman" w:cs="Times New Roman"/>
          <w:b/>
          <w:color w:val="auto"/>
          <w:sz w:val="24"/>
        </w:rPr>
        <w:t>0.5</w:t>
      </w:r>
      <w:r>
        <w:rPr>
          <w:rFonts w:ascii="宋体" w:eastAsia="宋体" w:hAnsi="宋体" w:cs="宋体"/>
          <w:b/>
          <w:color w:val="auto"/>
          <w:sz w:val="24"/>
        </w:rPr>
        <w:t>毫米黑色签字笔书写，绘图时，可用</w:t>
      </w:r>
      <w:r>
        <w:rPr>
          <w:rFonts w:ascii="Times New Roman" w:eastAsia="Times New Roman" w:hAnsi="Times New Roman" w:cs="Times New Roman"/>
          <w:b/>
          <w:color w:val="auto"/>
          <w:sz w:val="24"/>
        </w:rPr>
        <w:t>2B</w:t>
      </w:r>
      <w:r>
        <w:rPr>
          <w:rFonts w:ascii="宋体" w:eastAsia="宋体" w:hAnsi="宋体" w:cs="宋体"/>
          <w:b/>
          <w:color w:val="auto"/>
          <w:sz w:val="24"/>
        </w:rPr>
        <w:t>铅笔作答，字体工整、笔迹清楚。</w:t>
      </w:r>
    </w:p>
    <w:p>
      <w:pPr>
        <w:spacing w:line="285" w:lineRule="auto"/>
        <w:jc w:val="both"/>
        <w:rPr>
          <w:color w:val="auto"/>
        </w:rPr>
      </w:pPr>
      <w:r>
        <w:rPr>
          <w:rFonts w:ascii="Times New Roman" w:eastAsia="Times New Roman" w:hAnsi="Times New Roman" w:cs="Times New Roman"/>
          <w:b/>
          <w:color w:val="auto"/>
          <w:sz w:val="24"/>
        </w:rPr>
        <w:t>3</w:t>
      </w:r>
      <w:r>
        <w:rPr>
          <w:rFonts w:ascii="宋体" w:eastAsia="宋体" w:hAnsi="宋体" w:cs="宋体"/>
          <w:b/>
          <w:color w:val="auto"/>
          <w:sz w:val="24"/>
        </w:rPr>
        <w:t>．请按照题号在各题目的答题区域内作答，超出答题区域书写的答案无效；在草稿纸、试题卷上答题无效。保持卡面清洁，不折叠、不破损。</w:t>
      </w:r>
    </w:p>
    <w:p>
      <w:pPr>
        <w:spacing w:line="285" w:lineRule="auto"/>
        <w:jc w:val="both"/>
        <w:rPr>
          <w:color w:val="auto"/>
        </w:rPr>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45</w:t>
      </w:r>
      <w:r>
        <w:rPr>
          <w:rFonts w:ascii="宋体" w:eastAsia="宋体" w:hAnsi="宋体" w:cs="宋体"/>
          <w:b/>
          <w:color w:val="auto"/>
          <w:sz w:val="24"/>
        </w:rPr>
        <w:t>分。每小题给出的四个选项中，只有一项是最符合题目要求的。</w:t>
      </w:r>
    </w:p>
    <w:p>
      <w:pPr>
        <w:spacing w:line="360" w:lineRule="auto"/>
        <w:jc w:val="both"/>
        <w:rPr>
          <w:color w:val="auto"/>
        </w:rPr>
      </w:pPr>
      <w:r>
        <w:rPr>
          <w:color w:val="auto"/>
        </w:rPr>
        <w:t xml:space="preserve">1. </w:t>
      </w:r>
      <w:r>
        <w:rPr>
          <w:rFonts w:ascii="Times New Roman" w:eastAsia="Times New Roman" w:hAnsi="Times New Roman" w:cs="Times New Roman"/>
          <w:color w:val="auto"/>
        </w:rPr>
        <w:t>2023</w:t>
      </w:r>
      <w:r>
        <w:rPr>
          <w:rFonts w:ascii="宋体" w:eastAsia="宋体" w:hAnsi="宋体" w:cs="宋体"/>
          <w:color w:val="auto"/>
        </w:rPr>
        <w:t>年</w:t>
      </w:r>
      <w:r>
        <w:rPr>
          <w:rFonts w:ascii="Times New Roman" w:eastAsia="Times New Roman" w:hAnsi="Times New Roman" w:cs="Times New Roman"/>
          <w:color w:val="auto"/>
        </w:rPr>
        <w:t>7</w:t>
      </w:r>
      <w:r>
        <w:rPr>
          <w:rFonts w:ascii="宋体" w:eastAsia="宋体" w:hAnsi="宋体" w:cs="宋体"/>
          <w:color w:val="auto"/>
        </w:rPr>
        <w:t>月，因执政联盟内部在移民政策上存在分歧，</w:t>
      </w:r>
      <w:r>
        <w:rPr>
          <w:rFonts w:ascii="Times New Roman" w:eastAsia="Times New Roman" w:hAnsi="Times New Roman" w:cs="Times New Roman"/>
          <w:color w:val="auto"/>
        </w:rPr>
        <w:t>H</w:t>
      </w:r>
      <w:r>
        <w:rPr>
          <w:rFonts w:ascii="宋体" w:eastAsia="宋体" w:hAnsi="宋体" w:cs="宋体"/>
          <w:color w:val="auto"/>
        </w:rPr>
        <w:t>国首相和他所领导的联合政府集体辞职。</w:t>
      </w:r>
      <w:r>
        <w:rPr>
          <w:rFonts w:ascii="Times New Roman" w:eastAsia="Times New Roman" w:hAnsi="Times New Roman" w:cs="Times New Roman"/>
          <w:color w:val="auto"/>
        </w:rPr>
        <w:t>11</w:t>
      </w:r>
      <w:r>
        <w:rPr>
          <w:rFonts w:ascii="宋体" w:eastAsia="宋体" w:hAnsi="宋体" w:cs="宋体"/>
          <w:color w:val="auto"/>
        </w:rPr>
        <w:t>月</w:t>
      </w:r>
      <w:r>
        <w:rPr>
          <w:rFonts w:ascii="Times New Roman" w:eastAsia="Times New Roman" w:hAnsi="Times New Roman" w:cs="Times New Roman"/>
          <w:color w:val="auto"/>
        </w:rPr>
        <w:t>22</w:t>
      </w:r>
      <w:r>
        <w:rPr>
          <w:rFonts w:ascii="宋体" w:eastAsia="宋体" w:hAnsi="宋体" w:cs="宋体"/>
          <w:color w:val="auto"/>
        </w:rPr>
        <w:t>日，来自</w:t>
      </w:r>
      <w:r>
        <w:rPr>
          <w:rFonts w:ascii="Times New Roman" w:eastAsia="Times New Roman" w:hAnsi="Times New Roman" w:cs="Times New Roman"/>
          <w:color w:val="auto"/>
        </w:rPr>
        <w:t>26</w:t>
      </w:r>
      <w:r>
        <w:rPr>
          <w:rFonts w:ascii="宋体" w:eastAsia="宋体" w:hAnsi="宋体" w:cs="宋体"/>
          <w:color w:val="auto"/>
        </w:rPr>
        <w:t>个政党的</w:t>
      </w:r>
      <w:r>
        <w:rPr>
          <w:rFonts w:ascii="Times New Roman" w:eastAsia="Times New Roman" w:hAnsi="Times New Roman" w:cs="Times New Roman"/>
          <w:color w:val="auto"/>
        </w:rPr>
        <w:t>1126</w:t>
      </w:r>
      <w:r>
        <w:rPr>
          <w:rFonts w:ascii="宋体" w:eastAsia="宋体" w:hAnsi="宋体" w:cs="宋体"/>
          <w:color w:val="auto"/>
        </w:rPr>
        <w:t>名候选人参加了该国举行的提前大选，自由党获得众议院最多选票，将与其他政党进行协商组建执政联盟，或者联合其他政党组成少数派政府。由此可推断出（</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both"/>
        <w:rPr>
          <w:color w:val="auto"/>
        </w:rPr>
      </w:pPr>
      <w:r>
        <w:rPr>
          <w:rFonts w:ascii="宋体" w:eastAsia="宋体" w:hAnsi="宋体" w:cs="宋体"/>
          <w:color w:val="auto"/>
        </w:rPr>
        <w:t>①该国组建的联合政府要接受议会监督并向议会报告工作</w:t>
      </w:r>
    </w:p>
    <w:p>
      <w:pPr>
        <w:spacing w:line="360" w:lineRule="auto"/>
        <w:jc w:val="both"/>
        <w:rPr>
          <w:color w:val="auto"/>
        </w:rPr>
      </w:pPr>
      <w:r>
        <w:rPr>
          <w:rFonts w:ascii="宋体" w:eastAsia="宋体" w:hAnsi="宋体" w:cs="宋体"/>
          <w:color w:val="auto"/>
        </w:rPr>
        <w:t>②自由党组建执政联盟旨在平衡各政党之间的利益关系</w:t>
      </w:r>
    </w:p>
    <w:p>
      <w:pPr>
        <w:spacing w:line="360" w:lineRule="auto"/>
        <w:jc w:val="both"/>
        <w:rPr>
          <w:color w:val="auto"/>
        </w:rPr>
      </w:pPr>
      <w:r>
        <w:rPr>
          <w:rFonts w:ascii="宋体" w:eastAsia="宋体" w:hAnsi="宋体" w:cs="宋体"/>
          <w:color w:val="auto"/>
        </w:rPr>
        <w:t>③该国新政府在执政中可能会出现决策效率偏低的问题</w:t>
      </w:r>
      <w:bookmarkStart w:id="0" w:name="_GoBack"/>
      <w:bookmarkEnd w:id="0"/>
    </w:p>
    <w:p>
      <w:pPr>
        <w:spacing w:line="360" w:lineRule="auto"/>
        <w:jc w:val="both"/>
        <w:rPr>
          <w:color w:val="auto"/>
        </w:rPr>
      </w:pPr>
      <w:r>
        <w:rPr>
          <w:rFonts w:ascii="宋体" w:eastAsia="宋体" w:hAnsi="宋体" w:cs="宋体"/>
          <w:color w:val="auto"/>
        </w:rPr>
        <w:t>④该国采取的国家管理形式是维护资产阶级统治的最好政治外壳</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【详解】①③：通过“执政联盟”和“来自26个政党的1126名候选人”以及“组建执政联盟”等信息可以表明该国实行多党制。“</w:t>
      </w:r>
      <w:r>
        <w:rPr>
          <w:rFonts w:ascii="宋体" w:eastAsia="宋体" w:hAnsi="宋体" w:cs="宋体"/>
          <w:color w:val="auto"/>
        </w:rPr>
        <w:t>将与其他政党进行协商组建执政联盟，或者联合其他政党组成少数派政府”，表明</w:t>
      </w:r>
      <w:r>
        <w:rPr>
          <w:color w:val="auto"/>
        </w:rPr>
        <w:t>该国新政府在执政中可能会出现决策效率偏低的问题，①③符合题意。</w:t>
      </w:r>
    </w:p>
    <w:p>
      <w:pPr>
        <w:spacing w:line="360" w:lineRule="auto"/>
        <w:jc w:val="left"/>
        <w:textAlignment w:val="center"/>
        <w:rPr>
          <w:color w:val="auto"/>
        </w:rPr>
        <w:sectPr>
          <w:headerReference w:type="even" r:id="rId7"/>
          <w:footerReference w:type="even" r:id="rId8"/>
          <w:footerReference w:type="default" r:id="rId9"/>
          <w:headerReference w:type="first" r:id="rId10"/>
          <w:footerReference w:type="first" r:id="rId11"/>
          <w:pgSz w:w="11906" w:h="16838"/>
          <w:pgMar w:top="910" w:right="1080" w:bottom="1440" w:left="1080" w:header="152" w:footer="0" w:gutter="0"/>
          <w:cols w:num="1" w:space="720"/>
          <w:docGrid w:type="lines" w:linePitch="312" w:charSpace="0"/>
        </w:sectPr>
      </w:pPr>
      <w:r>
        <w:rPr>
          <w:color w:val="auto"/>
        </w:rPr>
        <w:t>②：由自由党组建执政联盟旨在取得议会的多数席位，组阁政府，执掌国家权力，而不是平衡各政党之间的利益关系，②错误。</w:t>
      </w:r>
    </w:p>
    <w:p>
      <w:pPr>
        <w:spacing w:line="360" w:lineRule="auto"/>
        <w:jc w:val="left"/>
        <w:textAlignment w:val="center"/>
        <w:rPr>
          <w:color w:val="auto"/>
        </w:rPr>
      </w:pPr>
      <w:r>
        <w:rPr>
          <w:color w:val="auto"/>
        </w:rPr>
        <w:t>④：材料说明该国采取的国家管理形式即政体是议会制，而民主共和制是维护资产阶级统治的最好政治外壳，④错误。</w:t>
      </w:r>
    </w:p>
    <w:p>
      <w:pPr>
        <w:spacing w:line="360" w:lineRule="auto"/>
        <w:jc w:val="left"/>
        <w:textAlignment w:val="center"/>
        <w:rPr>
          <w:color w:val="auto"/>
        </w:rPr>
      </w:pPr>
      <w:r>
        <w:rPr>
          <w:color w:val="auto"/>
        </w:rPr>
        <w:t>故本题选B。</w:t>
      </w:r>
    </w:p>
    <w:p>
      <w:pPr>
        <w:spacing w:line="360" w:lineRule="auto"/>
        <w:jc w:val="both"/>
        <w:textAlignment w:val="center"/>
        <w:rPr>
          <w:color w:val="auto"/>
        </w:rPr>
      </w:pPr>
      <w:r>
        <w:rPr>
          <w:color w:val="auto"/>
        </w:rPr>
        <w:t xml:space="preserve">2. </w:t>
      </w:r>
      <w:r>
        <w:rPr>
          <w:rFonts w:ascii="Times New Roman" w:eastAsia="Times New Roman" w:hAnsi="Times New Roman" w:cs="Times New Roman"/>
          <w:color w:val="auto"/>
        </w:rPr>
        <w:t>2023</w:t>
      </w:r>
      <w:r>
        <w:rPr>
          <w:rFonts w:ascii="宋体" w:eastAsia="宋体" w:hAnsi="宋体" w:cs="宋体"/>
          <w:color w:val="auto"/>
        </w:rPr>
        <w:t>年</w:t>
      </w:r>
      <w:r>
        <w:rPr>
          <w:rFonts w:ascii="Times New Roman" w:eastAsia="Times New Roman" w:hAnsi="Times New Roman" w:cs="Times New Roman"/>
          <w:color w:val="auto"/>
        </w:rPr>
        <w:t>12</w:t>
      </w:r>
      <w:r>
        <w:rPr>
          <w:rFonts w:ascii="宋体" w:eastAsia="宋体" w:hAnsi="宋体" w:cs="宋体"/>
          <w:color w:val="auto"/>
        </w:rPr>
        <w:t>月召开的中央外事工作会议将新时代外交工作的宝贵经验总结为“六个必须”：必须做到坚持原则，必须体现大国担当，必须树立系统观念，必须坚持守正创新，必须发扬斗争精神，必须发挥制度优势。中国特色大国外交要更有作为，必须（</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both"/>
        <w:textAlignment w:val="center"/>
        <w:rPr>
          <w:color w:val="auto"/>
        </w:rPr>
      </w:pPr>
      <w:r>
        <w:rPr>
          <w:rFonts w:ascii="宋体" w:eastAsia="宋体" w:hAnsi="宋体" w:cs="宋体"/>
          <w:color w:val="auto"/>
        </w:rPr>
        <w:t>①以政治安全为基础，坚定捍卫国家主权和民族尊严</w:t>
      </w:r>
    </w:p>
    <w:p>
      <w:pPr>
        <w:spacing w:line="360" w:lineRule="auto"/>
        <w:jc w:val="both"/>
        <w:textAlignment w:val="center"/>
        <w:rPr>
          <w:color w:val="auto"/>
        </w:rPr>
      </w:pPr>
      <w:r>
        <w:rPr>
          <w:rFonts w:ascii="宋体" w:eastAsia="宋体" w:hAnsi="宋体" w:cs="宋体"/>
          <w:color w:val="auto"/>
        </w:rPr>
        <w:t>②以正确的历史观、大局观把握大势、统筹兼顾、掌握主动</w:t>
      </w:r>
    </w:p>
    <w:p>
      <w:pPr>
        <w:spacing w:line="360" w:lineRule="auto"/>
        <w:jc w:val="both"/>
        <w:textAlignment w:val="center"/>
        <w:rPr>
          <w:color w:val="auto"/>
        </w:rPr>
      </w:pPr>
      <w:r>
        <w:rPr>
          <w:rFonts w:ascii="宋体" w:eastAsia="宋体" w:hAnsi="宋体" w:cs="宋体"/>
          <w:color w:val="auto"/>
        </w:rPr>
        <w:t>③在党的领导下，坚守中国外交的优良传统和根本方向</w:t>
      </w:r>
    </w:p>
    <w:p>
      <w:pPr>
        <w:spacing w:line="360" w:lineRule="auto"/>
        <w:jc w:val="both"/>
        <w:textAlignment w:val="center"/>
        <w:rPr>
          <w:color w:val="auto"/>
        </w:rPr>
      </w:pPr>
      <w:r>
        <w:rPr>
          <w:rFonts w:ascii="宋体" w:eastAsia="宋体" w:hAnsi="宋体" w:cs="宋体"/>
          <w:color w:val="auto"/>
        </w:rPr>
        <w:t>④充分发挥中国在国际事务中的主导作用，展现负责任大国形象</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①④</w:t>
      </w:r>
      <w:r>
        <w:rPr>
          <w:color w:val="auto"/>
        </w:rPr>
        <w:tab/>
      </w:r>
      <w:r>
        <w:rPr>
          <w:color w:val="auto"/>
        </w:rPr>
        <w:t xml:space="preserve">C. </w:t>
      </w:r>
      <w:r>
        <w:rPr>
          <w:rFonts w:ascii="宋体" w:eastAsia="宋体" w:hAnsi="宋体" w:cs="宋体"/>
          <w:color w:val="auto"/>
        </w:rPr>
        <w:t>②③</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both"/>
        <w:textAlignment w:val="center"/>
        <w:rPr>
          <w:color w:val="auto"/>
        </w:rPr>
      </w:pPr>
      <w:r>
        <w:rPr>
          <w:color w:val="auto"/>
        </w:rPr>
        <w:t>【详解】</w:t>
      </w:r>
      <w:r>
        <w:rPr>
          <w:rFonts w:ascii="宋体" w:eastAsia="宋体" w:hAnsi="宋体" w:cs="宋体"/>
          <w:color w:val="auto"/>
        </w:rPr>
        <w:t>①：</w:t>
      </w:r>
      <w:r>
        <w:rPr>
          <w:color w:val="auto"/>
        </w:rPr>
        <w:t>总体国家安全观以人民安全为宗旨，以政治安全为根本，以经济安全为基础，以军事、文化、社会安全为保障，以促进国际安全为依托，而不是以政治安全为基础，</w:t>
      </w:r>
      <w:r>
        <w:rPr>
          <w:rFonts w:ascii="宋体" w:eastAsia="宋体" w:hAnsi="宋体" w:cs="宋体"/>
          <w:color w:val="auto"/>
        </w:rPr>
        <w:t>①错误。</w:t>
      </w:r>
    </w:p>
    <w:p>
      <w:pPr>
        <w:spacing w:line="360" w:lineRule="auto"/>
        <w:jc w:val="both"/>
        <w:textAlignment w:val="center"/>
        <w:rPr>
          <w:color w:val="auto"/>
        </w:rPr>
      </w:pPr>
      <w:r>
        <w:rPr>
          <w:rFonts w:ascii="宋体" w:eastAsia="宋体" w:hAnsi="宋体" w:cs="宋体"/>
          <w:color w:val="auto"/>
        </w:rPr>
        <w:t>②：</w:t>
      </w:r>
      <w:r>
        <w:rPr>
          <w:color w:val="auto"/>
        </w:rPr>
        <w:t>必须做到坚持原则，必须体现大国担当，必须树立系统观念，中国特色大国外交要更有作为，必须</w:t>
      </w:r>
      <w:r>
        <w:rPr>
          <w:rFonts w:ascii="宋体" w:eastAsia="宋体" w:hAnsi="宋体" w:cs="宋体"/>
          <w:color w:val="auto"/>
        </w:rPr>
        <w:t>以正确的历史观、大局观把握大势、统筹兼顾、掌握主动，②正确。</w:t>
      </w:r>
    </w:p>
    <w:p>
      <w:pPr>
        <w:spacing w:line="360" w:lineRule="auto"/>
        <w:jc w:val="both"/>
        <w:textAlignment w:val="center"/>
        <w:rPr>
          <w:color w:val="auto"/>
        </w:rPr>
      </w:pPr>
      <w:r>
        <w:rPr>
          <w:rFonts w:ascii="宋体" w:eastAsia="宋体" w:hAnsi="宋体" w:cs="宋体"/>
          <w:color w:val="auto"/>
        </w:rPr>
        <w:t>③：</w:t>
      </w:r>
      <w:r>
        <w:rPr>
          <w:color w:val="auto"/>
        </w:rPr>
        <w:t>必须坚持守正创新，必须发扬斗争精神，必须发挥制度优势。中国特色大国外交要更有作为，必须</w:t>
      </w:r>
      <w:r>
        <w:rPr>
          <w:rFonts w:ascii="宋体" w:eastAsia="宋体" w:hAnsi="宋体" w:cs="宋体"/>
          <w:color w:val="auto"/>
        </w:rPr>
        <w:t>在党的领导下，坚守中国外交的优良传统和根本方向，③正确。</w:t>
      </w:r>
    </w:p>
    <w:p>
      <w:pPr>
        <w:spacing w:line="360" w:lineRule="auto"/>
        <w:jc w:val="left"/>
        <w:textAlignment w:val="center"/>
        <w:rPr>
          <w:color w:val="auto"/>
        </w:rPr>
      </w:pPr>
      <w:r>
        <w:rPr>
          <w:rFonts w:ascii="宋体" w:eastAsia="宋体" w:hAnsi="宋体" w:cs="宋体"/>
          <w:color w:val="auto"/>
        </w:rPr>
        <w:t>④：中国在国际事务中发挥建设性作用，而不是主导作用，④错误。</w:t>
      </w:r>
    </w:p>
    <w:p>
      <w:pPr>
        <w:spacing w:line="360" w:lineRule="auto"/>
        <w:jc w:val="left"/>
        <w:textAlignment w:val="center"/>
        <w:rPr>
          <w:color w:val="auto"/>
        </w:rPr>
      </w:pPr>
      <w:r>
        <w:rPr>
          <w:color w:val="auto"/>
        </w:rPr>
        <w:t>故本题选C。</w:t>
      </w:r>
    </w:p>
    <w:p>
      <w:pPr>
        <w:spacing w:line="360" w:lineRule="auto"/>
        <w:jc w:val="left"/>
        <w:textAlignment w:val="center"/>
        <w:rPr>
          <w:color w:val="auto"/>
        </w:rPr>
        <w:sectPr>
          <w:headerReference w:type="even" r:id="rId12"/>
          <w:footerReference w:type="even" r:id="rId13"/>
          <w:footerReference w:type="default" r:id="rId14"/>
          <w:headerReference w:type="first" r:id="rId15"/>
          <w:footerReference w:type="first" r:id="rId16"/>
          <w:type w:val="nextPage"/>
          <w:pgSz w:w="11906" w:h="16838"/>
          <w:pgMar w:top="910" w:right="1080" w:bottom="1440" w:left="1080" w:header="152" w:footer="0" w:gutter="0"/>
          <w:pgNumType w:start="2"/>
          <w:cols w:num="1" w:space="720"/>
          <w:titlePg w:val="0"/>
          <w:docGrid w:type="lines" w:linePitch="312" w:charSpace="0"/>
        </w:sectPr>
      </w:pPr>
      <w:r>
        <w:rPr>
          <w:color w:val="auto"/>
        </w:rPr>
        <w:t xml:space="preserve">3. </w:t>
      </w:r>
      <w:r>
        <w:rPr>
          <w:rFonts w:ascii="Times New Roman" w:eastAsia="Times New Roman" w:hAnsi="Times New Roman" w:cs="Times New Roman"/>
          <w:color w:val="auto"/>
        </w:rPr>
        <w:t>2023</w:t>
      </w:r>
      <w:r>
        <w:rPr>
          <w:rFonts w:ascii="宋体" w:eastAsia="宋体" w:hAnsi="宋体" w:cs="宋体"/>
          <w:color w:val="auto"/>
        </w:rPr>
        <w:t>年</w:t>
      </w:r>
      <w:r>
        <w:rPr>
          <w:rFonts w:ascii="Times New Roman" w:eastAsia="Times New Roman" w:hAnsi="Times New Roman" w:cs="Times New Roman"/>
          <w:color w:val="auto"/>
        </w:rPr>
        <w:t>12</w:t>
      </w:r>
      <w:r>
        <w:rPr>
          <w:rFonts w:ascii="宋体" w:eastAsia="宋体" w:hAnsi="宋体" w:cs="宋体"/>
          <w:color w:val="auto"/>
        </w:rPr>
        <w:t>月</w:t>
      </w:r>
      <w:r>
        <w:rPr>
          <w:rFonts w:ascii="Times New Roman" w:eastAsia="Times New Roman" w:hAnsi="Times New Roman" w:cs="Times New Roman"/>
          <w:color w:val="auto"/>
        </w:rPr>
        <w:t>7</w:t>
      </w:r>
      <w:r>
        <w:rPr>
          <w:rFonts w:ascii="宋体" w:eastAsia="宋体" w:hAnsi="宋体" w:cs="宋体"/>
          <w:color w:val="auto"/>
        </w:rPr>
        <w:t>日，习近平主席在会见欧盟领导人时强调，要增进理解、妥处分歧，“不能因为制度不同就视彼此为对手，不能因为出现竞争就减少合作，不能因为存在分歧就进行对抗”。在经济合作方面，“中国愿将欧盟作为经贸合作的关键伙伴、科技合作的优先伙伴、产业链供应链合作的可信伙伴”。三个“不能”，指向的是少做对抗的减法，而三个“伙伴”，指向的是多做合作的加法。中欧双方要做好这些加减法，是基于（</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t xml:space="preserve">A. </w:t>
      </w:r>
      <w:r>
        <w:rPr>
          <w:rFonts w:ascii="宋体" w:eastAsia="宋体" w:hAnsi="宋体" w:cs="宋体"/>
          <w:color w:val="auto"/>
        </w:rPr>
        <w:t>欧盟是当今世界一体化程度最高的国际组织</w:t>
      </w:r>
    </w:p>
    <w:p>
      <w:pPr>
        <w:spacing w:line="360" w:lineRule="auto"/>
        <w:jc w:val="left"/>
        <w:textAlignment w:val="center"/>
        <w:rPr>
          <w:color w:val="auto"/>
        </w:rPr>
      </w:pPr>
      <w:r>
        <w:rPr>
          <w:color w:val="auto"/>
        </w:rPr>
        <w:t xml:space="preserve">B. </w:t>
      </w:r>
      <w:r>
        <w:rPr>
          <w:rFonts w:ascii="宋体" w:eastAsia="宋体" w:hAnsi="宋体" w:cs="宋体"/>
          <w:color w:val="auto"/>
        </w:rPr>
        <w:t>中欧求同化异、化异促同，通过谈判与对话化解矛盾</w:t>
      </w:r>
    </w:p>
    <w:p>
      <w:pPr>
        <w:spacing w:line="360" w:lineRule="auto"/>
        <w:jc w:val="left"/>
        <w:textAlignment w:val="center"/>
        <w:rPr>
          <w:color w:val="auto"/>
        </w:rPr>
      </w:pPr>
      <w:r>
        <w:rPr>
          <w:color w:val="auto"/>
        </w:rPr>
        <w:t xml:space="preserve">C. </w:t>
      </w:r>
      <w:r>
        <w:rPr>
          <w:rFonts w:ascii="宋体" w:eastAsia="宋体" w:hAnsi="宋体" w:cs="宋体"/>
          <w:color w:val="auto"/>
        </w:rPr>
        <w:t>中欧保持伙伴关系定位，将维护伙伴关系作为合作基础</w:t>
      </w:r>
    </w:p>
    <w:p>
      <w:pPr>
        <w:spacing w:line="360" w:lineRule="auto"/>
        <w:jc w:val="left"/>
        <w:textAlignment w:val="center"/>
        <w:rPr>
          <w:color w:val="auto"/>
        </w:rPr>
      </w:pPr>
      <w:r>
        <w:rPr>
          <w:color w:val="auto"/>
        </w:rPr>
        <w:t xml:space="preserve">D. </w:t>
      </w:r>
      <w:r>
        <w:rPr>
          <w:rFonts w:ascii="宋体" w:eastAsia="宋体" w:hAnsi="宋体" w:cs="宋体"/>
          <w:color w:val="auto"/>
        </w:rPr>
        <w:t>中欧各具经济优势、互补性强，具有广泛的共同利益</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r>
        <w:rPr>
          <w:rFonts w:hint="eastAsia"/>
          <w:color w:val="auto"/>
          <w:lang w:val="en-US" w:eastAsia="zh-CN"/>
        </w:rPr>
        <w:t>：</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：欧盟是当今世界一体化程度最高的区域性国际组织，</w:t>
      </w:r>
      <w:r>
        <w:rPr>
          <w:rFonts w:ascii="Times New Roman" w:eastAsia="Times New Roman" w:hAnsi="Times New Roman" w:cs="Times New Roman"/>
          <w:color w:val="auto"/>
        </w:rPr>
        <w:t>A说法错误。</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：设问问的是中欧双方要做好这些加减法的原因，此选项是措施，</w:t>
      </w:r>
      <w:r>
        <w:rPr>
          <w:rFonts w:ascii="Times New Roman" w:eastAsia="Times New Roman" w:hAnsi="Times New Roman" w:cs="Times New Roman"/>
          <w:color w:val="auto"/>
        </w:rPr>
        <w:t>B不符合题意。</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：中欧之间的共同利益是双方合作的基础，</w:t>
      </w:r>
      <w:r>
        <w:rPr>
          <w:rFonts w:ascii="Times New Roman" w:eastAsia="Times New Roman" w:hAnsi="Times New Roman" w:cs="Times New Roman"/>
          <w:color w:val="auto"/>
        </w:rPr>
        <w:t>C说法错误。</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：中欧双方要做好这些加减法，是基于中欧各具经济优势、互补性强，具有广泛的共同利益，</w:t>
      </w:r>
      <w:r>
        <w:rPr>
          <w:rFonts w:ascii="Times New Roman" w:eastAsia="Times New Roman" w:hAnsi="Times New Roman" w:cs="Times New Roman"/>
          <w:color w:val="auto"/>
        </w:rPr>
        <w:t>D符合题意。</w:t>
      </w:r>
    </w:p>
    <w:p>
      <w:pPr>
        <w:spacing w:line="360" w:lineRule="auto"/>
        <w:jc w:val="left"/>
        <w:textAlignment w:val="center"/>
        <w:rPr>
          <w:color w:val="auto"/>
        </w:rPr>
      </w:pPr>
      <w:r>
        <w:rPr>
          <w:rFonts w:ascii="宋体" w:eastAsia="宋体" w:hAnsi="宋体" w:cs="宋体"/>
          <w:color w:val="auto"/>
        </w:rPr>
        <w:t>故本题选D。</w:t>
      </w:r>
    </w:p>
    <w:p>
      <w:pPr>
        <w:spacing w:line="360" w:lineRule="auto"/>
        <w:jc w:val="both"/>
        <w:textAlignment w:val="center"/>
        <w:rPr>
          <w:color w:val="auto"/>
        </w:rPr>
      </w:pPr>
      <w:r>
        <w:rPr>
          <w:color w:val="auto"/>
        </w:rPr>
        <w:t xml:space="preserve">4. </w:t>
      </w:r>
      <w:r>
        <w:rPr>
          <w:rFonts w:ascii="宋体" w:eastAsia="宋体" w:hAnsi="宋体" w:cs="宋体"/>
          <w:color w:val="auto"/>
        </w:rPr>
        <w:t>前不久，“汉语盘点</w:t>
      </w:r>
      <w:r>
        <w:rPr>
          <w:rFonts w:ascii="Times New Roman" w:eastAsia="Times New Roman" w:hAnsi="Times New Roman" w:cs="Times New Roman"/>
          <w:color w:val="auto"/>
        </w:rPr>
        <w:t>2023</w:t>
      </w:r>
      <w:r>
        <w:rPr>
          <w:rFonts w:ascii="宋体" w:eastAsia="宋体" w:hAnsi="宋体" w:cs="宋体"/>
          <w:color w:val="auto"/>
        </w:rPr>
        <w:t>”揭晓。“振”当选为</w:t>
      </w:r>
      <w:r>
        <w:rPr>
          <w:rFonts w:ascii="Times New Roman" w:eastAsia="Times New Roman" w:hAnsi="Times New Roman" w:cs="Times New Roman"/>
          <w:color w:val="auto"/>
        </w:rPr>
        <w:t>2023</w:t>
      </w:r>
      <w:r>
        <w:rPr>
          <w:rFonts w:ascii="宋体" w:eastAsia="宋体" w:hAnsi="宋体" w:cs="宋体"/>
          <w:color w:val="auto"/>
        </w:rPr>
        <w:t>年度国内字。疫情防控平稳转段后，很多人开始重新探索真实的自我。或去博物馆打卡、到健身房撸铁，或选择速战速决的特种兵式旅游、来一场说走就走的城市漫步。我们在热气腾腾的生活中，调整前行节奏，寻找自在从容，涵养和提振向上向善的精气神。由此可见，“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both"/>
        <w:textAlignment w:val="center"/>
        <w:rPr>
          <w:color w:val="auto"/>
        </w:rPr>
      </w:pPr>
      <w:r>
        <w:rPr>
          <w:rFonts w:ascii="宋体" w:eastAsia="宋体" w:hAnsi="宋体" w:cs="宋体"/>
          <w:color w:val="auto"/>
        </w:rPr>
        <w:t>①彰显向上的生活状态，为人们提供精神指引</w:t>
      </w:r>
    </w:p>
    <w:p>
      <w:pPr>
        <w:spacing w:line="360" w:lineRule="auto"/>
        <w:jc w:val="both"/>
        <w:textAlignment w:val="center"/>
        <w:rPr>
          <w:color w:val="auto"/>
        </w:rPr>
      </w:pPr>
      <w:r>
        <w:rPr>
          <w:rFonts w:ascii="宋体" w:eastAsia="宋体" w:hAnsi="宋体" w:cs="宋体"/>
          <w:color w:val="auto"/>
        </w:rPr>
        <w:t>②是这一年的集体记忆，留下了鲜明的时代烙印</w:t>
      </w:r>
    </w:p>
    <w:p>
      <w:pPr>
        <w:spacing w:line="360" w:lineRule="auto"/>
        <w:jc w:val="both"/>
        <w:textAlignment w:val="center"/>
        <w:rPr>
          <w:color w:val="auto"/>
        </w:rPr>
      </w:pPr>
      <w:r>
        <w:rPr>
          <w:rFonts w:ascii="宋体" w:eastAsia="宋体" w:hAnsi="宋体" w:cs="宋体"/>
          <w:color w:val="auto"/>
        </w:rPr>
        <w:t>③是文化的核心，支配和影响着人们的文化实践</w:t>
      </w:r>
    </w:p>
    <w:p>
      <w:pPr>
        <w:spacing w:line="360" w:lineRule="auto"/>
        <w:jc w:val="both"/>
        <w:textAlignment w:val="center"/>
        <w:rPr>
          <w:color w:val="auto"/>
        </w:rPr>
      </w:pPr>
      <w:r>
        <w:rPr>
          <w:rFonts w:ascii="宋体" w:eastAsia="宋体" w:hAnsi="宋体" w:cs="宋体"/>
          <w:color w:val="auto"/>
        </w:rPr>
        <w:t>④归根到底是对当下人们真实社会生活的客观反映</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sectPr>
          <w:headerReference w:type="even" r:id="rId17"/>
          <w:footerReference w:type="even" r:id="rId18"/>
          <w:footerReference w:type="default" r:id="rId19"/>
          <w:headerReference w:type="first" r:id="rId20"/>
          <w:footerReference w:type="first" r:id="rId21"/>
          <w:type w:val="nextPage"/>
          <w:pgSz w:w="11906" w:h="16838"/>
          <w:pgMar w:top="910" w:right="1080" w:bottom="1440" w:left="1080" w:header="152" w:footer="0" w:gutter="0"/>
          <w:pgNumType w:start="3"/>
          <w:cols w:num="1" w:space="720"/>
          <w:titlePg w:val="0"/>
          <w:docGrid w:type="lines" w:linePitch="312" w:charSpace="0"/>
        </w:sectPr>
      </w:pPr>
      <w:r>
        <w:rPr>
          <w:color w:val="auto"/>
        </w:rPr>
        <w:t>【详解】①②：</w:t>
      </w:r>
    </w:p>
    <w:p>
      <w:pPr>
        <w:spacing w:line="360" w:lineRule="auto"/>
        <w:jc w:val="left"/>
        <w:textAlignment w:val="center"/>
        <w:rPr>
          <w:color w:val="auto"/>
        </w:rPr>
      </w:pPr>
      <w:r>
        <w:rPr>
          <w:rFonts w:ascii="宋体" w:eastAsia="宋体" w:hAnsi="宋体" w:cs="宋体"/>
          <w:color w:val="auto"/>
        </w:rPr>
        <w:t>疫情防控平稳转段后，很多人开始重新探索真实的自我。我们在热气腾腾的生活中，调整前行节奏，寻找自在从容，涵养和提振向上向善的精气神。这表明“振”是这一年的集体记忆，留下了鲜明的时代烙印，彰显向上的生活状态，为人们提供精神指引，</w:t>
      </w:r>
      <w:r>
        <w:rPr>
          <w:color w:val="auto"/>
        </w:rPr>
        <w:t>①②符合题意。</w:t>
      </w:r>
    </w:p>
    <w:p>
      <w:pPr>
        <w:spacing w:line="360" w:lineRule="auto"/>
        <w:jc w:val="left"/>
        <w:textAlignment w:val="center"/>
        <w:rPr>
          <w:color w:val="auto"/>
        </w:rPr>
      </w:pPr>
      <w:r>
        <w:rPr>
          <w:color w:val="auto"/>
        </w:rPr>
        <w:t>③：世界观、人生观、价值观是文化的核心，③错误。</w:t>
      </w:r>
    </w:p>
    <w:p>
      <w:pPr>
        <w:spacing w:line="360" w:lineRule="auto"/>
        <w:jc w:val="left"/>
        <w:textAlignment w:val="center"/>
        <w:rPr>
          <w:color w:val="auto"/>
        </w:rPr>
      </w:pPr>
      <w:r>
        <w:rPr>
          <w:color w:val="auto"/>
        </w:rPr>
        <w:t>④：</w:t>
      </w:r>
      <w:r>
        <w:rPr>
          <w:rFonts w:ascii="宋体" w:eastAsia="宋体" w:hAnsi="宋体" w:cs="宋体"/>
          <w:color w:val="auto"/>
        </w:rPr>
        <w:t>归根到底是对当下人们真实社会生活的主观反映，</w:t>
      </w:r>
      <w:r>
        <w:rPr>
          <w:color w:val="auto"/>
        </w:rPr>
        <w:t>④错误。</w:t>
      </w:r>
    </w:p>
    <w:p>
      <w:pPr>
        <w:spacing w:line="360" w:lineRule="auto"/>
        <w:jc w:val="left"/>
        <w:textAlignment w:val="center"/>
        <w:rPr>
          <w:color w:val="auto"/>
        </w:rPr>
      </w:pPr>
      <w:r>
        <w:rPr>
          <w:color w:val="auto"/>
        </w:rPr>
        <w:t>故本题选A。</w:t>
      </w:r>
    </w:p>
    <w:p>
      <w:pPr>
        <w:spacing w:line="360" w:lineRule="auto"/>
        <w:jc w:val="both"/>
        <w:textAlignment w:val="center"/>
        <w:rPr>
          <w:color w:val="auto"/>
        </w:rPr>
      </w:pPr>
      <w:r>
        <w:rPr>
          <w:color w:val="auto"/>
        </w:rPr>
        <w:t xml:space="preserve">5. </w:t>
      </w:r>
      <w:r>
        <w:rPr>
          <w:rFonts w:ascii="宋体" w:eastAsia="宋体" w:hAnsi="宋体" w:cs="宋体"/>
          <w:color w:val="auto"/>
        </w:rPr>
        <w:t>阅读《陋室铭》：</w:t>
      </w:r>
    </w:p>
    <w:tbl>
      <w:tblPr>
        <w:tblStyle w:val="TableNormal"/>
        <w:tblW w:w="99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
      <w:tblGrid>
        <w:gridCol w:w="9986"/>
      </w:tblGrid>
      <w:tr>
        <w:tblPrEx>
          <w:tblW w:w="99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Ex>
        <w:trPr>
          <w:trHeight w:val="330"/>
        </w:trPr>
        <w:tc>
          <w:tcPr>
            <w:tcW w:w="9986"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宋体" w:eastAsia="宋体" w:hAnsi="宋体" w:cs="宋体"/>
                <w:b/>
                <w:color w:val="auto"/>
              </w:rPr>
              <w:t>陋室铭</w:t>
            </w:r>
          </w:p>
          <w:p>
            <w:pPr>
              <w:spacing w:line="360" w:lineRule="auto"/>
              <w:jc w:val="center"/>
              <w:textAlignment w:val="center"/>
              <w:rPr>
                <w:color w:val="auto"/>
              </w:rPr>
            </w:pPr>
            <w:r>
              <w:rPr>
                <w:rFonts w:ascii="宋体" w:eastAsia="宋体" w:hAnsi="宋体" w:cs="宋体"/>
                <w:color w:val="auto"/>
              </w:rPr>
              <w:t>唐·刘禹锡</w:t>
            </w:r>
          </w:p>
          <w:p>
            <w:pPr>
              <w:spacing w:line="360" w:lineRule="auto"/>
              <w:ind w:firstLine="420"/>
              <w:jc w:val="both"/>
              <w:textAlignment w:val="center"/>
              <w:rPr>
                <w:color w:val="auto"/>
              </w:rPr>
            </w:pPr>
            <w:r>
              <w:rPr>
                <w:rFonts w:ascii="楷体" w:eastAsia="楷体" w:hAnsi="楷体" w:cs="楷体"/>
                <w:color w:val="auto"/>
              </w:rPr>
              <w:t>山不在高，有仙则名。水不在深，有龙则灵。斯是陋室，惟吾德馨。苔痕上阶绿，草色入帘青。谈笑有鸿儒，往来无白丁。可以调素琴，阅金经。无丝竹之乱耳，无案牍之劳形。南阳诸葛庐，西蜀子云亭。孔子云：何陋之有？</w:t>
            </w:r>
          </w:p>
        </w:tc>
      </w:tr>
    </w:tbl>
    <w:p>
      <w:pPr>
        <w:spacing w:line="360" w:lineRule="auto"/>
        <w:jc w:val="both"/>
        <w:textAlignment w:val="center"/>
        <w:rPr>
          <w:color w:val="auto"/>
        </w:rPr>
      </w:pPr>
      <w:r>
        <w:rPr>
          <w:rFonts w:ascii="宋体" w:eastAsia="宋体" w:hAnsi="宋体" w:cs="宋体"/>
          <w:color w:val="auto"/>
        </w:rPr>
        <w:t>以下对“陋室”的理解正确的是（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both"/>
        <w:textAlignment w:val="center"/>
        <w:rPr>
          <w:color w:val="auto"/>
        </w:rPr>
      </w:pPr>
      <w:r>
        <w:rPr>
          <w:rFonts w:ascii="宋体" w:eastAsia="宋体" w:hAnsi="宋体" w:cs="宋体"/>
          <w:color w:val="auto"/>
        </w:rPr>
        <w:t>①运用求同法归纳了“陋室不陋”的原因</w:t>
      </w:r>
    </w:p>
    <w:p>
      <w:pPr>
        <w:spacing w:line="360" w:lineRule="auto"/>
        <w:jc w:val="both"/>
        <w:textAlignment w:val="center"/>
        <w:rPr>
          <w:color w:val="auto"/>
        </w:rPr>
      </w:pPr>
      <w:r>
        <w:rPr>
          <w:rFonts w:ascii="宋体" w:eastAsia="宋体" w:hAnsi="宋体" w:cs="宋体"/>
          <w:color w:val="auto"/>
        </w:rPr>
        <w:t>②“陋”与“不陋”在一定条件下可以相互转化</w:t>
      </w:r>
    </w:p>
    <w:p>
      <w:pPr>
        <w:spacing w:line="360" w:lineRule="auto"/>
        <w:jc w:val="both"/>
        <w:textAlignment w:val="center"/>
        <w:rPr>
          <w:color w:val="auto"/>
        </w:rPr>
      </w:pPr>
      <w:r>
        <w:rPr>
          <w:rFonts w:ascii="宋体" w:eastAsia="宋体" w:hAnsi="宋体" w:cs="宋体"/>
          <w:color w:val="auto"/>
        </w:rPr>
        <w:t>③在诸葛庐、子云亭和陋室的功能之间进行了类比</w:t>
      </w:r>
    </w:p>
    <w:p>
      <w:pPr>
        <w:spacing w:line="360" w:lineRule="auto"/>
        <w:jc w:val="both"/>
        <w:textAlignment w:val="center"/>
        <w:rPr>
          <w:color w:val="auto"/>
        </w:rPr>
      </w:pPr>
      <w:r>
        <w:rPr>
          <w:rFonts w:ascii="宋体" w:eastAsia="宋体" w:hAnsi="宋体" w:cs="宋体"/>
          <w:color w:val="auto"/>
        </w:rPr>
        <w:t>④运用相容选言判断揭示陋室不陋的所有可能情况</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②③</w:t>
      </w:r>
      <w:r>
        <w:rPr>
          <w:color w:val="auto"/>
        </w:rPr>
        <w:tab/>
      </w:r>
      <w:r>
        <w:rPr>
          <w:color w:val="auto"/>
        </w:rPr>
        <w:t xml:space="preserve">C. </w:t>
      </w:r>
      <w:r>
        <w:rPr>
          <w:rFonts w:ascii="宋体" w:eastAsia="宋体" w:hAnsi="宋体" w:cs="宋体"/>
          <w:color w:val="auto"/>
        </w:rPr>
        <w:t>①④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①：南阳有诸葛亮的草庐，西蜀有杨子云的亭子，这些居所各有其简陋之处，但是因为居住的都是圣贤之人，则被称之“何陋之有”，点明了“陋室不陋”的原因，即有贤人居住，这里采用了“求同法”，①正确。</w:t>
      </w:r>
    </w:p>
    <w:p>
      <w:pPr>
        <w:spacing w:line="360" w:lineRule="auto"/>
        <w:jc w:val="left"/>
        <w:textAlignment w:val="center"/>
        <w:rPr>
          <w:color w:val="auto"/>
        </w:rPr>
      </w:pPr>
      <w:r>
        <w:rPr>
          <w:rFonts w:ascii="宋体" w:eastAsia="宋体" w:hAnsi="宋体" w:cs="宋体"/>
          <w:color w:val="auto"/>
        </w:rPr>
        <w:t>②：“陋”与“不陋”是矛盾的双方，因此在一定条件下是可以相互转化的，②正确。</w:t>
      </w:r>
    </w:p>
    <w:p>
      <w:pPr>
        <w:spacing w:line="360" w:lineRule="auto"/>
        <w:jc w:val="left"/>
        <w:textAlignment w:val="center"/>
        <w:rPr>
          <w:color w:val="auto"/>
        </w:rPr>
        <w:sectPr>
          <w:headerReference w:type="even" r:id="rId22"/>
          <w:footerReference w:type="even" r:id="rId23"/>
          <w:footerReference w:type="default" r:id="rId24"/>
          <w:headerReference w:type="first" r:id="rId25"/>
          <w:footerReference w:type="first" r:id="rId26"/>
          <w:type w:val="nextPage"/>
          <w:pgSz w:w="11906" w:h="16838"/>
          <w:pgMar w:top="910" w:right="1080" w:bottom="1440" w:left="1080" w:header="152" w:footer="0" w:gutter="0"/>
          <w:pgNumType w:start="4"/>
          <w:cols w:num="1" w:space="720"/>
          <w:titlePg w:val="0"/>
          <w:docGrid w:type="lines" w:linePitch="312" w:charSpace="0"/>
        </w:sectPr>
      </w:pPr>
      <w:r>
        <w:rPr>
          <w:rFonts w:ascii="宋体" w:eastAsia="宋体" w:hAnsi="宋体" w:cs="宋体"/>
          <w:color w:val="auto"/>
        </w:rPr>
        <w:t>③：材料并没有介绍诸葛庐、子云亭和陋室的功能，并没有在功能之间进行相互类比，③排除。</w:t>
      </w:r>
    </w:p>
    <w:p>
      <w:pPr>
        <w:spacing w:line="360" w:lineRule="auto"/>
        <w:jc w:val="left"/>
        <w:textAlignment w:val="center"/>
        <w:rPr>
          <w:color w:val="auto"/>
        </w:rPr>
      </w:pPr>
      <w:r>
        <w:rPr>
          <w:rFonts w:ascii="宋体" w:eastAsia="宋体" w:hAnsi="宋体" w:cs="宋体"/>
          <w:color w:val="auto"/>
        </w:rPr>
        <w:t>④：</w:t>
      </w:r>
      <w:r>
        <w:rPr>
          <w:color w:val="auto"/>
        </w:rPr>
        <w:t>相容选言判断就是指断定若干事物情况中至少有一种事物情况存在的选言判断，材料中并没有运用相容选言判断，④排除。</w:t>
      </w:r>
    </w:p>
    <w:p>
      <w:pPr>
        <w:spacing w:line="360" w:lineRule="auto"/>
        <w:jc w:val="left"/>
        <w:textAlignment w:val="center"/>
        <w:rPr>
          <w:color w:val="auto"/>
        </w:rPr>
      </w:pPr>
      <w:r>
        <w:rPr>
          <w:rFonts w:ascii="宋体" w:eastAsia="宋体" w:hAnsi="宋体" w:cs="宋体"/>
          <w:color w:val="auto"/>
        </w:rPr>
        <w:t>故本题选A。</w:t>
      </w:r>
    </w:p>
    <w:p>
      <w:pPr>
        <w:spacing w:line="360" w:lineRule="auto"/>
        <w:ind w:firstLine="420"/>
        <w:jc w:val="left"/>
        <w:textAlignment w:val="center"/>
        <w:rPr>
          <w:color w:val="auto"/>
        </w:rPr>
      </w:pPr>
      <w:r>
        <w:rPr>
          <w:rFonts w:ascii="楷体" w:eastAsia="楷体" w:hAnsi="楷体" w:cs="楷体"/>
          <w:color w:val="auto"/>
        </w:rPr>
        <w:t>2023年11月12日，中央文明办发布了第三季度“中国好人榜”，他们在各自的工作岗位上坚守奉献，或助人为乐、或见义勇为、或坚守正道，以自己的方式，论释“中国好人”的深刻内涵，绘就了“中国好人”的群画像。回答下列小题。</w:t>
      </w:r>
    </w:p>
    <w:p>
      <w:pPr>
        <w:spacing w:line="360" w:lineRule="auto"/>
        <w:jc w:val="left"/>
        <w:textAlignment w:val="center"/>
        <w:rPr>
          <w:color w:val="auto"/>
        </w:rPr>
      </w:pPr>
      <w:r>
        <w:rPr>
          <w:color w:val="auto"/>
        </w:rPr>
        <w:t xml:space="preserve">6. </w:t>
      </w:r>
      <w:r>
        <w:rPr>
          <w:rFonts w:ascii="宋体" w:eastAsia="宋体" w:hAnsi="宋体" w:cs="宋体"/>
          <w:color w:val="auto"/>
        </w:rPr>
        <w:t>“好人效应”在全社会持续扩散，引发善行绵延不绝，越来越多的人崇尚善德义举，将“好人盆景”演绎成了“道德风景”。评选“中国好人”（</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rFonts w:ascii="宋体" w:eastAsia="宋体" w:hAnsi="宋体" w:cs="宋体"/>
          <w:color w:val="auto"/>
        </w:rPr>
        <w:t>①旨在塑造舆论新格局，巩固全体人民团结奋斗的共同思想基础</w:t>
      </w:r>
    </w:p>
    <w:p>
      <w:pPr>
        <w:spacing w:line="360" w:lineRule="auto"/>
        <w:jc w:val="left"/>
        <w:textAlignment w:val="center"/>
        <w:rPr>
          <w:color w:val="auto"/>
        </w:rPr>
      </w:pPr>
      <w:r>
        <w:rPr>
          <w:rFonts w:ascii="宋体" w:eastAsia="宋体" w:hAnsi="宋体" w:cs="宋体"/>
          <w:color w:val="auto"/>
        </w:rPr>
        <w:t>②有利于加强精神文明建设，实现社会效益与经济效益的统一</w:t>
      </w:r>
    </w:p>
    <w:p>
      <w:pPr>
        <w:spacing w:line="360" w:lineRule="auto"/>
        <w:jc w:val="left"/>
        <w:textAlignment w:val="center"/>
        <w:rPr>
          <w:color w:val="auto"/>
        </w:rPr>
      </w:pPr>
      <w:r>
        <w:rPr>
          <w:rFonts w:ascii="宋体" w:eastAsia="宋体" w:hAnsi="宋体" w:cs="宋体"/>
          <w:color w:val="auto"/>
        </w:rPr>
        <w:t>③有利于弘扬传统美德与时代新风，提升全社会的文明程度</w:t>
      </w:r>
    </w:p>
    <w:p>
      <w:pPr>
        <w:spacing w:line="360" w:lineRule="auto"/>
        <w:jc w:val="left"/>
        <w:textAlignment w:val="center"/>
        <w:rPr>
          <w:color w:val="auto"/>
        </w:rPr>
      </w:pPr>
      <w:r>
        <w:rPr>
          <w:rFonts w:ascii="宋体" w:eastAsia="宋体" w:hAnsi="宋体" w:cs="宋体"/>
          <w:color w:val="auto"/>
        </w:rPr>
        <w:t>④能够传递人问温暖，引导人们认识、追求真善美</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②③</w:t>
      </w:r>
      <w:r>
        <w:rPr>
          <w:color w:val="auto"/>
        </w:rPr>
        <w:tab/>
      </w:r>
      <w:r>
        <w:rPr>
          <w:color w:val="auto"/>
        </w:rPr>
        <w:t xml:space="preserve">C. </w:t>
      </w:r>
      <w:r>
        <w:rPr>
          <w:rFonts w:ascii="宋体" w:eastAsia="宋体" w:hAnsi="宋体" w:cs="宋体"/>
          <w:color w:val="auto"/>
        </w:rPr>
        <w:t>①④</w:t>
      </w:r>
      <w:r>
        <w:rPr>
          <w:color w:val="auto"/>
        </w:rPr>
        <w:tab/>
      </w:r>
      <w:r>
        <w:rPr>
          <w:color w:val="auto"/>
        </w:rPr>
        <w:t xml:space="preserve">D. </w:t>
      </w:r>
      <w:r>
        <w:rPr>
          <w:rFonts w:ascii="宋体" w:eastAsia="宋体" w:hAnsi="宋体" w:cs="宋体"/>
          <w:color w:val="auto"/>
        </w:rPr>
        <w:t>③④</w:t>
      </w:r>
    </w:p>
    <w:p>
      <w:pPr>
        <w:spacing w:line="360" w:lineRule="auto"/>
        <w:jc w:val="left"/>
        <w:textAlignment w:val="center"/>
        <w:rPr>
          <w:color w:val="auto"/>
        </w:rPr>
      </w:pPr>
      <w:r>
        <w:rPr>
          <w:color w:val="auto"/>
        </w:rPr>
        <w:t xml:space="preserve">7. </w:t>
      </w:r>
      <w:r>
        <w:rPr>
          <w:rFonts w:ascii="宋体" w:eastAsia="宋体" w:hAnsi="宋体" w:cs="宋体"/>
          <w:color w:val="auto"/>
        </w:rPr>
        <w:t>某校高三（</w:t>
      </w:r>
      <w:r>
        <w:rPr>
          <w:rFonts w:ascii="Times New Roman" w:eastAsia="Times New Roman" w:hAnsi="Times New Roman" w:cs="Times New Roman"/>
          <w:color w:val="auto"/>
        </w:rPr>
        <w:t>1</w:t>
      </w:r>
      <w:r>
        <w:rPr>
          <w:rFonts w:ascii="宋体" w:eastAsia="宋体" w:hAnsi="宋体" w:cs="宋体"/>
          <w:color w:val="auto"/>
        </w:rPr>
        <w:t>）班同学围绕“中国好人”召开主题班会，下列对同学们的见解进行逻辑分析正确的是（</w:t>
      </w:r>
      <w:r>
        <w:rPr>
          <w:rFonts w:ascii="Times New Roman" w:eastAsia="Times New Roman" w:hAnsi="Times New Roman" w:cs="Times New Roman"/>
          <w:color w:val="auto"/>
        </w:rPr>
        <w:t xml:space="preserve">    </w:t>
      </w:r>
      <w:r>
        <w:rPr>
          <w:rFonts w:ascii="宋体" w:eastAsia="宋体" w:hAnsi="宋体" w:cs="宋体"/>
          <w:color w:val="auto"/>
        </w:rPr>
        <w:t>）</w:t>
      </w:r>
    </w:p>
    <w:tbl>
      <w:tblPr>
        <w:tblStyle w:val="TableNormal"/>
        <w:tblW w:w="99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
      <w:tblGrid>
        <w:gridCol w:w="632"/>
        <w:gridCol w:w="4312"/>
        <w:gridCol w:w="5042"/>
      </w:tblGrid>
      <w:tr>
        <w:tblPrEx>
          <w:tblW w:w="99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Ex>
        <w:trPr>
          <w:trHeight w:val="330"/>
        </w:trPr>
        <w:tc>
          <w:tcPr>
            <w:tcW w:w="63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序号</w:t>
            </w:r>
          </w:p>
        </w:tc>
        <w:tc>
          <w:tcPr>
            <w:tcW w:w="43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见解</w:t>
            </w:r>
          </w:p>
        </w:tc>
        <w:tc>
          <w:tcPr>
            <w:tcW w:w="504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逻辑分析</w:t>
            </w:r>
          </w:p>
        </w:tc>
      </w:tr>
      <w:tr>
        <w:tblPrEx>
          <w:tblW w:w="9986" w:type="dxa"/>
          <w:tblInd w:w="0" w:type="dxa"/>
          <w:tblLayout w:type="fixed"/>
          <w:tblCellMar>
            <w:top w:w="120" w:type="dxa"/>
            <w:left w:w="120" w:type="dxa"/>
            <w:bottom w:w="120" w:type="dxa"/>
            <w:right w:w="120" w:type="dxa"/>
          </w:tblCellMar>
        </w:tblPrEx>
        <w:trPr>
          <w:trHeight w:val="330"/>
        </w:trPr>
        <w:tc>
          <w:tcPr>
            <w:tcW w:w="63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①</w:t>
            </w:r>
          </w:p>
        </w:tc>
        <w:tc>
          <w:tcPr>
            <w:tcW w:w="43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“中国好人”是成千上万普通人良德善行的缩影</w:t>
            </w:r>
          </w:p>
        </w:tc>
        <w:tc>
          <w:tcPr>
            <w:tcW w:w="504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这是一个直言判断</w:t>
            </w:r>
          </w:p>
        </w:tc>
      </w:tr>
      <w:tr>
        <w:tblPrEx>
          <w:tblW w:w="9986" w:type="dxa"/>
          <w:tblInd w:w="0" w:type="dxa"/>
          <w:tblLayout w:type="fixed"/>
          <w:tblCellMar>
            <w:top w:w="120" w:type="dxa"/>
            <w:left w:w="120" w:type="dxa"/>
            <w:bottom w:w="120" w:type="dxa"/>
            <w:right w:w="120" w:type="dxa"/>
          </w:tblCellMar>
        </w:tblPrEx>
        <w:trPr>
          <w:trHeight w:val="330"/>
        </w:trPr>
        <w:tc>
          <w:tcPr>
            <w:tcW w:w="63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②</w:t>
            </w:r>
          </w:p>
        </w:tc>
        <w:tc>
          <w:tcPr>
            <w:tcW w:w="43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“中国好人”就是我们身边的普通人</w:t>
            </w:r>
          </w:p>
        </w:tc>
        <w:tc>
          <w:tcPr>
            <w:tcW w:w="504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换位质可推出：我们身边有的普通人不都是非“中国好人”</w:t>
            </w:r>
          </w:p>
        </w:tc>
      </w:tr>
      <w:tr>
        <w:tblPrEx>
          <w:tblW w:w="9986" w:type="dxa"/>
          <w:tblInd w:w="0" w:type="dxa"/>
          <w:tblLayout w:type="fixed"/>
          <w:tblCellMar>
            <w:top w:w="120" w:type="dxa"/>
            <w:left w:w="120" w:type="dxa"/>
            <w:bottom w:w="120" w:type="dxa"/>
            <w:right w:w="120" w:type="dxa"/>
          </w:tblCellMar>
        </w:tblPrEx>
        <w:trPr>
          <w:trHeight w:val="330"/>
        </w:trPr>
        <w:tc>
          <w:tcPr>
            <w:tcW w:w="63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③</w:t>
            </w:r>
          </w:p>
        </w:tc>
        <w:tc>
          <w:tcPr>
            <w:tcW w:w="43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我认识拄着拐杖为学生“点灯”的乡村教师刘荣洪</w:t>
            </w:r>
          </w:p>
        </w:tc>
        <w:tc>
          <w:tcPr>
            <w:tcW w:w="504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这一关系判断是非对称关系</w:t>
            </w:r>
          </w:p>
        </w:tc>
      </w:tr>
      <w:tr>
        <w:tblPrEx>
          <w:tblW w:w="9986" w:type="dxa"/>
          <w:tblInd w:w="0" w:type="dxa"/>
          <w:tblLayout w:type="fixed"/>
          <w:tblCellMar>
            <w:top w:w="120" w:type="dxa"/>
            <w:left w:w="120" w:type="dxa"/>
            <w:bottom w:w="120" w:type="dxa"/>
            <w:right w:w="120" w:type="dxa"/>
          </w:tblCellMar>
        </w:tblPrEx>
        <w:trPr>
          <w:trHeight w:val="330"/>
        </w:trPr>
        <w:tc>
          <w:tcPr>
            <w:tcW w:w="63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④</w:t>
            </w:r>
          </w:p>
        </w:tc>
        <w:tc>
          <w:tcPr>
            <w:tcW w:w="43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国无德不兴，人无德不立</w:t>
            </w:r>
          </w:p>
        </w:tc>
        <w:tc>
          <w:tcPr>
            <w:tcW w:w="504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auto"/>
              </w:rPr>
            </w:pPr>
            <w:r>
              <w:rPr>
                <w:rFonts w:ascii="宋体" w:eastAsia="宋体" w:hAnsi="宋体" w:cs="宋体"/>
                <w:color w:val="auto"/>
              </w:rPr>
              <w:t>可推出：有德则国兴，有德则人立</w:t>
            </w:r>
          </w:p>
        </w:tc>
      </w:tr>
    </w:tbl>
    <w:p>
      <w:pPr>
        <w:sectPr>
          <w:headerReference w:type="even" r:id="rId27"/>
          <w:footerReference w:type="even" r:id="rId28"/>
          <w:footerReference w:type="default" r:id="rId29"/>
          <w:headerReference w:type="first" r:id="rId30"/>
          <w:footerReference w:type="first" r:id="rId31"/>
          <w:type w:val="nextPage"/>
          <w:pgSz w:w="11906" w:h="16838"/>
          <w:pgMar w:top="910" w:right="1080" w:bottom="1440" w:left="1080" w:header="152" w:footer="0" w:gutter="0"/>
          <w:pgNumType w:start="5"/>
          <w:cols w:num="1" w:space="720"/>
          <w:titlePg w:val="0"/>
          <w:docGrid w:type="lines" w:linePitch="312" w:charSpace="0"/>
        </w:sectPr>
      </w:pPr>
    </w:p>
    <w:p>
      <w:pPr>
        <w:spacing w:line="360" w:lineRule="auto"/>
        <w:jc w:val="left"/>
        <w:textAlignment w:val="center"/>
        <w:rPr>
          <w:color w:val="auto"/>
        </w:rPr>
      </w:pP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①③</w:t>
      </w:r>
      <w:r>
        <w:rPr>
          <w:color w:val="auto"/>
        </w:rPr>
        <w:tab/>
      </w:r>
      <w:r>
        <w:rPr>
          <w:color w:val="auto"/>
        </w:rPr>
        <w:t xml:space="preserve">B. </w:t>
      </w:r>
      <w:r>
        <w:rPr>
          <w:rFonts w:ascii="宋体" w:eastAsia="宋体" w:hAnsi="宋体" w:cs="宋体"/>
          <w:color w:val="auto"/>
        </w:rPr>
        <w:t>①④</w:t>
      </w:r>
      <w:r>
        <w:rPr>
          <w:color w:val="auto"/>
        </w:rPr>
        <w:tab/>
      </w:r>
      <w:r>
        <w:rPr>
          <w:color w:val="auto"/>
        </w:rPr>
        <w:t xml:space="preserve">C. </w:t>
      </w:r>
      <w:r>
        <w:rPr>
          <w:rFonts w:ascii="宋体" w:eastAsia="宋体" w:hAnsi="宋体" w:cs="宋体"/>
          <w:color w:val="auto"/>
        </w:rPr>
        <w:t>②③</w:t>
      </w:r>
      <w:r>
        <w:rPr>
          <w:color w:val="auto"/>
        </w:rPr>
        <w:tab/>
      </w:r>
      <w:r>
        <w:rPr>
          <w:color w:val="auto"/>
        </w:rPr>
        <w:t xml:space="preserve">D. </w:t>
      </w:r>
      <w:r>
        <w:rPr>
          <w:rFonts w:ascii="宋体" w:eastAsia="宋体" w:hAnsi="宋体" w:cs="宋体"/>
          <w:color w:val="auto"/>
        </w:rPr>
        <w:t>②④</w:t>
      </w:r>
    </w:p>
    <w:p>
      <w:pPr>
        <w:spacing w:line="360" w:lineRule="auto"/>
        <w:textAlignment w:val="center"/>
        <w:rPr>
          <w:color w:val="auto"/>
        </w:rPr>
      </w:pPr>
      <w:r>
        <w:rPr>
          <w:color w:val="auto"/>
        </w:rPr>
        <w:t>【答案】</w:t>
      </w:r>
      <w:r>
        <w:rPr>
          <w:color w:val="auto"/>
        </w:rPr>
        <w:t>6</w:t>
      </w:r>
      <w:r>
        <w:rPr>
          <w:color w:val="auto"/>
          <w:position w:val="-22"/>
        </w:rPr>
        <w:drawing>
          <wp:inline distT="0" distB="0" distL="114300" distR="114300">
            <wp:extent cx="31750" cy="88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32"/>
                    <a:stretch>
                      <a:fillRect/>
                    </a:stretch>
                  </pic:blipFill>
                  <pic:spPr>
                    <a:xfrm>
                      <a:off x="0" y="0"/>
                      <a:ext cx="31750" cy="88900"/>
                    </a:xfrm>
                    <a:prstGeom prst="rect">
                      <a:avLst/>
                    </a:prstGeom>
                  </pic:spPr>
                </pic:pic>
              </a:graphicData>
            </a:graphic>
          </wp:inline>
        </w:drawing>
      </w:r>
      <w:r>
        <w:rPr>
          <w:color w:val="auto"/>
        </w:rPr>
        <w:t xml:space="preserve"> D    7. A</w:t>
      </w:r>
    </w:p>
    <w:p>
      <w:pPr>
        <w:spacing w:line="360" w:lineRule="auto"/>
        <w:textAlignment w:val="center"/>
        <w:rPr>
          <w:color w:val="auto"/>
        </w:rPr>
      </w:pPr>
      <w:r>
        <w:rPr>
          <w:color w:val="auto"/>
        </w:rPr>
        <w:t>【解析】</w:t>
      </w:r>
    </w:p>
    <w:p>
      <w:pPr>
        <w:spacing w:line="360" w:lineRule="auto"/>
        <w:textAlignment w:val="center"/>
        <w:rPr>
          <w:color w:val="auto"/>
        </w:rPr>
      </w:pPr>
      <w:r>
        <w:rPr>
          <w:color w:val="auto"/>
        </w:rPr>
        <w:t>【6题详解】</w:t>
      </w:r>
    </w:p>
    <w:p>
      <w:pPr>
        <w:spacing w:line="360" w:lineRule="auto"/>
        <w:jc w:val="left"/>
        <w:textAlignment w:val="center"/>
        <w:rPr>
          <w:color w:val="auto"/>
        </w:rPr>
      </w:pPr>
      <w:r>
        <w:rPr>
          <w:rFonts w:ascii="宋体" w:eastAsia="宋体" w:hAnsi="宋体" w:cs="宋体"/>
          <w:color w:val="auto"/>
        </w:rPr>
        <w:t>①：要运用信息革命成果，推动媒体融合向纵深发展，做大做强主流舆论，巩固全党全国人民团结奋斗的共同思想基础，此选项不是评选“中国好人”的目的，①不符合题意。</w:t>
      </w:r>
    </w:p>
    <w:p>
      <w:pPr>
        <w:spacing w:line="360" w:lineRule="auto"/>
        <w:jc w:val="left"/>
        <w:textAlignment w:val="center"/>
        <w:rPr>
          <w:color w:val="auto"/>
        </w:rPr>
      </w:pPr>
      <w:r>
        <w:rPr>
          <w:rFonts w:ascii="宋体" w:eastAsia="宋体" w:hAnsi="宋体" w:cs="宋体"/>
          <w:color w:val="auto"/>
        </w:rPr>
        <w:t>②：评选“中国好人”未涉及社会效益与经济效益的关系，②不符合题意。</w:t>
      </w:r>
    </w:p>
    <w:p>
      <w:pPr>
        <w:spacing w:line="360" w:lineRule="auto"/>
        <w:jc w:val="left"/>
        <w:textAlignment w:val="center"/>
        <w:rPr>
          <w:color w:val="auto"/>
        </w:rPr>
      </w:pPr>
      <w:r>
        <w:rPr>
          <w:rFonts w:ascii="宋体" w:eastAsia="宋体" w:hAnsi="宋体" w:cs="宋体"/>
          <w:color w:val="auto"/>
        </w:rPr>
        <w:t>③④：“好人效应”在全社会持续扩散，引发善行绵延不绝，越来越多的人崇尚善德义举，将“好人盆景”演绎成了“道德风景”。评选“中国好人”有利于弘扬传统美德与时代新风，提升全社会的文明程度；同时能够传递人问温暖，引导人们认识、追求真善美，③④符合题意。</w:t>
      </w:r>
    </w:p>
    <w:p>
      <w:pPr>
        <w:spacing w:line="360" w:lineRule="auto"/>
        <w:jc w:val="left"/>
        <w:textAlignment w:val="center"/>
        <w:rPr>
          <w:color w:val="auto"/>
        </w:rPr>
      </w:pPr>
      <w:r>
        <w:rPr>
          <w:rFonts w:ascii="宋体" w:eastAsia="宋体" w:hAnsi="宋体" w:cs="宋体"/>
          <w:color w:val="auto"/>
        </w:rPr>
        <w:t>故本题选</w:t>
      </w:r>
      <w:r>
        <w:rPr>
          <w:rFonts w:ascii="Times New Roman" w:eastAsia="Times New Roman" w:hAnsi="Times New Roman" w:cs="Times New Roman"/>
          <w:color w:val="auto"/>
        </w:rPr>
        <w:t>D。</w:t>
      </w:r>
    </w:p>
    <w:p>
      <w:pPr>
        <w:spacing w:line="360" w:lineRule="auto"/>
        <w:jc w:val="left"/>
        <w:textAlignment w:val="center"/>
        <w:rPr>
          <w:color w:val="auto"/>
        </w:rPr>
      </w:pPr>
      <w:r>
        <w:rPr>
          <w:color w:val="auto"/>
        </w:rPr>
        <w:t>【7题详解】</w:t>
      </w:r>
    </w:p>
    <w:p>
      <w:pPr>
        <w:spacing w:line="360" w:lineRule="auto"/>
        <w:jc w:val="left"/>
        <w:textAlignment w:val="center"/>
        <w:rPr>
          <w:color w:val="auto"/>
        </w:rPr>
      </w:pPr>
      <w:r>
        <w:rPr>
          <w:rFonts w:ascii="宋体" w:eastAsia="宋体" w:hAnsi="宋体" w:cs="宋体"/>
          <w:color w:val="auto"/>
        </w:rPr>
        <w:t>①：“中国好人”是成千上万普通人良德善行的缩影，断定了“中国好人”的性质，是一个性质判断，又称直言判断，①说法正确。</w:t>
      </w:r>
    </w:p>
    <w:p>
      <w:pPr>
        <w:spacing w:line="360" w:lineRule="auto"/>
        <w:jc w:val="left"/>
        <w:textAlignment w:val="center"/>
        <w:rPr>
          <w:color w:val="auto"/>
        </w:rPr>
      </w:pPr>
      <w:r>
        <w:rPr>
          <w:rFonts w:ascii="宋体" w:eastAsia="宋体" w:hAnsi="宋体" w:cs="宋体"/>
          <w:color w:val="auto"/>
        </w:rPr>
        <w:t>②：“中国好人”就是我们身边的普通人，换位得到我们身边有的普通人都是“中国好人”，在此基础上换质可推出：我们身边有的普通人都不是非“中国好人”，②说法错误。</w:t>
      </w:r>
    </w:p>
    <w:p>
      <w:pPr>
        <w:spacing w:line="360" w:lineRule="auto"/>
        <w:jc w:val="left"/>
        <w:textAlignment w:val="center"/>
        <w:rPr>
          <w:color w:val="auto"/>
        </w:rPr>
      </w:pPr>
      <w:r>
        <w:rPr>
          <w:rFonts w:ascii="宋体" w:eastAsia="宋体" w:hAnsi="宋体" w:cs="宋体"/>
          <w:color w:val="auto"/>
        </w:rPr>
        <w:t>③：我认识拄着拐杖为学生“点灯”的乡村教师刘荣洪，乡村教师刘荣洪可能认识我，也可能不认识我，因此这一关系判断是非对称关系，③说法正确。</w:t>
      </w:r>
    </w:p>
    <w:p>
      <w:pPr>
        <w:spacing w:line="360" w:lineRule="auto"/>
        <w:jc w:val="left"/>
        <w:textAlignment w:val="center"/>
        <w:rPr>
          <w:color w:val="auto"/>
        </w:rPr>
      </w:pPr>
      <w:r>
        <w:rPr>
          <w:rFonts w:ascii="宋体" w:eastAsia="宋体" w:hAnsi="宋体" w:cs="宋体"/>
          <w:color w:val="auto"/>
        </w:rPr>
        <w:t>④：根据必要条件假言判断的定义：如果没有前一种事物情况就一定没有后一种事物情况，前一种情况就是后一种情况的必要条件。“有德”是“国兴”的必要条件，“有德”是“人立”的必要条件；有德则国兴，有德则人立，表示的是“有德”是“国兴”的充分条件，“有德”是“人立”的充分条件，④说法错误。</w:t>
      </w:r>
    </w:p>
    <w:p>
      <w:pPr>
        <w:spacing w:line="360" w:lineRule="auto"/>
        <w:jc w:val="left"/>
        <w:textAlignment w:val="center"/>
        <w:rPr>
          <w:color w:val="auto"/>
        </w:rPr>
      </w:pPr>
      <w:r>
        <w:rPr>
          <w:rFonts w:ascii="宋体" w:eastAsia="宋体" w:hAnsi="宋体" w:cs="宋体"/>
          <w:color w:val="auto"/>
        </w:rPr>
        <w:t>故本题选</w:t>
      </w:r>
      <w:r>
        <w:rPr>
          <w:rFonts w:ascii="Times New Roman" w:eastAsia="Times New Roman" w:hAnsi="Times New Roman" w:cs="Times New Roman"/>
          <w:color w:val="auto"/>
        </w:rPr>
        <w:t>A。</w:t>
      </w:r>
    </w:p>
    <w:p>
      <w:pPr>
        <w:spacing w:line="360" w:lineRule="auto"/>
        <w:jc w:val="both"/>
        <w:textAlignment w:val="center"/>
        <w:rPr>
          <w:color w:val="auto"/>
        </w:rPr>
        <w:sectPr>
          <w:headerReference w:type="even" r:id="rId33"/>
          <w:footerReference w:type="even" r:id="rId34"/>
          <w:footerReference w:type="default" r:id="rId35"/>
          <w:headerReference w:type="first" r:id="rId36"/>
          <w:footerReference w:type="first" r:id="rId37"/>
          <w:type w:val="nextPage"/>
          <w:pgSz w:w="11906" w:h="16838"/>
          <w:pgMar w:top="910" w:right="1080" w:bottom="1440" w:left="1080" w:header="152" w:footer="0" w:gutter="0"/>
          <w:pgNumType w:start="6"/>
          <w:cols w:num="1" w:space="720"/>
          <w:titlePg w:val="0"/>
          <w:docGrid w:type="lines" w:linePitch="312" w:charSpace="0"/>
        </w:sectPr>
      </w:pPr>
      <w:r>
        <w:rPr>
          <w:color w:val="auto"/>
        </w:rPr>
        <w:t xml:space="preserve">8. </w:t>
      </w:r>
      <w:r>
        <w:rPr>
          <w:rFonts w:ascii="宋体" w:eastAsia="宋体" w:hAnsi="宋体" w:cs="宋体"/>
          <w:color w:val="auto"/>
        </w:rPr>
        <w:t>日本政府曾提出将核污水排到地底填埋，但会污染地下水，最后选择直接排入大海。</w:t>
      </w:r>
      <w:r>
        <w:rPr>
          <w:rFonts w:ascii="Times New Roman" w:eastAsia="Times New Roman" w:hAnsi="Times New Roman" w:cs="Times New Roman"/>
          <w:color w:val="auto"/>
        </w:rPr>
        <w:t>2023</w:t>
      </w:r>
      <w:r>
        <w:rPr>
          <w:rFonts w:ascii="宋体" w:eastAsia="宋体" w:hAnsi="宋体" w:cs="宋体"/>
          <w:color w:val="auto"/>
        </w:rPr>
        <w:t>年</w:t>
      </w:r>
      <w:r>
        <w:rPr>
          <w:rFonts w:ascii="Times New Roman" w:eastAsia="Times New Roman" w:hAnsi="Times New Roman" w:cs="Times New Roman"/>
          <w:color w:val="auto"/>
        </w:rPr>
        <w:t>8</w:t>
      </w:r>
      <w:r>
        <w:rPr>
          <w:rFonts w:ascii="宋体" w:eastAsia="宋体" w:hAnsi="宋体" w:cs="宋体"/>
          <w:color w:val="auto"/>
        </w:rPr>
        <w:t>月</w:t>
      </w:r>
      <w:r>
        <w:rPr>
          <w:rFonts w:ascii="Times New Roman" w:eastAsia="Times New Roman" w:hAnsi="Times New Roman" w:cs="Times New Roman"/>
          <w:color w:val="auto"/>
        </w:rPr>
        <w:t>24</w:t>
      </w:r>
    </w:p>
    <w:p>
      <w:pPr>
        <w:spacing w:line="360" w:lineRule="auto"/>
        <w:jc w:val="both"/>
        <w:textAlignment w:val="center"/>
        <w:rPr>
          <w:color w:val="auto"/>
        </w:rPr>
      </w:pPr>
      <w:r>
        <w:rPr>
          <w:rFonts w:ascii="宋体" w:eastAsia="宋体" w:hAnsi="宋体" w:cs="宋体"/>
          <w:color w:val="auto"/>
        </w:rPr>
        <w:t>日，在反对声中正式启动福岛第一核电站核污水排海，实际排放的核污水中含有超过</w:t>
      </w:r>
      <w:r>
        <w:rPr>
          <w:rFonts w:ascii="Times New Roman" w:eastAsia="Times New Roman" w:hAnsi="Times New Roman" w:cs="Times New Roman"/>
          <w:color w:val="auto"/>
        </w:rPr>
        <w:t>60</w:t>
      </w:r>
      <w:r>
        <w:rPr>
          <w:rFonts w:ascii="宋体" w:eastAsia="宋体" w:hAnsi="宋体" w:cs="宋体"/>
          <w:color w:val="auto"/>
        </w:rPr>
        <w:t>种放射性核素。但日本官方辩称经过处理的核污水已变成了“核废水”，且其中的放射性物质氚的含量低于世界卫生组织标准，排放是安全的。日本官方的言行所犯的逻辑错误在于（</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both"/>
        <w:textAlignment w:val="center"/>
        <w:rPr>
          <w:color w:val="auto"/>
        </w:rPr>
      </w:pPr>
      <w:r>
        <w:rPr>
          <w:rFonts w:ascii="宋体" w:eastAsia="宋体" w:hAnsi="宋体" w:cs="宋体"/>
          <w:color w:val="auto"/>
        </w:rPr>
        <w:t>①故意混淆核污水和核废水的概念，不符合思维的明确性要求</w:t>
      </w:r>
    </w:p>
    <w:p>
      <w:pPr>
        <w:spacing w:line="360" w:lineRule="auto"/>
        <w:jc w:val="both"/>
        <w:textAlignment w:val="center"/>
        <w:rPr>
          <w:color w:val="auto"/>
        </w:rPr>
      </w:pPr>
      <w:r>
        <w:rPr>
          <w:rFonts w:ascii="宋体" w:eastAsia="宋体" w:hAnsi="宋体" w:cs="宋体"/>
          <w:color w:val="auto"/>
        </w:rPr>
        <w:t>②氚含量达标就认为核污水排放是安全的，犯了“轻率概括”错误</w:t>
      </w:r>
    </w:p>
    <w:p>
      <w:pPr>
        <w:spacing w:line="360" w:lineRule="auto"/>
        <w:jc w:val="both"/>
        <w:textAlignment w:val="center"/>
        <w:rPr>
          <w:color w:val="auto"/>
        </w:rPr>
      </w:pPr>
      <w:r>
        <w:rPr>
          <w:rFonts w:ascii="宋体" w:eastAsia="宋体" w:hAnsi="宋体" w:cs="宋体"/>
          <w:color w:val="auto"/>
        </w:rPr>
        <w:t>③没有正确划分“放射性物质”的外延，属于“划分标准不一”</w:t>
      </w:r>
    </w:p>
    <w:p>
      <w:pPr>
        <w:spacing w:line="360" w:lineRule="auto"/>
        <w:jc w:val="both"/>
        <w:textAlignment w:val="center"/>
        <w:rPr>
          <w:color w:val="auto"/>
        </w:rPr>
      </w:pPr>
      <w:r>
        <w:rPr>
          <w:rFonts w:ascii="宋体" w:eastAsia="宋体" w:hAnsi="宋体" w:cs="宋体"/>
          <w:color w:val="auto"/>
        </w:rPr>
        <w:t>④既声称“核废水”是安全的，却不进行地底填埋而选择排海，违背了矛盾律</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①③</w:t>
      </w:r>
      <w:r>
        <w:rPr>
          <w:color w:val="auto"/>
        </w:rPr>
        <w:tab/>
      </w:r>
      <w:r>
        <w:rPr>
          <w:color w:val="auto"/>
        </w:rPr>
        <w:t xml:space="preserve">B. </w:t>
      </w:r>
      <w:r>
        <w:rPr>
          <w:rFonts w:ascii="宋体" w:eastAsia="宋体" w:hAnsi="宋体" w:cs="宋体"/>
          <w:color w:val="auto"/>
        </w:rPr>
        <w:t>①④</w:t>
      </w:r>
      <w:r>
        <w:rPr>
          <w:color w:val="auto"/>
        </w:rPr>
        <w:tab/>
      </w:r>
      <w:r>
        <w:rPr>
          <w:color w:val="auto"/>
        </w:rPr>
        <w:t xml:space="preserve">C. </w:t>
      </w:r>
      <w:r>
        <w:rPr>
          <w:rFonts w:ascii="宋体" w:eastAsia="宋体" w:hAnsi="宋体" w:cs="宋体"/>
          <w:color w:val="auto"/>
        </w:rPr>
        <w:t>②③</w:t>
      </w:r>
      <w:r>
        <w:rPr>
          <w:color w:val="auto"/>
        </w:rPr>
        <w:tab/>
      </w:r>
      <w:r>
        <w:rPr>
          <w:color w:val="auto"/>
        </w:rPr>
        <w:t xml:space="preserve">D. </w:t>
      </w:r>
      <w:r>
        <w:rPr>
          <w:rFonts w:ascii="宋体" w:eastAsia="宋体" w:hAnsi="宋体" w:cs="宋体"/>
          <w:color w:val="auto"/>
        </w:rPr>
        <w:t>②④</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②：只根据一两件事实材料就简单地得出一般性结论，还认为结论一定可靠，这样地不完全归纳推理犯有“轻率概括”的逻辑错误。福岛第一核电站核污水排海，实际排放的核污水中含有超过60种放射性核素，且其中的放射性物质氚的含量低于世界卫生组织标准，排放是安全的，日本官方的言行犯了“轻率概括”错误，②入选。</w:t>
      </w:r>
    </w:p>
    <w:p>
      <w:pPr>
        <w:spacing w:line="360" w:lineRule="auto"/>
        <w:jc w:val="left"/>
        <w:textAlignment w:val="center"/>
        <w:rPr>
          <w:color w:val="auto"/>
        </w:rPr>
      </w:pPr>
      <w:r>
        <w:rPr>
          <w:rFonts w:ascii="宋体" w:eastAsia="宋体" w:hAnsi="宋体" w:cs="宋体"/>
          <w:color w:val="auto"/>
        </w:rPr>
        <w:t>④：合乎逻辑的思维是具有一致性的思维，在同一时间、从同一方面、对同一对象所形成的论断“A”和它的否定论断“非A”不能同真，其中必有一假。日本政府既声称“核废水”是安全的，曾提出将核污水排到地底填埋，但会污染地下水，最后选择直接排入大海。这种既肯定核废水是安全的，“没有污染”，又肯定核废水“无污染”的逻辑，违背了矛盾律，犯了“自相矛盾”的逻辑错误，违背了矛盾律，④入选。</w:t>
      </w:r>
    </w:p>
    <w:p>
      <w:pPr>
        <w:spacing w:line="360" w:lineRule="auto"/>
        <w:jc w:val="left"/>
        <w:textAlignment w:val="center"/>
        <w:rPr>
          <w:color w:val="auto"/>
        </w:rPr>
      </w:pPr>
      <w:r>
        <w:rPr>
          <w:rFonts w:ascii="宋体" w:eastAsia="宋体" w:hAnsi="宋体" w:cs="宋体"/>
          <w:color w:val="auto"/>
        </w:rPr>
        <w:t>①：故意混淆核污水和核废水的概念，违反了同一律，不符合思维的确定性的要求，①错误，不选。</w:t>
      </w:r>
    </w:p>
    <w:p>
      <w:pPr>
        <w:spacing w:line="360" w:lineRule="auto"/>
        <w:jc w:val="left"/>
        <w:textAlignment w:val="center"/>
        <w:rPr>
          <w:color w:val="auto"/>
        </w:rPr>
      </w:pPr>
      <w:r>
        <w:rPr>
          <w:rFonts w:ascii="宋体" w:eastAsia="宋体" w:hAnsi="宋体" w:cs="宋体"/>
          <w:color w:val="auto"/>
        </w:rPr>
        <w:t>③：在同一次划分中，只能用同一个标准，否则，就会犯“划分标准不一”的逻辑错误，实际排放的核污水中含有超过60种放射性核素正确划分“放射性物质”的外延，不属于“划分标准不一”，③错误，不选。</w:t>
      </w:r>
    </w:p>
    <w:p>
      <w:pPr>
        <w:spacing w:line="360" w:lineRule="auto"/>
        <w:jc w:val="left"/>
        <w:textAlignment w:val="center"/>
        <w:rPr>
          <w:color w:val="auto"/>
        </w:rPr>
      </w:pPr>
      <w:r>
        <w:rPr>
          <w:color w:val="auto"/>
        </w:rPr>
        <w:t>故本题选D。</w:t>
      </w:r>
    </w:p>
    <w:p>
      <w:pPr>
        <w:spacing w:line="360" w:lineRule="auto"/>
        <w:jc w:val="left"/>
        <w:textAlignment w:val="center"/>
        <w:rPr>
          <w:color w:val="auto"/>
        </w:rPr>
        <w:sectPr>
          <w:headerReference w:type="even" r:id="rId38"/>
          <w:footerReference w:type="even" r:id="rId39"/>
          <w:footerReference w:type="default" r:id="rId40"/>
          <w:headerReference w:type="first" r:id="rId41"/>
          <w:footerReference w:type="first" r:id="rId42"/>
          <w:type w:val="nextPage"/>
          <w:pgSz w:w="11906" w:h="16838"/>
          <w:pgMar w:top="910" w:right="1080" w:bottom="1440" w:left="1080" w:header="152" w:footer="0" w:gutter="0"/>
          <w:pgNumType w:start="7"/>
          <w:cols w:num="1" w:space="720"/>
          <w:titlePg w:val="0"/>
          <w:docGrid w:type="lines" w:linePitch="312" w:charSpace="0"/>
        </w:sectPr>
      </w:pPr>
      <w:r>
        <w:rPr>
          <w:color w:val="auto"/>
        </w:rPr>
        <w:t xml:space="preserve">9. </w:t>
      </w:r>
      <w:r>
        <w:rPr>
          <w:rFonts w:ascii="宋体" w:eastAsia="宋体" w:hAnsi="宋体" w:cs="宋体"/>
          <w:color w:val="auto"/>
        </w:rPr>
        <w:t>下图漫画《找对方法》给我们的启迪是（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2295525" cy="2000250"/>
            <wp:effectExtent l="0" t="0" r="5715" b="1143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3"/>
                    <a:stretch>
                      <a:fillRect/>
                    </a:stretch>
                  </pic:blipFill>
                  <pic:spPr>
                    <a:xfrm>
                      <a:off x="0" y="0"/>
                      <a:ext cx="2295525" cy="2000250"/>
                    </a:xfrm>
                    <a:prstGeom prst="rect">
                      <a:avLst/>
                    </a:prstGeom>
                  </pic:spPr>
                </pic:pic>
              </a:graphicData>
            </a:graphic>
          </wp:inline>
        </w:drawing>
      </w:r>
    </w:p>
    <w:p>
      <w:pPr>
        <w:spacing w:line="360" w:lineRule="auto"/>
        <w:jc w:val="left"/>
        <w:textAlignment w:val="center"/>
        <w:rPr>
          <w:color w:val="auto"/>
        </w:rPr>
      </w:pPr>
      <w:r>
        <w:rPr>
          <w:rFonts w:ascii="宋体" w:eastAsia="宋体" w:hAnsi="宋体" w:cs="宋体"/>
          <w:color w:val="auto"/>
        </w:rPr>
        <w:t>①正确的思维在实践中产生，又反作用于实践，能帮助人们实现预期的目的</w:t>
      </w:r>
    </w:p>
    <w:p>
      <w:pPr>
        <w:spacing w:line="360" w:lineRule="auto"/>
        <w:jc w:val="left"/>
        <w:textAlignment w:val="center"/>
        <w:rPr>
          <w:color w:val="auto"/>
        </w:rPr>
      </w:pPr>
      <w:r>
        <w:rPr>
          <w:rFonts w:ascii="宋体" w:eastAsia="宋体" w:hAnsi="宋体" w:cs="宋体"/>
          <w:color w:val="auto"/>
        </w:rPr>
        <w:t>②从思维反映认识对象的方式看，运用联想、想象可以揭示事物的本质和规律</w:t>
      </w:r>
    </w:p>
    <w:p>
      <w:pPr>
        <w:spacing w:line="360" w:lineRule="auto"/>
        <w:jc w:val="left"/>
        <w:textAlignment w:val="center"/>
        <w:rPr>
          <w:color w:val="auto"/>
        </w:rPr>
      </w:pPr>
      <w:r>
        <w:rPr>
          <w:rFonts w:ascii="宋体" w:eastAsia="宋体" w:hAnsi="宋体" w:cs="宋体"/>
          <w:color w:val="auto"/>
        </w:rPr>
        <w:t>③对已有的有关事物之间因果关系的认识作交换性思考，能够获得新认识</w:t>
      </w:r>
    </w:p>
    <w:p>
      <w:pPr>
        <w:spacing w:line="360" w:lineRule="auto"/>
        <w:jc w:val="left"/>
        <w:textAlignment w:val="center"/>
        <w:rPr>
          <w:color w:val="auto"/>
        </w:rPr>
      </w:pPr>
      <w:r>
        <w:rPr>
          <w:rFonts w:ascii="宋体" w:eastAsia="宋体" w:hAnsi="宋体" w:cs="宋体"/>
          <w:color w:val="auto"/>
        </w:rPr>
        <w:t>④创新思维的思路具有多向性，应突破陈规、另辟蹊径想问题</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②③</w:t>
      </w:r>
      <w:r>
        <w:rPr>
          <w:color w:val="auto"/>
        </w:rPr>
        <w:tab/>
      </w:r>
      <w:r>
        <w:rPr>
          <w:color w:val="auto"/>
        </w:rPr>
        <w:t xml:space="preserve">C. </w:t>
      </w:r>
      <w:r>
        <w:rPr>
          <w:rFonts w:ascii="宋体" w:eastAsia="宋体" w:hAnsi="宋体" w:cs="宋体"/>
          <w:color w:val="auto"/>
        </w:rPr>
        <w:t>①④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①④：漫画《找对方法》启示我们要运用正确的思维解决问题，正确的思维在实践中产生，又反作用于实践，能帮助人们实现预期的目的；创新思维的思路具有多向性，应突破陈规、另辟蹊径想问题，①④符合题意。</w:t>
      </w:r>
    </w:p>
    <w:p>
      <w:pPr>
        <w:spacing w:line="360" w:lineRule="auto"/>
        <w:jc w:val="left"/>
        <w:textAlignment w:val="center"/>
        <w:rPr>
          <w:color w:val="auto"/>
        </w:rPr>
      </w:pPr>
      <w:r>
        <w:rPr>
          <w:rFonts w:ascii="宋体" w:eastAsia="宋体" w:hAnsi="宋体" w:cs="宋体"/>
          <w:color w:val="auto"/>
        </w:rPr>
        <w:t>②：从思维反映认识对象的方式看，可以分为辩证思维和形而上学思维；</w:t>
      </w:r>
      <w:r>
        <w:rPr>
          <w:color w:val="auto"/>
        </w:rPr>
        <w:t>根据思维运行的基本单元的不同，可以将思维分为抽象思维和 形象思维，</w:t>
      </w:r>
      <w:r>
        <w:rPr>
          <w:rFonts w:ascii="宋体" w:eastAsia="宋体" w:hAnsi="宋体" w:cs="宋体"/>
          <w:color w:val="auto"/>
        </w:rPr>
        <w:t>联想和想象属于形象思维，可以触及事物的本质和规律，②说法错误。</w:t>
      </w:r>
    </w:p>
    <w:p>
      <w:pPr>
        <w:spacing w:line="360" w:lineRule="auto"/>
        <w:jc w:val="left"/>
        <w:textAlignment w:val="center"/>
        <w:rPr>
          <w:color w:val="auto"/>
        </w:rPr>
      </w:pPr>
      <w:r>
        <w:rPr>
          <w:rFonts w:ascii="宋体" w:eastAsia="宋体" w:hAnsi="宋体" w:cs="宋体"/>
          <w:color w:val="auto"/>
        </w:rPr>
        <w:t>③：材料未涉及逆向思维，对已有的有关事物之间因果关系的认识作交换性思考，③不符合题意。</w:t>
      </w:r>
    </w:p>
    <w:p>
      <w:pPr>
        <w:spacing w:line="360" w:lineRule="auto"/>
        <w:jc w:val="left"/>
        <w:textAlignment w:val="center"/>
        <w:rPr>
          <w:color w:val="auto"/>
        </w:rPr>
      </w:pPr>
      <w:r>
        <w:rPr>
          <w:rFonts w:ascii="宋体" w:eastAsia="宋体" w:hAnsi="宋体" w:cs="宋体"/>
          <w:color w:val="auto"/>
        </w:rPr>
        <w:t>故本题选C。</w:t>
      </w:r>
    </w:p>
    <w:p>
      <w:pPr>
        <w:spacing w:line="360" w:lineRule="auto"/>
        <w:jc w:val="left"/>
        <w:textAlignment w:val="center"/>
        <w:rPr>
          <w:color w:val="auto"/>
        </w:rPr>
      </w:pPr>
      <w:r>
        <w:rPr>
          <w:color w:val="auto"/>
        </w:rPr>
        <w:t xml:space="preserve">10. </w:t>
      </w:r>
      <w:r>
        <w:rPr>
          <w:rFonts w:ascii="宋体" w:eastAsia="宋体" w:hAnsi="宋体" w:cs="宋体"/>
          <w:color w:val="auto"/>
        </w:rPr>
        <w:t>长三角一体化发展要取得新的重大突破，必须把握好“硬件”与“软件”的关系，既从交通运输、基础设施等方面筑牢互联互通基础，也从体制机制上打破地区分割和行政壁垒。据此，以下推断必然为真的是（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sectPr>
          <w:headerReference w:type="even" r:id="rId44"/>
          <w:footerReference w:type="even" r:id="rId45"/>
          <w:footerReference w:type="default" r:id="rId46"/>
          <w:headerReference w:type="first" r:id="rId47"/>
          <w:footerReference w:type="first" r:id="rId48"/>
          <w:type w:val="nextPage"/>
          <w:pgSz w:w="11906" w:h="16838"/>
          <w:pgMar w:top="910" w:right="1080" w:bottom="1440" w:left="1080" w:header="152" w:footer="0" w:gutter="0"/>
          <w:pgNumType w:start="8"/>
          <w:cols w:num="1" w:space="720"/>
          <w:titlePg w:val="0"/>
          <w:docGrid w:type="lines" w:linePitch="312" w:charSpace="0"/>
        </w:sectPr>
      </w:pPr>
      <w:r>
        <w:rPr>
          <w:rFonts w:ascii="宋体" w:eastAsia="宋体" w:hAnsi="宋体" w:cs="宋体"/>
          <w:color w:val="auto"/>
        </w:rPr>
        <w:t>①把握好“硬件”与“软件”的关系，长三角一体化发展就会取得新的重大突破</w:t>
      </w:r>
    </w:p>
    <w:p>
      <w:pPr>
        <w:spacing w:line="360" w:lineRule="auto"/>
        <w:jc w:val="left"/>
        <w:textAlignment w:val="center"/>
        <w:rPr>
          <w:color w:val="auto"/>
        </w:rPr>
      </w:pPr>
      <w:r>
        <w:rPr>
          <w:rFonts w:ascii="宋体" w:eastAsia="宋体" w:hAnsi="宋体" w:cs="宋体"/>
          <w:color w:val="auto"/>
        </w:rPr>
        <w:t>②体制机制上没有打破地区分割和行政壁垒，长三角一体化发展就不会取得新突破</w:t>
      </w:r>
    </w:p>
    <w:p>
      <w:pPr>
        <w:spacing w:line="360" w:lineRule="auto"/>
        <w:jc w:val="left"/>
        <w:textAlignment w:val="center"/>
        <w:rPr>
          <w:color w:val="auto"/>
        </w:rPr>
      </w:pPr>
      <w:r>
        <w:rPr>
          <w:rFonts w:ascii="宋体" w:eastAsia="宋体" w:hAnsi="宋体" w:cs="宋体"/>
          <w:color w:val="auto"/>
        </w:rPr>
        <w:t>③长三角一体化发展取得了重大突破，则必然从交通运输、基础设施等方面筑牢了互联互通基础</w:t>
      </w:r>
    </w:p>
    <w:p>
      <w:pPr>
        <w:spacing w:line="360" w:lineRule="auto"/>
        <w:jc w:val="left"/>
        <w:textAlignment w:val="center"/>
        <w:rPr>
          <w:color w:val="auto"/>
        </w:rPr>
      </w:pPr>
      <w:r>
        <w:rPr>
          <w:rFonts w:ascii="宋体" w:eastAsia="宋体" w:hAnsi="宋体" w:cs="宋体"/>
          <w:color w:val="auto"/>
        </w:rPr>
        <w:t>④长三角一体化发展没有取得新突破那就是没有筑牢互联互通基础，也没有打破地区分割和行政壁垒</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②③</w:t>
      </w:r>
      <w:r>
        <w:rPr>
          <w:color w:val="auto"/>
        </w:rPr>
        <w:tab/>
      </w:r>
      <w:r>
        <w:rPr>
          <w:color w:val="auto"/>
        </w:rPr>
        <w:t xml:space="preserve">C. </w:t>
      </w:r>
      <w:r>
        <w:rPr>
          <w:rFonts w:ascii="宋体" w:eastAsia="宋体" w:hAnsi="宋体" w:cs="宋体"/>
          <w:color w:val="auto"/>
        </w:rPr>
        <w:t>①④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长三角一体化发展要取得新的重大突破，必须把握好“硬件”与“软件”的关系。把握好“硬件”与“软件”的关系是“长三角一体化发展要取得新的重大突破”是的必要条件。必要条件假言推理的有效式是否定前件式和肯定后件式。“既从交通运输、基础设施等方面筑牢互联互通基础，也从体制机制上打破地区分割和行政壁垒”是一个联言判断，如果有一个联言支是假的，这个联言判断就是假的。</w:t>
      </w:r>
    </w:p>
    <w:p>
      <w:pPr>
        <w:spacing w:line="360" w:lineRule="auto"/>
        <w:jc w:val="left"/>
        <w:textAlignment w:val="center"/>
        <w:rPr>
          <w:color w:val="auto"/>
        </w:rPr>
      </w:pPr>
      <w:r>
        <w:rPr>
          <w:rFonts w:ascii="宋体" w:eastAsia="宋体" w:hAnsi="宋体" w:cs="宋体"/>
          <w:color w:val="auto"/>
        </w:rPr>
        <w:t>①：此选项是肯定前件式，属于必要条件假言推理的无效式，①错误。</w:t>
      </w:r>
    </w:p>
    <w:p>
      <w:pPr>
        <w:spacing w:line="360" w:lineRule="auto"/>
        <w:jc w:val="left"/>
        <w:textAlignment w:val="center"/>
        <w:rPr>
          <w:color w:val="auto"/>
        </w:rPr>
      </w:pPr>
      <w:r>
        <w:rPr>
          <w:rFonts w:ascii="宋体" w:eastAsia="宋体" w:hAnsi="宋体" w:cs="宋体"/>
          <w:color w:val="auto"/>
        </w:rPr>
        <w:t>②：此选项是否定前件式，属于必要条件假言推理的有效式，②正确。</w:t>
      </w:r>
    </w:p>
    <w:p>
      <w:pPr>
        <w:spacing w:line="360" w:lineRule="auto"/>
        <w:jc w:val="left"/>
        <w:textAlignment w:val="center"/>
        <w:rPr>
          <w:color w:val="auto"/>
        </w:rPr>
      </w:pPr>
      <w:r>
        <w:rPr>
          <w:rFonts w:ascii="宋体" w:eastAsia="宋体" w:hAnsi="宋体" w:cs="宋体"/>
          <w:color w:val="auto"/>
        </w:rPr>
        <w:t>③：此选项是肯定后件式，属于必要条件假言推理的有效式，③正确。</w:t>
      </w:r>
    </w:p>
    <w:p>
      <w:pPr>
        <w:spacing w:line="360" w:lineRule="auto"/>
        <w:jc w:val="left"/>
        <w:textAlignment w:val="center"/>
        <w:rPr>
          <w:color w:val="auto"/>
        </w:rPr>
      </w:pPr>
      <w:r>
        <w:rPr>
          <w:rFonts w:ascii="宋体" w:eastAsia="宋体" w:hAnsi="宋体" w:cs="宋体"/>
          <w:color w:val="auto"/>
        </w:rPr>
        <w:t>④“筑牢互联互通基础”和“打破地区分割和行政壁垒”至少有一个没有完成，长三角一体化发展就会没有取得新突破，④说法错误。</w:t>
      </w:r>
    </w:p>
    <w:p>
      <w:pPr>
        <w:spacing w:line="360" w:lineRule="auto"/>
        <w:jc w:val="left"/>
        <w:textAlignment w:val="center"/>
        <w:rPr>
          <w:color w:val="auto"/>
        </w:rPr>
      </w:pPr>
      <w:r>
        <w:rPr>
          <w:rFonts w:ascii="宋体" w:eastAsia="宋体" w:hAnsi="宋体" w:cs="宋体"/>
          <w:color w:val="auto"/>
        </w:rPr>
        <w:t>故本题选B。</w:t>
      </w:r>
    </w:p>
    <w:p>
      <w:pPr>
        <w:spacing w:line="360" w:lineRule="auto"/>
        <w:jc w:val="both"/>
        <w:textAlignment w:val="center"/>
        <w:rPr>
          <w:color w:val="auto"/>
        </w:rPr>
      </w:pPr>
      <w:r>
        <w:rPr>
          <w:color w:val="auto"/>
        </w:rPr>
        <w:t xml:space="preserve">11. </w:t>
      </w:r>
      <w:r>
        <w:rPr>
          <w:rFonts w:ascii="宋体" w:eastAsia="宋体" w:hAnsi="宋体" w:cs="宋体"/>
          <w:color w:val="auto"/>
        </w:rPr>
        <w:t>年近七旬的秦阿婆在一地铁站内乘坐上行电梯时，因没有抓住扶梯导致身体向后倾斜，摔倒在扶梯上。站在秦阿婆身后的张女士，不由向后退了两三个台阶。此时，正在旁边下行扶梯上的魏先生立马跑来搀扶秦阿婆。搀扶过程中秦阿婆欲蹬脚借力起身，结果她和魏先生两人先后向后倾倒，导致张女士被撞倒造成头面部外伤、右桡骨远端骨折。关于张女士要求的赔偿责任，下列说法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both"/>
        <w:textAlignment w:val="center"/>
        <w:rPr>
          <w:color w:val="auto"/>
        </w:rPr>
      </w:pPr>
      <w:r>
        <w:rPr>
          <w:rFonts w:ascii="宋体" w:eastAsia="宋体" w:hAnsi="宋体" w:cs="宋体"/>
          <w:color w:val="auto"/>
        </w:rPr>
        <w:t>①秦阿婆应对张女士的人身损害承担民事赔偿责任</w:t>
      </w:r>
    </w:p>
    <w:p>
      <w:pPr>
        <w:spacing w:line="360" w:lineRule="auto"/>
        <w:jc w:val="both"/>
        <w:textAlignment w:val="center"/>
        <w:rPr>
          <w:color w:val="auto"/>
        </w:rPr>
      </w:pPr>
      <w:r>
        <w:rPr>
          <w:rFonts w:ascii="宋体" w:eastAsia="宋体" w:hAnsi="宋体" w:cs="宋体"/>
          <w:color w:val="auto"/>
        </w:rPr>
        <w:t>②魏先生的行为是善意之举且无重大过失，不应承担责任</w:t>
      </w:r>
    </w:p>
    <w:p>
      <w:pPr>
        <w:spacing w:line="360" w:lineRule="auto"/>
        <w:jc w:val="both"/>
        <w:textAlignment w:val="center"/>
        <w:rPr>
          <w:color w:val="auto"/>
        </w:rPr>
      </w:pPr>
      <w:r>
        <w:rPr>
          <w:rFonts w:ascii="宋体" w:eastAsia="宋体" w:hAnsi="宋体" w:cs="宋体"/>
          <w:color w:val="auto"/>
        </w:rPr>
        <w:t>③地铁公司对电梯负有管理义务，需承担无过错侵权责任</w:t>
      </w:r>
    </w:p>
    <w:p>
      <w:pPr>
        <w:spacing w:line="360" w:lineRule="auto"/>
        <w:jc w:val="both"/>
        <w:textAlignment w:val="center"/>
        <w:rPr>
          <w:color w:val="auto"/>
        </w:rPr>
      </w:pPr>
      <w:r>
        <w:rPr>
          <w:rFonts w:ascii="宋体" w:eastAsia="宋体" w:hAnsi="宋体" w:cs="宋体"/>
          <w:color w:val="auto"/>
        </w:rPr>
        <w:t>④张女士作为成年公民有安全注意义务，应承担主要责任</w:t>
      </w:r>
    </w:p>
    <w:p>
      <w:pPr>
        <w:tabs>
          <w:tab w:val="left" w:pos="2436"/>
          <w:tab w:val="left" w:pos="4873"/>
          <w:tab w:val="left" w:pos="7309"/>
        </w:tabs>
        <w:spacing w:line="360" w:lineRule="auto"/>
        <w:jc w:val="left"/>
        <w:textAlignment w:val="center"/>
        <w:rPr>
          <w:color w:val="auto"/>
        </w:rPr>
        <w:sectPr>
          <w:headerReference w:type="even" r:id="rId49"/>
          <w:footerReference w:type="even" r:id="rId50"/>
          <w:footerReference w:type="default" r:id="rId51"/>
          <w:headerReference w:type="first" r:id="rId52"/>
          <w:footerReference w:type="first" r:id="rId53"/>
          <w:type w:val="nextPage"/>
          <w:pgSz w:w="11906" w:h="16838"/>
          <w:pgMar w:top="910" w:right="1080" w:bottom="1440" w:left="1080" w:header="152" w:footer="0" w:gutter="0"/>
          <w:pgNumType w:start="9"/>
          <w:cols w:num="1" w:space="720"/>
          <w:titlePg w:val="0"/>
          <w:docGrid w:type="lines" w:linePitch="312" w:charSpace="0"/>
        </w:sect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r>
        <w:rPr>
          <w:rFonts w:hint="eastAsia"/>
          <w:color w:val="auto"/>
          <w:lang w:val="en-US" w:eastAsia="zh-CN"/>
        </w:rPr>
        <w:t>：</w:t>
      </w:r>
    </w:p>
    <w:p>
      <w:pPr>
        <w:spacing w:line="360" w:lineRule="auto"/>
        <w:jc w:val="left"/>
        <w:textAlignment w:val="center"/>
        <w:rPr>
          <w:color w:val="auto"/>
        </w:rPr>
      </w:pPr>
      <w:r>
        <w:rPr>
          <w:color w:val="auto"/>
        </w:rPr>
        <w:t>【详解】</w:t>
      </w:r>
      <w:r>
        <w:rPr>
          <w:rFonts w:ascii="宋体" w:eastAsia="宋体" w:hAnsi="宋体" w:cs="宋体"/>
          <w:color w:val="auto"/>
        </w:rPr>
        <w:t>①：本案中，秦阿婆年近七旬，作为完全民事行为能力人，对自身身体状况有一定了解，其乘坐自动扶梯时未遵守地铁公司关于乘梯安全的指引，在拎包换手时未抓住扶梯扶手导致摔倒，进而引发后续涉案事故，导致张女士受伤。因此，本案应适用过错责任，秦某因过错侵害他人民事权益，理应当承担侵权责任。①说法正确。</w:t>
      </w:r>
    </w:p>
    <w:p>
      <w:pPr>
        <w:spacing w:line="360" w:lineRule="auto"/>
        <w:jc w:val="left"/>
        <w:textAlignment w:val="center"/>
        <w:rPr>
          <w:color w:val="auto"/>
        </w:rPr>
      </w:pPr>
      <w:r>
        <w:rPr>
          <w:rFonts w:ascii="宋体" w:eastAsia="宋体" w:hAnsi="宋体" w:cs="宋体"/>
          <w:color w:val="auto"/>
        </w:rPr>
        <w:t>②：魏先生见到秦阿婆摔倒在扶梯上时，立即上前扶起秦阿婆，其目的是第一时间帮助秦阿婆脱离持续倒在运行扶梯上的险境，因此，魏先生的行为是救助他人的善意之举且无重大过失，不应承担责任。②说法正确。</w:t>
      </w:r>
    </w:p>
    <w:p>
      <w:pPr>
        <w:spacing w:line="360" w:lineRule="auto"/>
        <w:jc w:val="left"/>
        <w:textAlignment w:val="center"/>
        <w:rPr>
          <w:color w:val="auto"/>
        </w:rPr>
      </w:pPr>
      <w:r>
        <w:rPr>
          <w:rFonts w:ascii="宋体" w:eastAsia="宋体" w:hAnsi="宋体" w:cs="宋体"/>
          <w:color w:val="auto"/>
        </w:rPr>
        <w:t>③：地铁公司作为管理者，已通过广播、文字提示语等多种渠道，明确提示乘客紧握扶手注意乘梯安全，且事发前涉案自动扶梯运行正常，事发后地铁工作人员第一时间到场处置，已尽到合理且必要的安全保障义务，对本案原告受伤无过错，需要承担过错推定侵权责任，③说法错误。</w:t>
      </w:r>
    </w:p>
    <w:p>
      <w:pPr>
        <w:spacing w:line="360" w:lineRule="auto"/>
        <w:jc w:val="left"/>
        <w:textAlignment w:val="center"/>
        <w:rPr>
          <w:color w:val="auto"/>
        </w:rPr>
      </w:pPr>
      <w:r>
        <w:rPr>
          <w:rFonts w:ascii="宋体" w:eastAsia="宋体" w:hAnsi="宋体" w:cs="宋体"/>
          <w:color w:val="auto"/>
        </w:rPr>
        <w:t>④：本案中，搀扶过程中，秦阿婆欲蹬脚借力起身，其和魏先生又先后向后倾倒，导致后排张女士被撞到而摔倒受伤。张女士作为成年虽公民有安全注意义务，但作为受害人，不应承担责任，④说法错误。</w:t>
      </w:r>
    </w:p>
    <w:p>
      <w:pPr>
        <w:spacing w:line="360" w:lineRule="auto"/>
        <w:jc w:val="left"/>
        <w:textAlignment w:val="center"/>
        <w:rPr>
          <w:color w:val="auto"/>
        </w:rPr>
      </w:pPr>
      <w:r>
        <w:rPr>
          <w:color w:val="auto"/>
        </w:rPr>
        <w:t>故本题选A。</w:t>
      </w:r>
    </w:p>
    <w:p>
      <w:pPr>
        <w:spacing w:line="360" w:lineRule="auto"/>
        <w:jc w:val="both"/>
        <w:textAlignment w:val="center"/>
        <w:rPr>
          <w:color w:val="auto"/>
        </w:rPr>
      </w:pPr>
      <w:r>
        <w:rPr>
          <w:color w:val="auto"/>
        </w:rPr>
        <w:t xml:space="preserve">12. </w:t>
      </w:r>
      <w:r>
        <w:rPr>
          <w:rFonts w:ascii="宋体" w:eastAsia="宋体" w:hAnsi="宋体" w:cs="宋体"/>
          <w:color w:val="auto"/>
        </w:rPr>
        <w:t>行政公益诉讼制度是指人民检察院在生态环境和资源保护、食品药品安全等领域发现行政机关违法行使职权或者不作为，致使国家利益或者社会公共利益受到侵害的，有权依法向人民法院提起诉讼。下列案件属于行政公益诉讼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both"/>
        <w:textAlignment w:val="center"/>
        <w:rPr>
          <w:color w:val="auto"/>
        </w:rPr>
      </w:pPr>
      <w:r>
        <w:rPr>
          <w:rFonts w:ascii="宋体" w:eastAsia="宋体" w:hAnsi="宋体" w:cs="宋体"/>
          <w:color w:val="auto"/>
        </w:rPr>
        <w:t>①某工业公司要求撤销行政处罚而起诉该县应急管理局案</w:t>
      </w:r>
    </w:p>
    <w:p>
      <w:pPr>
        <w:spacing w:line="360" w:lineRule="auto"/>
        <w:jc w:val="both"/>
        <w:textAlignment w:val="center"/>
        <w:rPr>
          <w:color w:val="auto"/>
        </w:rPr>
      </w:pPr>
      <w:r>
        <w:rPr>
          <w:rFonts w:ascii="宋体" w:eastAsia="宋体" w:hAnsi="宋体" w:cs="宋体"/>
          <w:color w:val="auto"/>
        </w:rPr>
        <w:t>②某区人民检察院督促规范涉诈企业营业执照监管案</w:t>
      </w:r>
    </w:p>
    <w:p>
      <w:pPr>
        <w:spacing w:line="360" w:lineRule="auto"/>
        <w:jc w:val="both"/>
        <w:textAlignment w:val="center"/>
        <w:rPr>
          <w:color w:val="auto"/>
        </w:rPr>
      </w:pPr>
      <w:r>
        <w:rPr>
          <w:rFonts w:ascii="宋体" w:eastAsia="宋体" w:hAnsi="宋体" w:cs="宋体"/>
          <w:color w:val="auto"/>
        </w:rPr>
        <w:t>③某市人民检察院起诉在饮料中非法添加国家管制的精神药品案</w:t>
      </w:r>
    </w:p>
    <w:p>
      <w:pPr>
        <w:spacing w:line="360" w:lineRule="auto"/>
        <w:jc w:val="both"/>
        <w:textAlignment w:val="center"/>
        <w:rPr>
          <w:color w:val="auto"/>
        </w:rPr>
      </w:pPr>
      <w:r>
        <w:rPr>
          <w:rFonts w:ascii="宋体" w:eastAsia="宋体" w:hAnsi="宋体" w:cs="宋体"/>
          <w:color w:val="auto"/>
        </w:rPr>
        <w:t>④某市人民检察院起诉该市某镇政府不履行耕地监管职责案</w:t>
      </w:r>
    </w:p>
    <w:p>
      <w:pPr>
        <w:tabs>
          <w:tab w:val="left" w:pos="2436"/>
          <w:tab w:val="left" w:pos="4873"/>
          <w:tab w:val="left" w:pos="7309"/>
        </w:tabs>
        <w:spacing w:line="360" w:lineRule="auto"/>
        <w:jc w:val="left"/>
        <w:textAlignment w:val="center"/>
        <w:rPr>
          <w:color w:val="auto"/>
        </w:rPr>
      </w:pPr>
      <w:r>
        <w:rPr>
          <w:color w:val="auto"/>
        </w:rPr>
        <w:t xml:space="preserve">A. </w:t>
      </w:r>
      <w:r>
        <w:rPr>
          <w:rFonts w:ascii="宋体" w:eastAsia="宋体" w:hAnsi="宋体" w:cs="宋体"/>
          <w:color w:val="auto"/>
        </w:rPr>
        <w:t>①②</w:t>
      </w:r>
      <w:r>
        <w:rPr>
          <w:color w:val="auto"/>
        </w:rPr>
        <w:tab/>
      </w:r>
      <w:r>
        <w:rPr>
          <w:color w:val="auto"/>
        </w:rPr>
        <w:t xml:space="preserve">B. </w:t>
      </w:r>
      <w:r>
        <w:rPr>
          <w:rFonts w:ascii="宋体" w:eastAsia="宋体" w:hAnsi="宋体" w:cs="宋体"/>
          <w:color w:val="auto"/>
        </w:rPr>
        <w:t>①③</w:t>
      </w:r>
      <w:r>
        <w:rPr>
          <w:color w:val="auto"/>
        </w:rPr>
        <w:tab/>
      </w:r>
      <w:r>
        <w:rPr>
          <w:color w:val="auto"/>
        </w:rPr>
        <w:t xml:space="preserve">C. </w:t>
      </w:r>
      <w:r>
        <w:rPr>
          <w:rFonts w:ascii="宋体" w:eastAsia="宋体" w:hAnsi="宋体" w:cs="宋体"/>
          <w:color w:val="auto"/>
        </w:rPr>
        <w:t>②④</w:t>
      </w:r>
      <w:r>
        <w:rPr>
          <w:color w:val="auto"/>
        </w:rPr>
        <w:tab/>
      </w:r>
      <w:r>
        <w:rPr>
          <w:color w:val="auto"/>
        </w:rPr>
        <w:t xml:space="preserve">D. </w:t>
      </w:r>
      <w:r>
        <w:rPr>
          <w:rFonts w:ascii="宋体" w:eastAsia="宋体" w:hAnsi="宋体" w:cs="宋体"/>
          <w:color w:val="auto"/>
        </w:rPr>
        <w:t>③④</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both"/>
        <w:textAlignment w:val="center"/>
        <w:rPr>
          <w:color w:val="auto"/>
        </w:rPr>
      </w:pPr>
      <w:r>
        <w:rPr>
          <w:color w:val="auto"/>
        </w:rPr>
        <w:t>【详解】</w:t>
      </w:r>
      <w:r>
        <w:rPr>
          <w:color w:val="auto"/>
        </w:rPr>
        <w:br/>
      </w:r>
      <w:r>
        <w:rPr>
          <w:color w:val="auto"/>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https://d.book118.com/155320010230011044</w:t>
        </w:r>
      </w:hyperlink>
    </w:p>
    <w:p>
      <w:pPr>
        <w:spacing w:line="360" w:lineRule="auto"/>
        <w:jc w:val="both"/>
        <w:textAlignment w:val="center"/>
        <w:rPr>
          <w:color w:val="auto"/>
        </w:rPr>
      </w:pPr>
    </w:p>
    <w:sectPr>
      <w:headerReference w:type="even" r:id="rId55"/>
      <w:footerReference w:type="even" r:id="rId56"/>
      <w:footerReference w:type="default" r:id="rId57"/>
      <w:headerReference w:type="first" r:id="rId58"/>
      <w:footerReference w:type="first" r:id="rId59"/>
      <w:type w:val="nextPage"/>
      <w:pgSz w:w="11906" w:h="16838"/>
      <w:pgMar w:top="910" w:right="1080" w:bottom="1440" w:left="108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w:t>
    </w:r>
    <w:r>
      <w:fldChar w:fldCharType="end"/>
    </w:r>
    <w:r>
      <w:t>页/共</w:t>
    </w:r>
    <w:r>
      <w:fldChar w:fldCharType="begin"/>
    </w:r>
    <w:r>
      <w:instrText>NUMPAGES</w:instrText>
    </w:r>
    <w:r>
      <w:fldChar w:fldCharType="separate"/>
    </w:r>
    <w:r>
      <w:t>11</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2</w:t>
    </w:r>
    <w:r>
      <w:fldChar w:fldCharType="end"/>
    </w:r>
    <w:r>
      <w:t>页/共</w:t>
    </w:r>
    <w:r>
      <w:fldChar w:fldCharType="begin"/>
    </w:r>
    <w:r>
      <w:instrText>NUMPAGES</w:instrText>
    </w:r>
    <w:r>
      <w:fldChar w:fldCharType="separate"/>
    </w:r>
    <w:r>
      <w:t>11</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3</w:t>
    </w:r>
    <w:r>
      <w:fldChar w:fldCharType="end"/>
    </w:r>
    <w:r>
      <w:t>页/共</w:t>
    </w:r>
    <w:r>
      <w:fldChar w:fldCharType="begin"/>
    </w:r>
    <w:r>
      <w:instrText>NUMPAGES</w:instrText>
    </w:r>
    <w:r>
      <w:fldChar w:fldCharType="separate"/>
    </w:r>
    <w:r>
      <w:t>11</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5</w:t>
    </w:r>
    <w:r>
      <w:fldChar w:fldCharType="end"/>
    </w:r>
    <w:r>
      <w:t>页/共</w:t>
    </w:r>
    <w:r>
      <w:fldChar w:fldCharType="begin"/>
    </w:r>
    <w:r>
      <w:instrText>NUMPAGES</w:instrText>
    </w:r>
    <w:r>
      <w:fldChar w:fldCharType="separate"/>
    </w:r>
    <w:r>
      <w:t>11</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5</w:t>
    </w:r>
    <w:r>
      <w:fldChar w:fldCharType="end"/>
    </w:r>
    <w:r>
      <w:t>页/共</w:t>
    </w:r>
    <w:r>
      <w:fldChar w:fldCharType="begin"/>
    </w:r>
    <w:r>
      <w:instrText>NUMPAGES</w:instrText>
    </w:r>
    <w:r>
      <w:fldChar w:fldCharType="separate"/>
    </w:r>
    <w:r>
      <w:t>11</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6</w:t>
    </w:r>
    <w:r>
      <w:fldChar w:fldCharType="end"/>
    </w:r>
    <w:r>
      <w:t>页/共</w:t>
    </w:r>
    <w:r>
      <w:fldChar w:fldCharType="begin"/>
    </w:r>
    <w:r>
      <w:instrText>NUMPAGES</w:instrText>
    </w:r>
    <w:r>
      <w:fldChar w:fldCharType="separate"/>
    </w:r>
    <w:r>
      <w:t>11</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7</w:t>
    </w:r>
    <w:r>
      <w:fldChar w:fldCharType="end"/>
    </w:r>
    <w:r>
      <w:t>页/共</w:t>
    </w:r>
    <w:r>
      <w:fldChar w:fldCharType="begin"/>
    </w:r>
    <w:r>
      <w:instrText>NUMPAGES</w:instrText>
    </w:r>
    <w:r>
      <w:fldChar w:fldCharType="separate"/>
    </w:r>
    <w:r>
      <w:t>11</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8</w:t>
    </w:r>
    <w:r>
      <w:fldChar w:fldCharType="end"/>
    </w:r>
    <w:r>
      <w:t>页/共</w:t>
    </w:r>
    <w:r>
      <w:fldChar w:fldCharType="begin"/>
    </w:r>
    <w:r>
      <w:instrText>NUMPAGES</w:instrText>
    </w:r>
    <w:r>
      <w:fldChar w:fldCharType="separate"/>
    </w:r>
    <w:r>
      <w:t>11</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9</w:t>
    </w:r>
    <w:r>
      <w:fldChar w:fldCharType="end"/>
    </w:r>
    <w:r>
      <w:t>页/共</w:t>
    </w:r>
    <w:r>
      <w:fldChar w:fldCharType="begin"/>
    </w:r>
    <w:r>
      <w:instrText>NUMPAGES</w:instrText>
    </w:r>
    <w:r>
      <w:fldChar w:fldCharType="separate"/>
    </w:r>
    <w:r>
      <w:t>11</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10</w:t>
    </w:r>
    <w:r>
      <w:fldChar w:fldCharType="end"/>
    </w:r>
    <w:r>
      <w:t>页/共</w:t>
    </w:r>
    <w:r>
      <w:fldChar w:fldCharType="begin"/>
    </w:r>
    <w:r>
      <w:instrText>NUMPAGES</w:instrText>
    </w:r>
    <w:r>
      <w:fldChar w:fldCharType="separate"/>
    </w:r>
    <w:r>
      <w:t>11</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233866AB"/>
    <w:rsid w:val="292344FC"/>
    <w:rsid w:val="38274566"/>
  </w:rsids>
  <w:docVars>
    <w:docVar w:name="commondata" w:val="eyJoZGlkIjoiYzVjYmQxNjIyN2VlYzI1NzY1NzMzYzYzMTdmYTE3O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footer" Target="footer10.xml" /><Relationship Id="rId24" Type="http://schemas.openxmlformats.org/officeDocument/2006/relationships/footer" Target="footer11.xml" /><Relationship Id="rId25" Type="http://schemas.openxmlformats.org/officeDocument/2006/relationships/header" Target="header8.xml" /><Relationship Id="rId26" Type="http://schemas.openxmlformats.org/officeDocument/2006/relationships/footer" Target="footer12.xml" /><Relationship Id="rId27" Type="http://schemas.openxmlformats.org/officeDocument/2006/relationships/header" Target="header9.xml" /><Relationship Id="rId28" Type="http://schemas.openxmlformats.org/officeDocument/2006/relationships/footer" Target="footer13.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5.xml" /><Relationship Id="rId32" Type="http://schemas.openxmlformats.org/officeDocument/2006/relationships/image" Target="media/image3.wmf" /><Relationship Id="rId33" Type="http://schemas.openxmlformats.org/officeDocument/2006/relationships/header" Target="header11.xml" /><Relationship Id="rId34" Type="http://schemas.openxmlformats.org/officeDocument/2006/relationships/footer" Target="footer16.xml" /><Relationship Id="rId35" Type="http://schemas.openxmlformats.org/officeDocument/2006/relationships/footer" Target="footer17.xml" /><Relationship Id="rId36" Type="http://schemas.openxmlformats.org/officeDocument/2006/relationships/header" Target="header12.xml" /><Relationship Id="rId37" Type="http://schemas.openxmlformats.org/officeDocument/2006/relationships/footer" Target="footer18.xml" /><Relationship Id="rId38" Type="http://schemas.openxmlformats.org/officeDocument/2006/relationships/header" Target="header13.xml" /><Relationship Id="rId39" Type="http://schemas.openxmlformats.org/officeDocument/2006/relationships/footer" Target="footer19.xml" /><Relationship Id="rId4" Type="http://schemas.openxmlformats.org/officeDocument/2006/relationships/customXml" Target="../customXml/item1.xml" /><Relationship Id="rId40" Type="http://schemas.openxmlformats.org/officeDocument/2006/relationships/footer" Target="footer20.xml" /><Relationship Id="rId41" Type="http://schemas.openxmlformats.org/officeDocument/2006/relationships/header" Target="header14.xml" /><Relationship Id="rId42" Type="http://schemas.openxmlformats.org/officeDocument/2006/relationships/footer" Target="footer21.xml" /><Relationship Id="rId43" Type="http://schemas.openxmlformats.org/officeDocument/2006/relationships/image" Target="media/image4.png" /><Relationship Id="rId44" Type="http://schemas.openxmlformats.org/officeDocument/2006/relationships/header" Target="header15.xml" /><Relationship Id="rId45" Type="http://schemas.openxmlformats.org/officeDocument/2006/relationships/footer" Target="footer22.xml" /><Relationship Id="rId46" Type="http://schemas.openxmlformats.org/officeDocument/2006/relationships/footer" Target="footer23.xml" /><Relationship Id="rId47" Type="http://schemas.openxmlformats.org/officeDocument/2006/relationships/header" Target="header16.xml" /><Relationship Id="rId48" Type="http://schemas.openxmlformats.org/officeDocument/2006/relationships/footer" Target="footer24.xml" /><Relationship Id="rId49" Type="http://schemas.openxmlformats.org/officeDocument/2006/relationships/header" Target="header17.xml" /><Relationship Id="rId5" Type="http://schemas.openxmlformats.org/officeDocument/2006/relationships/customXml" Target="../customXml/item2.xml" /><Relationship Id="rId50" Type="http://schemas.openxmlformats.org/officeDocument/2006/relationships/footer" Target="footer25.xml" /><Relationship Id="rId51" Type="http://schemas.openxmlformats.org/officeDocument/2006/relationships/footer" Target="footer26.xml" /><Relationship Id="rId52" Type="http://schemas.openxmlformats.org/officeDocument/2006/relationships/header" Target="header18.xml" /><Relationship Id="rId53" Type="http://schemas.openxmlformats.org/officeDocument/2006/relationships/footer" Target="footer27.xml" /><Relationship Id="rId54" Type="http://schemas.openxmlformats.org/officeDocument/2006/relationships/hyperlink" Target="https://d.book118.com/155320010230011044" TargetMode="External" /><Relationship Id="rId55" Type="http://schemas.openxmlformats.org/officeDocument/2006/relationships/header" Target="header19.xml" /><Relationship Id="rId56" Type="http://schemas.openxmlformats.org/officeDocument/2006/relationships/footer" Target="footer28.xml" /><Relationship Id="rId57" Type="http://schemas.openxmlformats.org/officeDocument/2006/relationships/footer" Target="footer29.xml" /><Relationship Id="rId58" Type="http://schemas.openxmlformats.org/officeDocument/2006/relationships/header" Target="header20.xml" /><Relationship Id="rId59" Type="http://schemas.openxmlformats.org/officeDocument/2006/relationships/footer" Target="footer30.xml" /><Relationship Id="rId6" Type="http://schemas.openxmlformats.org/officeDocument/2006/relationships/image" Target="media/image1.png"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footer" Target="footer2.xm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3413777155473408</dc:description>
  <cp:lastModifiedBy>Administrator</cp:lastModifiedBy>
  <cp:revision>8</cp:revision>
  <dcterms:created xsi:type="dcterms:W3CDTF">2024-01-21T16:40:00Z</dcterms:created>
  <dcterms:modified xsi:type="dcterms:W3CDTF">2024-01-23T06:51:30Z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EE008FFF8F50441B8ADBF689FF10E64E_12</vt:lpwstr>
  </property>
  <property fmtid="{D5CDD505-2E9C-101B-9397-08002B2CF9AE}" pid="7" name="KSOProductBuildVer">
    <vt:lpwstr>2052-11.8.2.8411</vt:lpwstr>
  </property>
</Properties>
</file>