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ind w:left="1441" w:right="1818" w:firstLine="0"/>
        <w:jc w:val="center"/>
      </w:pPr>
      <w:r>
        <w:t>Begin van de tekst</w:t>
      </w:r>
    </w:p>
    <w:p>
      <w:pPr>
        <w:pStyle w:val="BodyText"/>
        <w:rPr>
          <w:b/>
          <w:sz w:val="20"/>
        </w:rPr>
      </w:pPr>
    </w:p>
    <w:p>
      <w:pPr>
        <w:pStyle w:val="BodyText"/>
        <w:rPr>
          <w:b/>
          <w:sz w:val="20"/>
        </w:rPr>
      </w:pPr>
    </w:p>
    <w:p>
      <w:pPr>
        <w:pStyle w:val="BodyText"/>
        <w:spacing w:before="9"/>
        <w:rPr>
          <w:b/>
          <w:sz w:val="20"/>
        </w:rPr>
      </w:pPr>
      <w:r>
        <w:pict>
          <v:group id="_x0000_s1025" style="width:743pt;height:44.85pt;margin-top:15.25pt;margin-left:81pt;mso-position-horizontal-relative:page;mso-wrap-distance-left:0;mso-wrap-distance-right:0;position:absolute;z-index:-251658240" coordorigin="1620,305" coordsize="14860,8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4860;height:840;left:1620;position:absolute;top:361" stroked="f">
              <v:imagedata r:id="rId4" o:title=""/>
            </v:shape>
            <v:shapetype id="_x0000_t202" coordsize="21600,21600" o:spt="202" path="m,l,21600r21600,l21600,xe">
              <v:stroke joinstyle="miter"/>
              <v:path gradientshapeok="t" o:connecttype="rect"/>
            </v:shapetype>
            <v:shape id="_x0000_s1027" type="#_x0000_t202" style="width:290;height:540;left:1724;position:absolute;top:305" filled="f" stroked="f">
              <v:textbox inset="0,0,0,0">
                <w:txbxContent>
                  <w:p>
                    <w:pPr>
                      <w:spacing w:before="0" w:line="540" w:lineRule="exact"/>
                      <w:ind w:left="0" w:right="0" w:firstLine="0"/>
                      <w:jc w:val="left"/>
                      <w:rPr>
                        <w:b/>
                        <w:sz w:val="54"/>
                      </w:rPr>
                    </w:pPr>
                    <w:r>
                      <w:rPr>
                        <w:b/>
                        <w:w w:val="99"/>
                        <w:sz w:val="54"/>
                      </w:rPr>
                      <w:t>1</w:t>
                    </w:r>
                  </w:p>
                </w:txbxContent>
              </v:textbox>
            </v:shape>
            <v:shape id="_x0000_s1028" type="#_x0000_t202" style="width:3800;height:540;left:3003;position:absolute;top:305" filled="f" stroked="f">
              <v:textbox inset="0,0,0,0">
                <w:txbxContent>
                  <w:p>
                    <w:pPr>
                      <w:spacing w:before="0" w:line="540" w:lineRule="exact"/>
                      <w:ind w:left="0" w:right="0" w:firstLine="0"/>
                      <w:jc w:val="left"/>
                      <w:rPr>
                        <w:b/>
                        <w:sz w:val="54"/>
                      </w:rPr>
                    </w:pPr>
                    <w:r>
                      <w:rPr>
                        <w:b/>
                        <w:w w:val="95"/>
                        <w:sz w:val="54"/>
                      </w:rPr>
                      <w:t>帕克的项目建议</w:t>
                    </w:r>
                  </w:p>
                </w:txbxContent>
              </v:textbox>
            </v:shape>
            <w10:wrap type="topAndBottom"/>
          </v:group>
        </w:pict>
      </w:r>
    </w:p>
    <w:p>
      <w:pPr>
        <w:pStyle w:val="BodyText"/>
        <w:rPr>
          <w:b/>
          <w:sz w:val="20"/>
        </w:rPr>
      </w:pPr>
    </w:p>
    <w:p>
      <w:pPr>
        <w:pStyle w:val="BodyText"/>
        <w:rPr>
          <w:b/>
          <w:sz w:val="20"/>
        </w:rPr>
      </w:pPr>
    </w:p>
    <w:p>
      <w:pPr>
        <w:pStyle w:val="ListParagraph"/>
        <w:numPr>
          <w:ilvl w:val="1"/>
          <w:numId w:val="47"/>
        </w:numPr>
        <w:tabs>
          <w:tab w:val="left" w:pos="1389"/>
        </w:tabs>
        <w:spacing w:before="32" w:after="0" w:line="240" w:lineRule="auto"/>
        <w:ind w:left="1388" w:right="0" w:hanging="1081"/>
        <w:jc w:val="left"/>
        <w:rPr>
          <w:b/>
          <w:sz w:val="48"/>
        </w:rPr>
      </w:pPr>
      <w:r>
        <w:rPr>
          <w:b/>
          <w:sz w:val="48"/>
        </w:rPr>
        <w:t>帕克公司介绍</w:t>
      </w:r>
    </w:p>
    <w:p>
      <w:pPr>
        <w:pStyle w:val="BodyText"/>
        <w:spacing w:before="381" w:line="364" w:lineRule="auto"/>
        <w:ind w:left="308" w:right="842" w:firstLine="670"/>
      </w:pPr>
      <w:r>
        <w:t>帕克总部位于荷兰，以生物处理工业污水的领先技术而蜚声全球。在帕克，我们相信生物处理是有机工业废水治理的最佳可行的工艺。</w:t>
      </w:r>
    </w:p>
    <w:p>
      <w:pPr>
        <w:pStyle w:val="BodyText"/>
        <w:spacing w:before="182" w:line="364" w:lineRule="auto"/>
        <w:ind w:left="308" w:right="840" w:firstLine="670"/>
      </w:pPr>
      <w:r>
        <w:rPr>
          <w:spacing w:val="-9"/>
        </w:rPr>
        <w:t xml:space="preserve">至今我们在全球建设了 </w:t>
      </w:r>
      <w:r>
        <w:t>450</w:t>
      </w:r>
      <w:r>
        <w:rPr>
          <w:spacing w:val="-15"/>
        </w:rPr>
        <w:t xml:space="preserve"> 多个厌氧高浓度废水处理厂，其中有 </w:t>
      </w:r>
      <w:r>
        <w:t>100</w:t>
      </w:r>
      <w:r>
        <w:rPr>
          <w:spacing w:val="-14"/>
        </w:rPr>
        <w:t xml:space="preserve"> 多个服务于制浆造</w:t>
      </w:r>
      <w:r>
        <w:t>纸行业 。</w:t>
      </w:r>
    </w:p>
    <w:p>
      <w:pPr>
        <w:pStyle w:val="BodyText"/>
        <w:spacing w:before="182" w:line="364" w:lineRule="auto"/>
        <w:ind w:left="308" w:right="842" w:firstLine="670"/>
      </w:pPr>
      <w:r>
        <w:t>帕克公司的废水厌氧处理技术是全球公认的最高水平之一。在制浆造纸行业的高浓度废水的厌氧处理市场中，帕克公司占有高达 60％的市场份额，具有相当丰富的经验。</w:t>
      </w:r>
    </w:p>
    <w:p>
      <w:pPr>
        <w:pStyle w:val="BodyText"/>
        <w:spacing w:before="182" w:line="364" w:lineRule="auto"/>
        <w:ind w:left="308" w:right="611" w:firstLine="670"/>
        <w:jc w:val="both"/>
      </w:pPr>
      <w:r>
        <w:rPr>
          <w:spacing w:val="-45"/>
        </w:rPr>
        <w:t xml:space="preserve">在 </w:t>
      </w:r>
      <w:r>
        <w:t>1983</w:t>
      </w:r>
      <w:r>
        <w:rPr>
          <w:spacing w:val="-10"/>
        </w:rPr>
        <w:t xml:space="preserve"> 年，帕克公司率先在全球建设了第一个造纸行业的厌氧反应器</w:t>
      </w:r>
      <w:r>
        <w:t>（USAB），而且这家工厂（Kappa Roermond Papier）</w:t>
      </w:r>
      <w:r>
        <w:rPr>
          <w:spacing w:val="-1"/>
        </w:rPr>
        <w:t>对帕克公司的技术和服务非常满意，他们和帕克公司之间</w:t>
      </w:r>
      <w:r>
        <w:rPr>
          <w:spacing w:val="-4"/>
        </w:rPr>
        <w:t xml:space="preserve">的合作至今已建设了三期工程。以下是这家公司总经理 </w:t>
      </w:r>
      <w:r>
        <w:t>Beurskens</w:t>
      </w:r>
      <w:r>
        <w:rPr>
          <w:spacing w:val="-10"/>
        </w:rPr>
        <w:t xml:space="preserve"> 先生对帕克公司的评价：</w:t>
      </w:r>
    </w:p>
    <w:p>
      <w:pPr>
        <w:pStyle w:val="BodyText"/>
        <w:spacing w:before="12"/>
        <w:rPr>
          <w:sz w:val="19"/>
        </w:rPr>
      </w:pPr>
      <w:r>
        <w:pict>
          <v:group id="_x0000_s1029" style="width:747pt;height:335pt;margin-top:14.73pt;margin-left:75pt;mso-position-horizontal-relative:page;mso-wrap-distance-left:0;mso-wrap-distance-right:0;position:absolute;z-index:-251657216" coordorigin="1500,295" coordsize="14940,6700">
            <v:shape id="_x0000_s1030" type="#_x0000_t75" style="width:14940;height:6700;left:1500;position:absolute;top:294" stroked="f">
              <v:imagedata r:id="rId5" o:title=""/>
            </v:shape>
            <v:shape id="_x0000_s1031" type="#_x0000_t202" style="width:7220;height:360;left:2405;position:absolute;top:709" filled="f" stroked="f">
              <v:textbox inset="0,0,0,0">
                <w:txbxContent>
                  <w:p>
                    <w:pPr>
                      <w:spacing w:before="0" w:line="360" w:lineRule="exact"/>
                      <w:ind w:left="0" w:right="0" w:firstLine="0"/>
                      <w:jc w:val="left"/>
                      <w:rPr>
                        <w:rFonts w:ascii="宋体" w:eastAsia="宋体" w:hint="eastAsia"/>
                        <w:sz w:val="36"/>
                      </w:rPr>
                    </w:pPr>
                    <w:r>
                      <w:rPr>
                        <w:rFonts w:ascii="宋体" w:eastAsia="宋体" w:hint="eastAsia"/>
                        <w:sz w:val="36"/>
                      </w:rPr>
                      <w:t>罗伊蒙特造纸厂是采用厌氧处理技术的先锋。</w:t>
                    </w:r>
                  </w:p>
                </w:txbxContent>
              </v:textbox>
            </v:shape>
            <v:shape id="_x0000_s1032" type="#_x0000_t202" style="width:14420;height:2467;left:1728;position:absolute;top:1652" filled="f" stroked="f">
              <v:textbox inset="0,0,0,0">
                <w:txbxContent>
                  <w:p>
                    <w:pPr>
                      <w:spacing w:before="0" w:line="411" w:lineRule="exact"/>
                      <w:ind w:left="677" w:right="0" w:firstLine="0"/>
                      <w:jc w:val="left"/>
                      <w:rPr>
                        <w:rFonts w:ascii="宋体" w:eastAsia="宋体" w:hint="eastAsia"/>
                        <w:sz w:val="36"/>
                      </w:rPr>
                    </w:pPr>
                    <w:r>
                      <w:rPr>
                        <w:rFonts w:ascii="宋体" w:eastAsia="宋体" w:hint="eastAsia"/>
                        <w:spacing w:val="-31"/>
                        <w:sz w:val="36"/>
                      </w:rPr>
                      <w:t xml:space="preserve">早在 </w:t>
                    </w:r>
                    <w:r>
                      <w:rPr>
                        <w:rFonts w:ascii="宋体" w:eastAsia="宋体" w:hint="eastAsia"/>
                        <w:sz w:val="36"/>
                      </w:rPr>
                      <w:t>1983</w:t>
                    </w:r>
                    <w:r>
                      <w:rPr>
                        <w:rFonts w:ascii="宋体" w:eastAsia="宋体" w:hint="eastAsia"/>
                        <w:spacing w:val="-16"/>
                        <w:sz w:val="36"/>
                      </w:rPr>
                      <w:t xml:space="preserve"> 年，当我们的日产量上升到 </w:t>
                    </w:r>
                    <w:r>
                      <w:rPr>
                        <w:rFonts w:ascii="宋体" w:eastAsia="宋体" w:hint="eastAsia"/>
                        <w:sz w:val="36"/>
                      </w:rPr>
                      <w:t>400</w:t>
                    </w:r>
                    <w:r>
                      <w:rPr>
                        <w:rFonts w:ascii="宋体" w:eastAsia="宋体" w:hint="eastAsia"/>
                        <w:spacing w:val="-10"/>
                        <w:sz w:val="36"/>
                      </w:rPr>
                      <w:t xml:space="preserve"> 吨时，我们的好氧处理工厂就已经超负荷运</w:t>
                    </w:r>
                  </w:p>
                  <w:p>
                    <w:pPr>
                      <w:spacing w:before="240" w:line="364" w:lineRule="auto"/>
                      <w:ind w:left="0" w:right="5" w:firstLine="0"/>
                      <w:jc w:val="left"/>
                      <w:rPr>
                        <w:rFonts w:ascii="宋体" w:eastAsia="宋体" w:hAnsi="宋体" w:hint="eastAsia"/>
                        <w:sz w:val="36"/>
                      </w:rPr>
                    </w:pPr>
                    <w:r>
                      <w:rPr>
                        <w:rFonts w:ascii="宋体" w:eastAsia="宋体" w:hAnsi="宋体" w:hint="eastAsia"/>
                        <w:sz w:val="36"/>
                      </w:rPr>
                      <w:t>转。当时，我们引进了一台 BIOPAQ</w:t>
                    </w:r>
                    <w:r>
                      <w:rPr>
                        <w:rFonts w:ascii="Symbol" w:eastAsia="Symbol" w:hAnsi="Symbol"/>
                        <w:position w:val="2"/>
                        <w:sz w:val="24"/>
                      </w:rPr>
                      <w:sym w:font="Symbol" w:char="F0D2"/>
                    </w:r>
                    <w:r>
                      <w:rPr>
                        <w:rFonts w:ascii="宋体" w:eastAsia="宋体" w:hAnsi="宋体" w:hint="eastAsia"/>
                        <w:sz w:val="36"/>
                      </w:rPr>
                      <w:t>厌氧系统预处理，去除了 85%的 BOD。这不仅解决了我们污水处理能力问题，而且也减少了诸如大量污泥、曝气耗电和处理效率的问题。同时，产</w:t>
                    </w:r>
                  </w:p>
                  <w:p>
                    <w:pPr>
                      <w:spacing w:before="3" w:line="411" w:lineRule="exact"/>
                      <w:ind w:left="0" w:right="0" w:firstLine="0"/>
                      <w:jc w:val="left"/>
                      <w:rPr>
                        <w:rFonts w:ascii="宋体" w:eastAsia="宋体" w:hint="eastAsia"/>
                        <w:sz w:val="36"/>
                      </w:rPr>
                    </w:pPr>
                    <w:r>
                      <w:rPr>
                        <w:rFonts w:ascii="宋体" w:eastAsia="宋体" w:hint="eastAsia"/>
                        <w:sz w:val="36"/>
                      </w:rPr>
                      <w:t>生的沼气用于产生蒸汽。</w:t>
                    </w:r>
                  </w:p>
                </w:txbxContent>
              </v:textbox>
            </v:shape>
            <v:shape id="_x0000_s1033" type="#_x0000_t202" style="width:14420;height:1764;left:1728;position:absolute;top:4702" filled="f" stroked="f">
              <v:textbox inset="0,0,0,0">
                <w:txbxContent>
                  <w:p>
                    <w:pPr>
                      <w:spacing w:before="0" w:line="411" w:lineRule="exact"/>
                      <w:ind w:left="677" w:right="0" w:firstLine="0"/>
                      <w:jc w:val="left"/>
                      <w:rPr>
                        <w:rFonts w:ascii="宋体" w:eastAsia="宋体" w:hAnsi="宋体" w:hint="eastAsia"/>
                        <w:sz w:val="36"/>
                      </w:rPr>
                    </w:pPr>
                    <w:r>
                      <w:rPr>
                        <w:rFonts w:ascii="宋体" w:eastAsia="宋体" w:hAnsi="宋体" w:hint="eastAsia"/>
                        <w:sz w:val="36"/>
                      </w:rPr>
                      <w:t>1992</w:t>
                    </w:r>
                    <w:r>
                      <w:rPr>
                        <w:rFonts w:ascii="宋体" w:eastAsia="宋体" w:hAnsi="宋体" w:hint="eastAsia"/>
                        <w:spacing w:val="-17"/>
                        <w:sz w:val="36"/>
                      </w:rPr>
                      <w:t xml:space="preserve"> 年，当我们的日产量上升到 </w:t>
                    </w:r>
                    <w:r>
                      <w:rPr>
                        <w:rFonts w:ascii="宋体" w:eastAsia="宋体" w:hAnsi="宋体" w:hint="eastAsia"/>
                        <w:sz w:val="36"/>
                      </w:rPr>
                      <w:t>1200</w:t>
                    </w:r>
                    <w:r>
                      <w:rPr>
                        <w:rFonts w:ascii="宋体" w:eastAsia="宋体" w:hAnsi="宋体" w:hint="eastAsia"/>
                        <w:spacing w:val="-16"/>
                        <w:sz w:val="36"/>
                      </w:rPr>
                      <w:t xml:space="preserve"> 吨时，我们再次订购了另一套 </w:t>
                    </w:r>
                    <w:r>
                      <w:rPr>
                        <w:rFonts w:ascii="宋体" w:eastAsia="宋体" w:hAnsi="宋体" w:hint="eastAsia"/>
                        <w:sz w:val="36"/>
                      </w:rPr>
                      <w:t>BIOPAQ</w:t>
                    </w:r>
                    <w:r>
                      <w:rPr>
                        <w:rFonts w:ascii="Symbol" w:eastAsia="Symbol" w:hAnsi="Symbol"/>
                        <w:position w:val="2"/>
                        <w:sz w:val="24"/>
                      </w:rPr>
                      <w:sym w:font="Symbol" w:char="F0D2"/>
                    </w:r>
                    <w:r>
                      <w:rPr>
                        <w:rFonts w:ascii="宋体" w:eastAsia="宋体" w:hAnsi="宋体" w:hint="eastAsia"/>
                        <w:sz w:val="36"/>
                      </w:rPr>
                      <w:t>反应器，</w:t>
                    </w:r>
                  </w:p>
                  <w:p>
                    <w:pPr>
                      <w:spacing w:before="2" w:line="700" w:lineRule="atLeast"/>
                      <w:ind w:left="0" w:right="18" w:firstLine="0"/>
                      <w:jc w:val="left"/>
                      <w:rPr>
                        <w:rFonts w:ascii="宋体" w:eastAsia="宋体" w:hint="eastAsia"/>
                        <w:sz w:val="36"/>
                      </w:rPr>
                    </w:pPr>
                    <w:r>
                      <w:rPr>
                        <w:rFonts w:ascii="宋体" w:eastAsia="宋体" w:hint="eastAsia"/>
                        <w:sz w:val="36"/>
                      </w:rPr>
                      <w:t>这新一代的反应器是完全成熟的产品，采用耐腐蚀材料，气味控制完全，并使我们享受到专业化的技术服务。</w:t>
                    </w:r>
                  </w:p>
                </w:txbxContent>
              </v:textbox>
            </v:shape>
            <w10:wrap type="topAndBottom"/>
          </v:group>
        </w:pict>
      </w:r>
    </w:p>
    <w:p>
      <w:pPr>
        <w:spacing w:after="0"/>
        <w:rPr>
          <w:sz w:val="19"/>
        </w:rPr>
        <w:sectPr>
          <w:type w:val="continuous"/>
          <w:pgSz w:w="17870" w:h="25260"/>
          <w:pgMar w:top="1720" w:right="940" w:bottom="280" w:left="1420" w:header="708" w:footer="708"/>
          <w:cols w:space="708"/>
        </w:sectPr>
      </w:pPr>
    </w:p>
    <w:p>
      <w:pPr>
        <w:pStyle w:val="Heading1"/>
        <w:numPr>
          <w:ilvl w:val="1"/>
          <w:numId w:val="47"/>
        </w:numPr>
        <w:tabs>
          <w:tab w:val="left" w:pos="1389"/>
        </w:tabs>
        <w:spacing w:before="21" w:after="0" w:line="240" w:lineRule="auto"/>
        <w:ind w:left="1388" w:right="0" w:hanging="1081"/>
        <w:jc w:val="left"/>
      </w:pPr>
      <w:r>
        <w:t>相关业绩</w:t>
      </w:r>
    </w:p>
    <w:p>
      <w:pPr>
        <w:pStyle w:val="BodyText"/>
        <w:spacing w:before="11"/>
        <w:rPr>
          <w:b/>
          <w:sz w:val="57"/>
        </w:rPr>
      </w:pPr>
    </w:p>
    <w:p>
      <w:pPr>
        <w:pStyle w:val="BodyText"/>
        <w:spacing w:line="364" w:lineRule="auto"/>
        <w:ind w:left="445" w:right="655" w:firstLine="540"/>
      </w:pPr>
      <w:r>
        <w:rPr>
          <w:spacing w:val="-13"/>
        </w:rPr>
        <w:t xml:space="preserve">从帕克所建的 </w:t>
      </w:r>
      <w:r>
        <w:t>80</w:t>
      </w:r>
      <w:r>
        <w:rPr>
          <w:spacing w:val="-11"/>
        </w:rPr>
        <w:t xml:space="preserve"> 多项造纸行业污水处理项目中，我们选择推荐以下的项目与贵厂情况非</w:t>
      </w:r>
      <w:r>
        <w:t>常相似。</w:t>
      </w:r>
    </w:p>
    <w:p>
      <w:pPr>
        <w:pStyle w:val="Heading4"/>
        <w:spacing w:before="182"/>
        <w:ind w:left="308" w:firstLine="0"/>
      </w:pPr>
      <w:r>
        <w:drawing>
          <wp:anchor distT="0" distB="0" distL="0" distR="0" simplePos="0" relativeHeight="251660288" behindDoc="1" locked="0" layoutInCell="1" allowOverlap="1">
            <wp:simplePos x="0" y="0"/>
            <wp:positionH relativeFrom="page">
              <wp:posOffset>1168400</wp:posOffset>
            </wp:positionH>
            <wp:positionV relativeFrom="paragraph">
              <wp:posOffset>666876</wp:posOffset>
            </wp:positionV>
            <wp:extent cx="9273159" cy="7068883"/>
            <wp:effectExtent l="0" t="0" r="0" b="0"/>
            <wp:wrapNone/>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png"/>
                    <pic:cNvPicPr/>
                  </pic:nvPicPr>
                  <pic:blipFill>
                    <a:blip xmlns:r="http://schemas.openxmlformats.org/officeDocument/2006/relationships" r:embed="rId6" cstate="print"/>
                    <a:stretch>
                      <a:fillRect/>
                    </a:stretch>
                  </pic:blipFill>
                  <pic:spPr>
                    <a:xfrm>
                      <a:off x="0" y="0"/>
                      <a:ext cx="9273159" cy="7068883"/>
                    </a:xfrm>
                    <a:prstGeom prst="rect">
                      <a:avLst/>
                    </a:prstGeom>
                  </pic:spPr>
                </pic:pic>
              </a:graphicData>
            </a:graphic>
          </wp:anchor>
        </w:drawing>
      </w:r>
      <w:r>
        <w:t>相似项目介绍表</w:t>
      </w:r>
    </w:p>
    <w:p>
      <w:pPr>
        <w:pStyle w:val="BodyText"/>
        <w:rPr>
          <w:b/>
          <w:sz w:val="20"/>
        </w:rPr>
      </w:pPr>
    </w:p>
    <w:p>
      <w:pPr>
        <w:pStyle w:val="BodyText"/>
        <w:rPr>
          <w:b/>
          <w:sz w:val="20"/>
        </w:rPr>
      </w:pPr>
    </w:p>
    <w:p>
      <w:pPr>
        <w:pStyle w:val="BodyText"/>
        <w:rPr>
          <w:b/>
          <w:sz w:val="18"/>
        </w:rPr>
      </w:pPr>
    </w:p>
    <w:tbl>
      <w:tblPr>
        <w:tblStyle w:val="TableNormal0"/>
        <w:tblW w:w="0" w:type="auto"/>
        <w:jc w:val="left"/>
        <w:tblInd w:w="5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650"/>
        <w:gridCol w:w="1721"/>
        <w:gridCol w:w="3010"/>
        <w:gridCol w:w="1131"/>
        <w:gridCol w:w="299"/>
        <w:gridCol w:w="634"/>
        <w:gridCol w:w="663"/>
        <w:gridCol w:w="1670"/>
        <w:gridCol w:w="1508"/>
      </w:tblGrid>
      <w:tr>
        <w:tblPrEx>
          <w:tblW w:w="0" w:type="auto"/>
          <w:jc w:val="left"/>
          <w:tblInd w:w="5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700"/>
          <w:jc w:val="left"/>
        </w:trPr>
        <w:tc>
          <w:tcPr>
            <w:tcW w:w="3650" w:type="dxa"/>
          </w:tcPr>
          <w:p>
            <w:pPr>
              <w:pStyle w:val="TableParagraph"/>
              <w:spacing w:before="146"/>
              <w:ind w:left="1241"/>
              <w:rPr>
                <w:sz w:val="30"/>
              </w:rPr>
            </w:pPr>
            <w:r>
              <w:rPr>
                <w:sz w:val="30"/>
              </w:rPr>
              <w:t>企业名称</w:t>
            </w:r>
          </w:p>
        </w:tc>
        <w:tc>
          <w:tcPr>
            <w:tcW w:w="1721" w:type="dxa"/>
          </w:tcPr>
          <w:p>
            <w:pPr>
              <w:pStyle w:val="TableParagraph"/>
              <w:spacing w:before="146"/>
              <w:ind w:left="659"/>
              <w:rPr>
                <w:sz w:val="30"/>
              </w:rPr>
            </w:pPr>
            <w:r>
              <w:rPr>
                <w:sz w:val="30"/>
              </w:rPr>
              <w:t>国家</w:t>
            </w:r>
          </w:p>
        </w:tc>
        <w:tc>
          <w:tcPr>
            <w:tcW w:w="3010" w:type="dxa"/>
          </w:tcPr>
          <w:p>
            <w:pPr>
              <w:pStyle w:val="TableParagraph"/>
              <w:spacing w:before="146"/>
              <w:ind w:left="695"/>
              <w:rPr>
                <w:sz w:val="30"/>
              </w:rPr>
            </w:pPr>
            <w:r>
              <w:rPr>
                <w:sz w:val="30"/>
              </w:rPr>
              <w:t>制浆造纸工艺</w:t>
            </w:r>
          </w:p>
        </w:tc>
        <w:tc>
          <w:tcPr>
            <w:tcW w:w="2064" w:type="dxa"/>
            <w:gridSpan w:val="3"/>
          </w:tcPr>
          <w:p>
            <w:pPr>
              <w:pStyle w:val="TableParagraph"/>
              <w:spacing w:line="358" w:lineRule="exact"/>
              <w:ind w:left="486"/>
              <w:rPr>
                <w:sz w:val="30"/>
              </w:rPr>
            </w:pPr>
            <w:r>
              <w:rPr>
                <w:w w:val="95"/>
                <w:sz w:val="30"/>
              </w:rPr>
              <w:t>反应器容积</w:t>
            </w:r>
          </w:p>
          <w:p>
            <w:pPr>
              <w:pStyle w:val="TableParagraph"/>
              <w:spacing w:before="1" w:line="322" w:lineRule="exact"/>
              <w:ind w:left="976"/>
              <w:rPr>
                <w:sz w:val="30"/>
              </w:rPr>
            </w:pPr>
            <w:r>
              <w:rPr>
                <w:w w:val="95"/>
                <w:sz w:val="30"/>
              </w:rPr>
              <w:t>和类型</w:t>
            </w:r>
          </w:p>
        </w:tc>
        <w:tc>
          <w:tcPr>
            <w:tcW w:w="663" w:type="dxa"/>
          </w:tcPr>
          <w:p>
            <w:pPr>
              <w:pStyle w:val="TableParagraph"/>
              <w:spacing w:line="354" w:lineRule="exact"/>
              <w:ind w:left="84"/>
              <w:rPr>
                <w:sz w:val="29"/>
              </w:rPr>
            </w:pPr>
            <w:r>
              <w:rPr>
                <w:position w:val="-1"/>
                <w:sz w:val="30"/>
              </w:rPr>
              <w:t>m</w:t>
            </w:r>
            <w:r>
              <w:rPr>
                <w:sz w:val="29"/>
              </w:rPr>
              <w:t>3</w:t>
            </w:r>
          </w:p>
        </w:tc>
        <w:tc>
          <w:tcPr>
            <w:tcW w:w="1670" w:type="dxa"/>
          </w:tcPr>
          <w:p>
            <w:pPr>
              <w:pStyle w:val="TableParagraph"/>
              <w:spacing w:line="358" w:lineRule="exact"/>
              <w:ind w:left="224" w:right="206"/>
              <w:jc w:val="center"/>
              <w:rPr>
                <w:sz w:val="30"/>
              </w:rPr>
            </w:pPr>
            <w:r>
              <w:rPr>
                <w:sz w:val="30"/>
              </w:rPr>
              <w:t>COD 负荷</w:t>
            </w:r>
          </w:p>
          <w:p>
            <w:pPr>
              <w:pStyle w:val="TableParagraph"/>
              <w:spacing w:before="1" w:line="322" w:lineRule="exact"/>
              <w:ind w:left="224" w:right="203"/>
              <w:jc w:val="center"/>
              <w:rPr>
                <w:sz w:val="30"/>
              </w:rPr>
            </w:pPr>
            <w:r>
              <w:rPr>
                <w:sz w:val="30"/>
              </w:rPr>
              <w:t>kg/d</w:t>
            </w:r>
          </w:p>
        </w:tc>
        <w:tc>
          <w:tcPr>
            <w:tcW w:w="1508" w:type="dxa"/>
          </w:tcPr>
          <w:p>
            <w:pPr>
              <w:pStyle w:val="TableParagraph"/>
              <w:spacing w:before="146"/>
              <w:ind w:left="240" w:right="27"/>
              <w:jc w:val="center"/>
              <w:rPr>
                <w:sz w:val="30"/>
              </w:rPr>
            </w:pPr>
            <w:r>
              <w:rPr>
                <w:sz w:val="30"/>
              </w:rPr>
              <w:t>建成年代</w:t>
            </w:r>
          </w:p>
        </w:tc>
      </w:tr>
      <w:tr>
        <w:tblPrEx>
          <w:tblW w:w="0" w:type="auto"/>
          <w:jc w:val="left"/>
          <w:tblInd w:w="565" w:type="dxa"/>
          <w:tblLayout w:type="fixed"/>
          <w:tblCellMar>
            <w:top w:w="0" w:type="dxa"/>
            <w:left w:w="0" w:type="dxa"/>
            <w:bottom w:w="0" w:type="dxa"/>
            <w:right w:w="0" w:type="dxa"/>
          </w:tblCellMar>
          <w:tblLook w:val="01E0"/>
        </w:tblPrEx>
        <w:trPr>
          <w:trHeight w:val="999"/>
          <w:jc w:val="left"/>
        </w:trPr>
        <w:tc>
          <w:tcPr>
            <w:tcW w:w="3650" w:type="dxa"/>
          </w:tcPr>
          <w:p>
            <w:pPr>
              <w:pStyle w:val="TableParagraph"/>
              <w:spacing w:before="5"/>
              <w:rPr>
                <w:b/>
                <w:sz w:val="28"/>
              </w:rPr>
            </w:pPr>
          </w:p>
          <w:p>
            <w:pPr>
              <w:pStyle w:val="TableParagraph"/>
              <w:ind w:left="50"/>
              <w:rPr>
                <w:sz w:val="30"/>
              </w:rPr>
            </w:pPr>
            <w:r>
              <w:rPr>
                <w:sz w:val="30"/>
              </w:rPr>
              <w:t>江西晨鸣纸业有限公司</w:t>
            </w:r>
          </w:p>
        </w:tc>
        <w:tc>
          <w:tcPr>
            <w:tcW w:w="1721" w:type="dxa"/>
          </w:tcPr>
          <w:p>
            <w:pPr>
              <w:pStyle w:val="TableParagraph"/>
              <w:spacing w:before="5"/>
              <w:rPr>
                <w:b/>
                <w:sz w:val="28"/>
              </w:rPr>
            </w:pPr>
          </w:p>
          <w:p>
            <w:pPr>
              <w:pStyle w:val="TableParagraph"/>
              <w:ind w:left="313"/>
              <w:rPr>
                <w:sz w:val="30"/>
              </w:rPr>
            </w:pPr>
            <w:r>
              <w:rPr>
                <w:sz w:val="30"/>
              </w:rPr>
              <w:t>中国</w:t>
            </w:r>
          </w:p>
        </w:tc>
        <w:tc>
          <w:tcPr>
            <w:tcW w:w="3010" w:type="dxa"/>
          </w:tcPr>
          <w:p>
            <w:pPr>
              <w:pStyle w:val="TableParagraph"/>
              <w:spacing w:before="5"/>
              <w:rPr>
                <w:b/>
                <w:sz w:val="28"/>
              </w:rPr>
            </w:pPr>
          </w:p>
          <w:p>
            <w:pPr>
              <w:pStyle w:val="TableParagraph"/>
              <w:ind w:left="212"/>
              <w:rPr>
                <w:sz w:val="30"/>
              </w:rPr>
            </w:pPr>
            <w:r>
              <w:rPr>
                <w:sz w:val="30"/>
              </w:rPr>
              <w:t>LWC 的 TMP 和 DIP</w:t>
            </w:r>
          </w:p>
        </w:tc>
        <w:tc>
          <w:tcPr>
            <w:tcW w:w="1430" w:type="dxa"/>
            <w:gridSpan w:val="2"/>
          </w:tcPr>
          <w:p>
            <w:pPr>
              <w:pStyle w:val="TableParagraph"/>
              <w:spacing w:before="5"/>
              <w:rPr>
                <w:b/>
                <w:sz w:val="28"/>
              </w:rPr>
            </w:pPr>
          </w:p>
          <w:p>
            <w:pPr>
              <w:pStyle w:val="TableParagraph"/>
              <w:ind w:left="310"/>
              <w:rPr>
                <w:sz w:val="30"/>
              </w:rPr>
            </w:pPr>
            <w:r>
              <w:rPr>
                <w:sz w:val="30"/>
              </w:rPr>
              <w:t>2X 1700</w:t>
            </w:r>
          </w:p>
        </w:tc>
        <w:tc>
          <w:tcPr>
            <w:tcW w:w="634" w:type="dxa"/>
          </w:tcPr>
          <w:p>
            <w:pPr>
              <w:pStyle w:val="TableParagraph"/>
              <w:spacing w:before="5"/>
              <w:rPr>
                <w:b/>
                <w:sz w:val="28"/>
              </w:rPr>
            </w:pPr>
          </w:p>
          <w:p>
            <w:pPr>
              <w:pStyle w:val="TableParagraph"/>
              <w:ind w:left="75"/>
              <w:rPr>
                <w:sz w:val="30"/>
              </w:rPr>
            </w:pPr>
            <w:r>
              <w:rPr>
                <w:sz w:val="30"/>
              </w:rPr>
              <w:t>IC</w:t>
            </w:r>
          </w:p>
        </w:tc>
        <w:tc>
          <w:tcPr>
            <w:tcW w:w="2333" w:type="dxa"/>
            <w:gridSpan w:val="2"/>
          </w:tcPr>
          <w:p>
            <w:pPr>
              <w:pStyle w:val="TableParagraph"/>
              <w:spacing w:before="5"/>
              <w:rPr>
                <w:b/>
                <w:sz w:val="28"/>
              </w:rPr>
            </w:pPr>
          </w:p>
          <w:p>
            <w:pPr>
              <w:pStyle w:val="TableParagraph"/>
              <w:ind w:left="1134"/>
              <w:rPr>
                <w:sz w:val="30"/>
              </w:rPr>
            </w:pPr>
            <w:r>
              <w:rPr>
                <w:sz w:val="30"/>
              </w:rPr>
              <w:t>83,000</w:t>
            </w:r>
          </w:p>
        </w:tc>
        <w:tc>
          <w:tcPr>
            <w:tcW w:w="1508" w:type="dxa"/>
          </w:tcPr>
          <w:p>
            <w:pPr>
              <w:pStyle w:val="TableParagraph"/>
              <w:spacing w:before="5"/>
              <w:rPr>
                <w:b/>
                <w:sz w:val="28"/>
              </w:rPr>
            </w:pPr>
          </w:p>
          <w:p>
            <w:pPr>
              <w:pStyle w:val="TableParagraph"/>
              <w:ind w:left="240" w:right="20"/>
              <w:jc w:val="center"/>
              <w:rPr>
                <w:sz w:val="30"/>
              </w:rPr>
            </w:pPr>
            <w:r>
              <w:rPr>
                <w:sz w:val="30"/>
              </w:rPr>
              <w:t>XXXX</w:t>
            </w:r>
          </w:p>
        </w:tc>
      </w:tr>
      <w:tr>
        <w:tblPrEx>
          <w:tblW w:w="0" w:type="auto"/>
          <w:jc w:val="left"/>
          <w:tblInd w:w="565" w:type="dxa"/>
          <w:tblLayout w:type="fixed"/>
          <w:tblCellMar>
            <w:top w:w="0" w:type="dxa"/>
            <w:left w:w="0" w:type="dxa"/>
            <w:bottom w:w="0" w:type="dxa"/>
            <w:right w:w="0" w:type="dxa"/>
          </w:tblCellMar>
          <w:tblLook w:val="01E0"/>
        </w:tblPrEx>
        <w:trPr>
          <w:trHeight w:val="1396"/>
          <w:jc w:val="left"/>
        </w:trPr>
        <w:tc>
          <w:tcPr>
            <w:tcW w:w="3650" w:type="dxa"/>
          </w:tcPr>
          <w:p>
            <w:pPr>
              <w:pStyle w:val="TableParagraph"/>
              <w:spacing w:before="250" w:line="319" w:lineRule="auto"/>
              <w:ind w:left="50" w:right="265"/>
              <w:rPr>
                <w:sz w:val="30"/>
              </w:rPr>
            </w:pPr>
            <w:r>
              <w:rPr>
                <w:sz w:val="30"/>
              </w:rPr>
              <w:t>山东晨鸣纸业股份有限公司</w:t>
            </w:r>
          </w:p>
        </w:tc>
        <w:tc>
          <w:tcPr>
            <w:tcW w:w="1721" w:type="dxa"/>
          </w:tcPr>
          <w:p>
            <w:pPr>
              <w:pStyle w:val="TableParagraph"/>
              <w:spacing w:before="250"/>
              <w:ind w:left="313"/>
              <w:rPr>
                <w:sz w:val="30"/>
              </w:rPr>
            </w:pPr>
            <w:r>
              <w:rPr>
                <w:sz w:val="30"/>
              </w:rPr>
              <w:t>中国</w:t>
            </w:r>
          </w:p>
        </w:tc>
        <w:tc>
          <w:tcPr>
            <w:tcW w:w="3010" w:type="dxa"/>
          </w:tcPr>
          <w:p>
            <w:pPr>
              <w:pStyle w:val="TableParagraph"/>
              <w:spacing w:before="250"/>
              <w:ind w:left="212"/>
              <w:rPr>
                <w:sz w:val="30"/>
              </w:rPr>
            </w:pPr>
            <w:r>
              <w:rPr>
                <w:sz w:val="30"/>
              </w:rPr>
              <w:t>APMP</w:t>
            </w:r>
          </w:p>
        </w:tc>
        <w:tc>
          <w:tcPr>
            <w:tcW w:w="1430" w:type="dxa"/>
            <w:gridSpan w:val="2"/>
          </w:tcPr>
          <w:p>
            <w:pPr>
              <w:pStyle w:val="TableParagraph"/>
              <w:spacing w:before="250"/>
              <w:ind w:left="310"/>
              <w:rPr>
                <w:sz w:val="30"/>
              </w:rPr>
            </w:pPr>
            <w:r>
              <w:rPr>
                <w:sz w:val="30"/>
              </w:rPr>
              <w:t>1700 IC</w:t>
            </w:r>
          </w:p>
        </w:tc>
        <w:tc>
          <w:tcPr>
            <w:tcW w:w="634" w:type="dxa"/>
          </w:tcPr>
          <w:p>
            <w:pPr>
              <w:pStyle w:val="TableParagraph"/>
              <w:rPr>
                <w:rFonts w:ascii="Times New Roman"/>
                <w:sz w:val="30"/>
              </w:rPr>
            </w:pPr>
          </w:p>
        </w:tc>
        <w:tc>
          <w:tcPr>
            <w:tcW w:w="2333" w:type="dxa"/>
            <w:gridSpan w:val="2"/>
          </w:tcPr>
          <w:p>
            <w:pPr>
              <w:pStyle w:val="TableParagraph"/>
              <w:spacing w:before="250"/>
              <w:ind w:left="1134"/>
              <w:rPr>
                <w:sz w:val="30"/>
              </w:rPr>
            </w:pPr>
            <w:r>
              <w:rPr>
                <w:sz w:val="30"/>
              </w:rPr>
              <w:t>33,000</w:t>
            </w:r>
          </w:p>
        </w:tc>
        <w:tc>
          <w:tcPr>
            <w:tcW w:w="1508" w:type="dxa"/>
          </w:tcPr>
          <w:p>
            <w:pPr>
              <w:pStyle w:val="TableParagraph"/>
              <w:spacing w:before="250"/>
              <w:ind w:left="240" w:right="20"/>
              <w:jc w:val="center"/>
              <w:rPr>
                <w:sz w:val="30"/>
              </w:rPr>
            </w:pPr>
            <w:r>
              <w:rPr>
                <w:sz w:val="30"/>
              </w:rPr>
              <w:t>XXXX</w:t>
            </w:r>
          </w:p>
        </w:tc>
      </w:tr>
      <w:tr>
        <w:tblPrEx>
          <w:tblW w:w="0" w:type="auto"/>
          <w:jc w:val="left"/>
          <w:tblInd w:w="565" w:type="dxa"/>
          <w:tblLayout w:type="fixed"/>
          <w:tblCellMar>
            <w:top w:w="0" w:type="dxa"/>
            <w:left w:w="0" w:type="dxa"/>
            <w:bottom w:w="0" w:type="dxa"/>
            <w:right w:w="0" w:type="dxa"/>
          </w:tblCellMar>
          <w:tblLook w:val="01E0"/>
        </w:tblPrEx>
        <w:trPr>
          <w:trHeight w:val="885"/>
          <w:jc w:val="left"/>
        </w:trPr>
        <w:tc>
          <w:tcPr>
            <w:tcW w:w="3650" w:type="dxa"/>
          </w:tcPr>
          <w:p>
            <w:pPr>
              <w:pStyle w:val="TableParagraph"/>
              <w:spacing w:before="250"/>
              <w:ind w:left="50"/>
              <w:rPr>
                <w:sz w:val="30"/>
              </w:rPr>
            </w:pPr>
            <w:r>
              <w:rPr>
                <w:sz w:val="30"/>
              </w:rPr>
              <w:t>加拿大 Tembec 浆厂</w:t>
            </w:r>
          </w:p>
        </w:tc>
        <w:tc>
          <w:tcPr>
            <w:tcW w:w="1721" w:type="dxa"/>
          </w:tcPr>
          <w:p>
            <w:pPr>
              <w:pStyle w:val="TableParagraph"/>
              <w:spacing w:before="250"/>
              <w:ind w:left="313"/>
              <w:rPr>
                <w:sz w:val="30"/>
              </w:rPr>
            </w:pPr>
            <w:r>
              <w:rPr>
                <w:sz w:val="30"/>
              </w:rPr>
              <w:t>加拿大</w:t>
            </w:r>
          </w:p>
        </w:tc>
        <w:tc>
          <w:tcPr>
            <w:tcW w:w="3010" w:type="dxa"/>
          </w:tcPr>
          <w:p>
            <w:pPr>
              <w:pStyle w:val="TableParagraph"/>
              <w:spacing w:before="250"/>
              <w:ind w:left="212"/>
              <w:rPr>
                <w:sz w:val="30"/>
              </w:rPr>
            </w:pPr>
            <w:r>
              <w:rPr>
                <w:sz w:val="30"/>
              </w:rPr>
              <w:t>CTMP</w:t>
            </w:r>
          </w:p>
        </w:tc>
        <w:tc>
          <w:tcPr>
            <w:tcW w:w="1430" w:type="dxa"/>
            <w:gridSpan w:val="2"/>
          </w:tcPr>
          <w:p>
            <w:pPr>
              <w:pStyle w:val="TableParagraph"/>
              <w:spacing w:before="250"/>
              <w:ind w:left="310"/>
              <w:rPr>
                <w:sz w:val="30"/>
              </w:rPr>
            </w:pPr>
            <w:r>
              <w:rPr>
                <w:sz w:val="30"/>
              </w:rPr>
              <w:t>2X 2630</w:t>
            </w:r>
          </w:p>
        </w:tc>
        <w:tc>
          <w:tcPr>
            <w:tcW w:w="634" w:type="dxa"/>
          </w:tcPr>
          <w:p>
            <w:pPr>
              <w:pStyle w:val="TableParagraph"/>
              <w:spacing w:before="250"/>
              <w:ind w:left="75"/>
              <w:rPr>
                <w:sz w:val="30"/>
              </w:rPr>
            </w:pPr>
            <w:r>
              <w:rPr>
                <w:sz w:val="30"/>
              </w:rPr>
              <w:t>IC</w:t>
            </w:r>
          </w:p>
        </w:tc>
        <w:tc>
          <w:tcPr>
            <w:tcW w:w="2333" w:type="dxa"/>
            <w:gridSpan w:val="2"/>
          </w:tcPr>
          <w:p>
            <w:pPr>
              <w:pStyle w:val="TableParagraph"/>
              <w:spacing w:before="250"/>
              <w:ind w:left="983"/>
              <w:rPr>
                <w:sz w:val="30"/>
              </w:rPr>
            </w:pPr>
            <w:r>
              <w:rPr>
                <w:sz w:val="30"/>
              </w:rPr>
              <w:t>183,600</w:t>
            </w:r>
          </w:p>
        </w:tc>
        <w:tc>
          <w:tcPr>
            <w:tcW w:w="1508" w:type="dxa"/>
          </w:tcPr>
          <w:p>
            <w:pPr>
              <w:pStyle w:val="TableParagraph"/>
              <w:spacing w:before="250"/>
              <w:ind w:left="240" w:right="20"/>
              <w:jc w:val="center"/>
              <w:rPr>
                <w:sz w:val="30"/>
              </w:rPr>
            </w:pPr>
            <w:r>
              <w:rPr>
                <w:sz w:val="30"/>
              </w:rPr>
              <w:t>XXXX</w:t>
            </w:r>
          </w:p>
        </w:tc>
      </w:tr>
      <w:tr>
        <w:tblPrEx>
          <w:tblW w:w="0" w:type="auto"/>
          <w:jc w:val="left"/>
          <w:tblInd w:w="565" w:type="dxa"/>
          <w:tblLayout w:type="fixed"/>
          <w:tblCellMar>
            <w:top w:w="0" w:type="dxa"/>
            <w:left w:w="0" w:type="dxa"/>
            <w:bottom w:w="0" w:type="dxa"/>
            <w:right w:w="0" w:type="dxa"/>
          </w:tblCellMar>
          <w:tblLook w:val="01E0"/>
        </w:tblPrEx>
        <w:trPr>
          <w:trHeight w:val="1103"/>
          <w:jc w:val="left"/>
        </w:trPr>
        <w:tc>
          <w:tcPr>
            <w:tcW w:w="3650" w:type="dxa"/>
          </w:tcPr>
          <w:p>
            <w:pPr>
              <w:pStyle w:val="TableParagraph"/>
              <w:spacing w:before="124" w:line="510" w:lineRule="atLeast"/>
              <w:ind w:left="50" w:right="265"/>
              <w:rPr>
                <w:sz w:val="30"/>
              </w:rPr>
            </w:pPr>
            <w:r>
              <w:rPr>
                <w:sz w:val="30"/>
              </w:rPr>
              <w:t>山东泉林纸业有限责任公司</w:t>
            </w:r>
          </w:p>
        </w:tc>
        <w:tc>
          <w:tcPr>
            <w:tcW w:w="1721" w:type="dxa"/>
          </w:tcPr>
          <w:p>
            <w:pPr>
              <w:pStyle w:val="TableParagraph"/>
              <w:spacing w:before="250"/>
              <w:ind w:left="313"/>
              <w:rPr>
                <w:sz w:val="30"/>
              </w:rPr>
            </w:pPr>
            <w:r>
              <w:rPr>
                <w:sz w:val="30"/>
              </w:rPr>
              <w:t>中国</w:t>
            </w:r>
          </w:p>
        </w:tc>
        <w:tc>
          <w:tcPr>
            <w:tcW w:w="3010" w:type="dxa"/>
          </w:tcPr>
          <w:p>
            <w:pPr>
              <w:pStyle w:val="TableParagraph"/>
              <w:spacing w:before="250"/>
              <w:ind w:left="212"/>
              <w:rPr>
                <w:sz w:val="30"/>
              </w:rPr>
            </w:pPr>
            <w:r>
              <w:rPr>
                <w:sz w:val="30"/>
              </w:rPr>
              <w:t>LWC/铜版纸的 APMP</w:t>
            </w:r>
          </w:p>
        </w:tc>
        <w:tc>
          <w:tcPr>
            <w:tcW w:w="1430" w:type="dxa"/>
            <w:gridSpan w:val="2"/>
          </w:tcPr>
          <w:p>
            <w:pPr>
              <w:pStyle w:val="TableParagraph"/>
              <w:spacing w:before="250"/>
              <w:ind w:left="310"/>
              <w:rPr>
                <w:sz w:val="30"/>
              </w:rPr>
            </w:pPr>
            <w:r>
              <w:rPr>
                <w:sz w:val="30"/>
              </w:rPr>
              <w:t>1206 IC</w:t>
            </w:r>
          </w:p>
        </w:tc>
        <w:tc>
          <w:tcPr>
            <w:tcW w:w="634" w:type="dxa"/>
          </w:tcPr>
          <w:p>
            <w:pPr>
              <w:pStyle w:val="TableParagraph"/>
              <w:rPr>
                <w:rFonts w:ascii="Times New Roman"/>
                <w:sz w:val="30"/>
              </w:rPr>
            </w:pPr>
          </w:p>
        </w:tc>
        <w:tc>
          <w:tcPr>
            <w:tcW w:w="2333" w:type="dxa"/>
            <w:gridSpan w:val="2"/>
          </w:tcPr>
          <w:p>
            <w:pPr>
              <w:pStyle w:val="TableParagraph"/>
              <w:spacing w:before="250"/>
              <w:ind w:left="1134"/>
              <w:rPr>
                <w:sz w:val="30"/>
              </w:rPr>
            </w:pPr>
            <w:r>
              <w:rPr>
                <w:sz w:val="30"/>
              </w:rPr>
              <w:t>28,000</w:t>
            </w:r>
          </w:p>
        </w:tc>
        <w:tc>
          <w:tcPr>
            <w:tcW w:w="1508" w:type="dxa"/>
          </w:tcPr>
          <w:p>
            <w:pPr>
              <w:pStyle w:val="TableParagraph"/>
              <w:spacing w:before="250"/>
              <w:ind w:left="240" w:right="20"/>
              <w:jc w:val="center"/>
              <w:rPr>
                <w:sz w:val="30"/>
              </w:rPr>
            </w:pPr>
            <w:r>
              <w:rPr>
                <w:sz w:val="30"/>
              </w:rPr>
              <w:t>2003</w:t>
            </w:r>
          </w:p>
        </w:tc>
      </w:tr>
      <w:tr>
        <w:tblPrEx>
          <w:tblW w:w="0" w:type="auto"/>
          <w:jc w:val="left"/>
          <w:tblInd w:w="565" w:type="dxa"/>
          <w:tblLayout w:type="fixed"/>
          <w:tblCellMar>
            <w:top w:w="0" w:type="dxa"/>
            <w:left w:w="0" w:type="dxa"/>
            <w:bottom w:w="0" w:type="dxa"/>
            <w:right w:w="0" w:type="dxa"/>
          </w:tblCellMar>
          <w:tblLook w:val="01E0"/>
        </w:tblPrEx>
        <w:trPr>
          <w:trHeight w:val="1396"/>
          <w:jc w:val="left"/>
        </w:trPr>
        <w:tc>
          <w:tcPr>
            <w:tcW w:w="3650" w:type="dxa"/>
          </w:tcPr>
          <w:p>
            <w:pPr>
              <w:pStyle w:val="TableParagraph"/>
              <w:spacing w:before="1"/>
              <w:rPr>
                <w:b/>
                <w:sz w:val="26"/>
              </w:rPr>
            </w:pPr>
          </w:p>
          <w:p>
            <w:pPr>
              <w:pStyle w:val="TableParagraph"/>
              <w:spacing w:line="319" w:lineRule="auto"/>
              <w:ind w:left="50" w:right="265"/>
              <w:rPr>
                <w:sz w:val="30"/>
              </w:rPr>
            </w:pPr>
            <w:r>
              <w:rPr>
                <w:sz w:val="30"/>
              </w:rPr>
              <w:t>湖南岳阳纸业集团有限公司</w:t>
            </w:r>
          </w:p>
        </w:tc>
        <w:tc>
          <w:tcPr>
            <w:tcW w:w="1721" w:type="dxa"/>
          </w:tcPr>
          <w:p>
            <w:pPr>
              <w:pStyle w:val="TableParagraph"/>
              <w:spacing w:before="1"/>
              <w:rPr>
                <w:b/>
                <w:sz w:val="26"/>
              </w:rPr>
            </w:pPr>
          </w:p>
          <w:p>
            <w:pPr>
              <w:pStyle w:val="TableParagraph"/>
              <w:ind w:left="313"/>
              <w:rPr>
                <w:sz w:val="30"/>
              </w:rPr>
            </w:pPr>
            <w:r>
              <w:rPr>
                <w:sz w:val="30"/>
              </w:rPr>
              <w:t>中国</w:t>
            </w:r>
          </w:p>
        </w:tc>
        <w:tc>
          <w:tcPr>
            <w:tcW w:w="3010" w:type="dxa"/>
          </w:tcPr>
          <w:p>
            <w:pPr>
              <w:pStyle w:val="TableParagraph"/>
              <w:spacing w:before="1"/>
              <w:rPr>
                <w:b/>
                <w:sz w:val="26"/>
              </w:rPr>
            </w:pPr>
          </w:p>
          <w:p>
            <w:pPr>
              <w:pStyle w:val="TableParagraph"/>
              <w:ind w:left="212"/>
              <w:rPr>
                <w:sz w:val="30"/>
              </w:rPr>
            </w:pPr>
            <w:r>
              <w:rPr>
                <w:sz w:val="30"/>
              </w:rPr>
              <w:t>LWC 的 APMP</w:t>
            </w:r>
          </w:p>
        </w:tc>
        <w:tc>
          <w:tcPr>
            <w:tcW w:w="1131" w:type="dxa"/>
          </w:tcPr>
          <w:p>
            <w:pPr>
              <w:pStyle w:val="TableParagraph"/>
              <w:spacing w:before="1"/>
              <w:rPr>
                <w:b/>
                <w:sz w:val="26"/>
              </w:rPr>
            </w:pPr>
          </w:p>
          <w:p>
            <w:pPr>
              <w:pStyle w:val="TableParagraph"/>
              <w:ind w:right="71"/>
              <w:jc w:val="right"/>
              <w:rPr>
                <w:sz w:val="30"/>
              </w:rPr>
            </w:pPr>
            <w:r>
              <w:rPr>
                <w:w w:val="95"/>
                <w:sz w:val="30"/>
              </w:rPr>
              <w:t>2,280</w:t>
            </w:r>
          </w:p>
        </w:tc>
        <w:tc>
          <w:tcPr>
            <w:tcW w:w="933" w:type="dxa"/>
            <w:gridSpan w:val="2"/>
          </w:tcPr>
          <w:p>
            <w:pPr>
              <w:pStyle w:val="TableParagraph"/>
              <w:spacing w:before="1"/>
              <w:rPr>
                <w:b/>
                <w:sz w:val="26"/>
              </w:rPr>
            </w:pPr>
          </w:p>
          <w:p>
            <w:pPr>
              <w:pStyle w:val="TableParagraph"/>
              <w:ind w:left="75"/>
              <w:rPr>
                <w:sz w:val="30"/>
              </w:rPr>
            </w:pPr>
            <w:r>
              <w:rPr>
                <w:sz w:val="30"/>
              </w:rPr>
              <w:t>IC</w:t>
            </w:r>
          </w:p>
        </w:tc>
        <w:tc>
          <w:tcPr>
            <w:tcW w:w="2333" w:type="dxa"/>
            <w:gridSpan w:val="2"/>
          </w:tcPr>
          <w:p>
            <w:pPr>
              <w:pStyle w:val="TableParagraph"/>
              <w:spacing w:before="1"/>
              <w:rPr>
                <w:b/>
                <w:sz w:val="26"/>
              </w:rPr>
            </w:pPr>
          </w:p>
          <w:p>
            <w:pPr>
              <w:pStyle w:val="TableParagraph"/>
              <w:ind w:left="1134"/>
              <w:rPr>
                <w:sz w:val="30"/>
              </w:rPr>
            </w:pPr>
            <w:r>
              <w:rPr>
                <w:sz w:val="30"/>
              </w:rPr>
              <w:t>65,800</w:t>
            </w:r>
          </w:p>
        </w:tc>
        <w:tc>
          <w:tcPr>
            <w:tcW w:w="1508" w:type="dxa"/>
          </w:tcPr>
          <w:p>
            <w:pPr>
              <w:pStyle w:val="TableParagraph"/>
              <w:spacing w:before="1"/>
              <w:rPr>
                <w:b/>
                <w:sz w:val="26"/>
              </w:rPr>
            </w:pPr>
          </w:p>
          <w:p>
            <w:pPr>
              <w:pStyle w:val="TableParagraph"/>
              <w:ind w:left="240" w:right="20"/>
              <w:jc w:val="center"/>
              <w:rPr>
                <w:sz w:val="30"/>
              </w:rPr>
            </w:pPr>
            <w:r>
              <w:rPr>
                <w:sz w:val="30"/>
              </w:rPr>
              <w:t>2003</w:t>
            </w:r>
          </w:p>
        </w:tc>
      </w:tr>
      <w:tr>
        <w:tblPrEx>
          <w:tblW w:w="0" w:type="auto"/>
          <w:jc w:val="left"/>
          <w:tblInd w:w="565" w:type="dxa"/>
          <w:tblLayout w:type="fixed"/>
          <w:tblCellMar>
            <w:top w:w="0" w:type="dxa"/>
            <w:left w:w="0" w:type="dxa"/>
            <w:bottom w:w="0" w:type="dxa"/>
            <w:right w:w="0" w:type="dxa"/>
          </w:tblCellMar>
          <w:tblLook w:val="01E0"/>
        </w:tblPrEx>
        <w:trPr>
          <w:trHeight w:val="716"/>
          <w:jc w:val="left"/>
        </w:trPr>
        <w:tc>
          <w:tcPr>
            <w:tcW w:w="3650" w:type="dxa"/>
          </w:tcPr>
          <w:p>
            <w:pPr>
              <w:pStyle w:val="TableParagraph"/>
              <w:spacing w:before="165"/>
              <w:ind w:left="50"/>
              <w:rPr>
                <w:sz w:val="30"/>
              </w:rPr>
            </w:pPr>
            <w:r>
              <w:rPr>
                <w:sz w:val="30"/>
              </w:rPr>
              <w:t>福建省南纸股份有限公司</w:t>
            </w:r>
          </w:p>
        </w:tc>
        <w:tc>
          <w:tcPr>
            <w:tcW w:w="1721" w:type="dxa"/>
          </w:tcPr>
          <w:p>
            <w:pPr>
              <w:pStyle w:val="TableParagraph"/>
              <w:spacing w:before="165"/>
              <w:ind w:left="313"/>
              <w:rPr>
                <w:sz w:val="30"/>
              </w:rPr>
            </w:pPr>
            <w:r>
              <w:rPr>
                <w:sz w:val="30"/>
              </w:rPr>
              <w:t>中国</w:t>
            </w:r>
          </w:p>
        </w:tc>
        <w:tc>
          <w:tcPr>
            <w:tcW w:w="3010" w:type="dxa"/>
          </w:tcPr>
          <w:p>
            <w:pPr>
              <w:pStyle w:val="TableParagraph"/>
              <w:spacing w:before="165"/>
              <w:ind w:left="212"/>
              <w:rPr>
                <w:sz w:val="30"/>
              </w:rPr>
            </w:pPr>
            <w:r>
              <w:rPr>
                <w:sz w:val="30"/>
              </w:rPr>
              <w:t>TMP ， DIP</w:t>
            </w:r>
          </w:p>
        </w:tc>
        <w:tc>
          <w:tcPr>
            <w:tcW w:w="1131" w:type="dxa"/>
          </w:tcPr>
          <w:p>
            <w:pPr>
              <w:pStyle w:val="TableParagraph"/>
              <w:spacing w:before="165"/>
              <w:ind w:right="71"/>
              <w:jc w:val="right"/>
              <w:rPr>
                <w:sz w:val="30"/>
              </w:rPr>
            </w:pPr>
            <w:r>
              <w:rPr>
                <w:w w:val="95"/>
                <w:sz w:val="30"/>
              </w:rPr>
              <w:t>2,250</w:t>
            </w:r>
          </w:p>
        </w:tc>
        <w:tc>
          <w:tcPr>
            <w:tcW w:w="933" w:type="dxa"/>
            <w:gridSpan w:val="2"/>
          </w:tcPr>
          <w:p>
            <w:pPr>
              <w:pStyle w:val="TableParagraph"/>
              <w:spacing w:before="165"/>
              <w:ind w:left="75"/>
              <w:rPr>
                <w:sz w:val="30"/>
              </w:rPr>
            </w:pPr>
            <w:r>
              <w:rPr>
                <w:sz w:val="30"/>
              </w:rPr>
              <w:t>IC</w:t>
            </w:r>
          </w:p>
        </w:tc>
        <w:tc>
          <w:tcPr>
            <w:tcW w:w="2333" w:type="dxa"/>
            <w:gridSpan w:val="2"/>
          </w:tcPr>
          <w:p>
            <w:pPr>
              <w:pStyle w:val="TableParagraph"/>
              <w:spacing w:before="165"/>
              <w:ind w:left="1134"/>
              <w:rPr>
                <w:sz w:val="30"/>
              </w:rPr>
            </w:pPr>
            <w:r>
              <w:rPr>
                <w:sz w:val="30"/>
              </w:rPr>
              <w:t>34,540</w:t>
            </w:r>
          </w:p>
        </w:tc>
        <w:tc>
          <w:tcPr>
            <w:tcW w:w="1508" w:type="dxa"/>
          </w:tcPr>
          <w:p>
            <w:pPr>
              <w:pStyle w:val="TableParagraph"/>
              <w:spacing w:before="165"/>
              <w:ind w:left="240" w:right="20"/>
              <w:jc w:val="center"/>
              <w:rPr>
                <w:sz w:val="30"/>
              </w:rPr>
            </w:pPr>
            <w:r>
              <w:rPr>
                <w:sz w:val="30"/>
              </w:rPr>
              <w:t>2000</w:t>
            </w:r>
          </w:p>
        </w:tc>
      </w:tr>
      <w:tr>
        <w:tblPrEx>
          <w:tblW w:w="0" w:type="auto"/>
          <w:jc w:val="left"/>
          <w:tblInd w:w="565" w:type="dxa"/>
          <w:tblLayout w:type="fixed"/>
          <w:tblCellMar>
            <w:top w:w="0" w:type="dxa"/>
            <w:left w:w="0" w:type="dxa"/>
            <w:bottom w:w="0" w:type="dxa"/>
            <w:right w:w="0" w:type="dxa"/>
          </w:tblCellMar>
          <w:tblLook w:val="01E0"/>
        </w:tblPrEx>
        <w:trPr>
          <w:trHeight w:val="507"/>
          <w:jc w:val="left"/>
        </w:trPr>
        <w:tc>
          <w:tcPr>
            <w:tcW w:w="3650" w:type="dxa"/>
          </w:tcPr>
          <w:p>
            <w:pPr>
              <w:pStyle w:val="TableParagraph"/>
              <w:spacing w:before="165" w:line="322" w:lineRule="exact"/>
              <w:ind w:left="50"/>
              <w:rPr>
                <w:sz w:val="30"/>
              </w:rPr>
            </w:pPr>
            <w:r>
              <w:rPr>
                <w:sz w:val="30"/>
              </w:rPr>
              <w:t>Saugbrugsforeningen</w:t>
            </w:r>
          </w:p>
        </w:tc>
        <w:tc>
          <w:tcPr>
            <w:tcW w:w="1721" w:type="dxa"/>
          </w:tcPr>
          <w:p>
            <w:pPr>
              <w:pStyle w:val="TableParagraph"/>
              <w:spacing w:before="165" w:line="322" w:lineRule="exact"/>
              <w:ind w:left="313"/>
              <w:rPr>
                <w:sz w:val="30"/>
              </w:rPr>
            </w:pPr>
            <w:r>
              <w:rPr>
                <w:sz w:val="30"/>
              </w:rPr>
              <w:t>挪威</w:t>
            </w:r>
          </w:p>
        </w:tc>
        <w:tc>
          <w:tcPr>
            <w:tcW w:w="3010" w:type="dxa"/>
          </w:tcPr>
          <w:p>
            <w:pPr>
              <w:pStyle w:val="TableParagraph"/>
              <w:spacing w:before="165" w:line="322" w:lineRule="exact"/>
              <w:ind w:left="212"/>
              <w:rPr>
                <w:sz w:val="30"/>
              </w:rPr>
            </w:pPr>
            <w:r>
              <w:rPr>
                <w:sz w:val="30"/>
              </w:rPr>
              <w:t>TMP/CTMP</w:t>
            </w:r>
          </w:p>
        </w:tc>
        <w:tc>
          <w:tcPr>
            <w:tcW w:w="1131" w:type="dxa"/>
          </w:tcPr>
          <w:p>
            <w:pPr>
              <w:pStyle w:val="TableParagraph"/>
              <w:spacing w:before="165" w:line="322" w:lineRule="exact"/>
              <w:ind w:right="71"/>
              <w:jc w:val="right"/>
              <w:rPr>
                <w:sz w:val="30"/>
              </w:rPr>
            </w:pPr>
            <w:r>
              <w:rPr>
                <w:w w:val="95"/>
                <w:sz w:val="30"/>
              </w:rPr>
              <w:t>1,750</w:t>
            </w:r>
          </w:p>
        </w:tc>
        <w:tc>
          <w:tcPr>
            <w:tcW w:w="933" w:type="dxa"/>
            <w:gridSpan w:val="2"/>
          </w:tcPr>
          <w:p>
            <w:pPr>
              <w:pStyle w:val="TableParagraph"/>
              <w:spacing w:before="165" w:line="322" w:lineRule="exact"/>
              <w:ind w:left="75"/>
              <w:rPr>
                <w:sz w:val="30"/>
              </w:rPr>
            </w:pPr>
            <w:r>
              <w:rPr>
                <w:sz w:val="30"/>
              </w:rPr>
              <w:t>UASB</w:t>
            </w:r>
          </w:p>
        </w:tc>
        <w:tc>
          <w:tcPr>
            <w:tcW w:w="2333" w:type="dxa"/>
            <w:gridSpan w:val="2"/>
          </w:tcPr>
          <w:p>
            <w:pPr>
              <w:pStyle w:val="TableParagraph"/>
              <w:spacing w:before="165" w:line="322" w:lineRule="exact"/>
              <w:ind w:left="1134"/>
              <w:rPr>
                <w:sz w:val="30"/>
              </w:rPr>
            </w:pPr>
            <w:r>
              <w:rPr>
                <w:sz w:val="30"/>
              </w:rPr>
              <w:t>28,000</w:t>
            </w:r>
          </w:p>
        </w:tc>
        <w:tc>
          <w:tcPr>
            <w:tcW w:w="1508" w:type="dxa"/>
          </w:tcPr>
          <w:p>
            <w:pPr>
              <w:pStyle w:val="TableParagraph"/>
              <w:spacing w:before="165" w:line="322" w:lineRule="exact"/>
              <w:ind w:left="240" w:right="20"/>
              <w:jc w:val="center"/>
              <w:rPr>
                <w:sz w:val="30"/>
              </w:rPr>
            </w:pPr>
            <w:r>
              <w:rPr>
                <w:sz w:val="30"/>
              </w:rPr>
              <w:t>1992</w:t>
            </w:r>
          </w:p>
        </w:tc>
      </w:tr>
      <w:tr>
        <w:tblPrEx>
          <w:tblW w:w="0" w:type="auto"/>
          <w:jc w:val="left"/>
          <w:tblInd w:w="565" w:type="dxa"/>
          <w:tblLayout w:type="fixed"/>
          <w:tblCellMar>
            <w:top w:w="0" w:type="dxa"/>
            <w:left w:w="0" w:type="dxa"/>
            <w:bottom w:w="0" w:type="dxa"/>
            <w:right w:w="0" w:type="dxa"/>
          </w:tblCellMar>
          <w:tblLook w:val="01E0"/>
        </w:tblPrEx>
        <w:trPr>
          <w:trHeight w:val="925"/>
          <w:jc w:val="left"/>
        </w:trPr>
        <w:tc>
          <w:tcPr>
            <w:tcW w:w="3650" w:type="dxa"/>
          </w:tcPr>
          <w:p>
            <w:pPr>
              <w:pStyle w:val="TableParagraph"/>
              <w:spacing w:before="2"/>
              <w:rPr>
                <w:b/>
                <w:sz w:val="29"/>
              </w:rPr>
            </w:pPr>
          </w:p>
          <w:p>
            <w:pPr>
              <w:pStyle w:val="TableParagraph"/>
              <w:spacing w:before="1"/>
              <w:ind w:left="50"/>
              <w:rPr>
                <w:sz w:val="30"/>
              </w:rPr>
            </w:pPr>
            <w:r>
              <w:rPr>
                <w:sz w:val="30"/>
              </w:rPr>
              <w:t>Drvenjaca</w:t>
            </w:r>
          </w:p>
        </w:tc>
        <w:tc>
          <w:tcPr>
            <w:tcW w:w="1721" w:type="dxa"/>
          </w:tcPr>
          <w:p>
            <w:pPr>
              <w:pStyle w:val="TableParagraph"/>
              <w:spacing w:before="2"/>
              <w:rPr>
                <w:b/>
                <w:sz w:val="29"/>
              </w:rPr>
            </w:pPr>
          </w:p>
          <w:p>
            <w:pPr>
              <w:pStyle w:val="TableParagraph"/>
              <w:spacing w:before="1"/>
              <w:ind w:left="313"/>
              <w:rPr>
                <w:sz w:val="30"/>
              </w:rPr>
            </w:pPr>
            <w:r>
              <w:rPr>
                <w:sz w:val="30"/>
              </w:rPr>
              <w:t>南斯拉夫</w:t>
            </w:r>
          </w:p>
        </w:tc>
        <w:tc>
          <w:tcPr>
            <w:tcW w:w="3010" w:type="dxa"/>
          </w:tcPr>
          <w:p>
            <w:pPr>
              <w:pStyle w:val="TableParagraph"/>
              <w:spacing w:before="2"/>
              <w:rPr>
                <w:b/>
                <w:sz w:val="29"/>
              </w:rPr>
            </w:pPr>
          </w:p>
          <w:p>
            <w:pPr>
              <w:pStyle w:val="TableParagraph"/>
              <w:spacing w:before="1"/>
              <w:ind w:left="212"/>
              <w:rPr>
                <w:sz w:val="30"/>
              </w:rPr>
            </w:pPr>
            <w:r>
              <w:rPr>
                <w:sz w:val="30"/>
              </w:rPr>
              <w:t>TMP</w:t>
            </w:r>
          </w:p>
        </w:tc>
        <w:tc>
          <w:tcPr>
            <w:tcW w:w="2727" w:type="dxa"/>
            <w:gridSpan w:val="4"/>
          </w:tcPr>
          <w:p>
            <w:pPr>
              <w:pStyle w:val="TableParagraph"/>
              <w:spacing w:before="2"/>
              <w:rPr>
                <w:b/>
                <w:sz w:val="29"/>
              </w:rPr>
            </w:pPr>
          </w:p>
          <w:p>
            <w:pPr>
              <w:pStyle w:val="TableParagraph"/>
              <w:spacing w:before="1"/>
              <w:ind w:left="310"/>
              <w:rPr>
                <w:sz w:val="30"/>
              </w:rPr>
            </w:pPr>
            <w:r>
              <w:rPr>
                <w:sz w:val="30"/>
              </w:rPr>
              <w:t>600 USAB</w:t>
            </w:r>
          </w:p>
        </w:tc>
        <w:tc>
          <w:tcPr>
            <w:tcW w:w="1670" w:type="dxa"/>
          </w:tcPr>
          <w:p>
            <w:pPr>
              <w:pStyle w:val="TableParagraph"/>
              <w:spacing w:before="2"/>
              <w:rPr>
                <w:b/>
                <w:sz w:val="29"/>
              </w:rPr>
            </w:pPr>
          </w:p>
          <w:p>
            <w:pPr>
              <w:pStyle w:val="TableParagraph"/>
              <w:spacing w:before="1"/>
              <w:ind w:right="296"/>
              <w:jc w:val="right"/>
              <w:rPr>
                <w:sz w:val="30"/>
              </w:rPr>
            </w:pPr>
            <w:r>
              <w:rPr>
                <w:w w:val="95"/>
                <w:sz w:val="30"/>
              </w:rPr>
              <w:t>7570</w:t>
            </w:r>
          </w:p>
        </w:tc>
        <w:tc>
          <w:tcPr>
            <w:tcW w:w="1508" w:type="dxa"/>
          </w:tcPr>
          <w:p>
            <w:pPr>
              <w:pStyle w:val="TableParagraph"/>
              <w:spacing w:before="2"/>
              <w:rPr>
                <w:b/>
                <w:sz w:val="29"/>
              </w:rPr>
            </w:pPr>
          </w:p>
          <w:p>
            <w:pPr>
              <w:pStyle w:val="TableParagraph"/>
              <w:spacing w:before="1"/>
              <w:ind w:left="240" w:right="20"/>
              <w:jc w:val="center"/>
              <w:rPr>
                <w:sz w:val="30"/>
              </w:rPr>
            </w:pPr>
            <w:r>
              <w:rPr>
                <w:sz w:val="30"/>
              </w:rPr>
              <w:t>1991</w:t>
            </w:r>
          </w:p>
        </w:tc>
      </w:tr>
      <w:tr>
        <w:tblPrEx>
          <w:tblW w:w="0" w:type="auto"/>
          <w:jc w:val="left"/>
          <w:tblInd w:w="565" w:type="dxa"/>
          <w:tblLayout w:type="fixed"/>
          <w:tblCellMar>
            <w:top w:w="0" w:type="dxa"/>
            <w:left w:w="0" w:type="dxa"/>
            <w:bottom w:w="0" w:type="dxa"/>
            <w:right w:w="0" w:type="dxa"/>
          </w:tblCellMar>
          <w:tblLook w:val="01E0"/>
        </w:tblPrEx>
        <w:trPr>
          <w:trHeight w:val="716"/>
          <w:jc w:val="left"/>
        </w:trPr>
        <w:tc>
          <w:tcPr>
            <w:tcW w:w="3650" w:type="dxa"/>
          </w:tcPr>
          <w:p>
            <w:pPr>
              <w:pStyle w:val="TableParagraph"/>
              <w:spacing w:before="165"/>
              <w:ind w:left="50"/>
              <w:rPr>
                <w:sz w:val="30"/>
              </w:rPr>
            </w:pPr>
            <w:r>
              <w:rPr>
                <w:sz w:val="30"/>
              </w:rPr>
              <w:t>Cascades La Rochette</w:t>
            </w:r>
          </w:p>
        </w:tc>
        <w:tc>
          <w:tcPr>
            <w:tcW w:w="1721" w:type="dxa"/>
          </w:tcPr>
          <w:p>
            <w:pPr>
              <w:pStyle w:val="TableParagraph"/>
              <w:spacing w:before="165"/>
              <w:ind w:left="313"/>
              <w:rPr>
                <w:sz w:val="30"/>
              </w:rPr>
            </w:pPr>
            <w:r>
              <w:rPr>
                <w:sz w:val="30"/>
              </w:rPr>
              <w:t>法国</w:t>
            </w:r>
          </w:p>
        </w:tc>
        <w:tc>
          <w:tcPr>
            <w:tcW w:w="3010" w:type="dxa"/>
          </w:tcPr>
          <w:p>
            <w:pPr>
              <w:pStyle w:val="TableParagraph"/>
              <w:spacing w:before="165"/>
              <w:ind w:left="212"/>
              <w:rPr>
                <w:sz w:val="30"/>
              </w:rPr>
            </w:pPr>
            <w:r>
              <w:rPr>
                <w:sz w:val="30"/>
              </w:rPr>
              <w:t>BTMP/ BRMP</w:t>
            </w:r>
          </w:p>
        </w:tc>
        <w:tc>
          <w:tcPr>
            <w:tcW w:w="2727" w:type="dxa"/>
            <w:gridSpan w:val="4"/>
          </w:tcPr>
          <w:p>
            <w:pPr>
              <w:pStyle w:val="TableParagraph"/>
              <w:spacing w:before="165"/>
              <w:ind w:left="310"/>
              <w:rPr>
                <w:sz w:val="30"/>
              </w:rPr>
            </w:pPr>
            <w:r>
              <w:rPr>
                <w:sz w:val="30"/>
              </w:rPr>
              <w:t>2 X 400 UASB</w:t>
            </w:r>
          </w:p>
        </w:tc>
        <w:tc>
          <w:tcPr>
            <w:tcW w:w="1670" w:type="dxa"/>
          </w:tcPr>
          <w:p>
            <w:pPr>
              <w:pStyle w:val="TableParagraph"/>
              <w:spacing w:before="165"/>
              <w:ind w:right="298"/>
              <w:jc w:val="right"/>
              <w:rPr>
                <w:sz w:val="30"/>
              </w:rPr>
            </w:pPr>
            <w:r>
              <w:rPr>
                <w:w w:val="95"/>
                <w:sz w:val="30"/>
              </w:rPr>
              <w:t>6,800</w:t>
            </w:r>
          </w:p>
        </w:tc>
        <w:tc>
          <w:tcPr>
            <w:tcW w:w="1508" w:type="dxa"/>
          </w:tcPr>
          <w:p>
            <w:pPr>
              <w:pStyle w:val="TableParagraph"/>
              <w:spacing w:before="165"/>
              <w:ind w:left="240" w:right="20"/>
              <w:jc w:val="center"/>
              <w:rPr>
                <w:sz w:val="30"/>
              </w:rPr>
            </w:pPr>
            <w:r>
              <w:rPr>
                <w:sz w:val="30"/>
              </w:rPr>
              <w:t>1991</w:t>
            </w:r>
          </w:p>
        </w:tc>
      </w:tr>
      <w:tr>
        <w:tblPrEx>
          <w:tblW w:w="0" w:type="auto"/>
          <w:jc w:val="left"/>
          <w:tblInd w:w="565" w:type="dxa"/>
          <w:tblLayout w:type="fixed"/>
          <w:tblCellMar>
            <w:top w:w="0" w:type="dxa"/>
            <w:left w:w="0" w:type="dxa"/>
            <w:bottom w:w="0" w:type="dxa"/>
            <w:right w:w="0" w:type="dxa"/>
          </w:tblCellMar>
          <w:tblLook w:val="01E0"/>
        </w:tblPrEx>
        <w:trPr>
          <w:trHeight w:val="716"/>
          <w:jc w:val="left"/>
        </w:trPr>
        <w:tc>
          <w:tcPr>
            <w:tcW w:w="3650" w:type="dxa"/>
          </w:tcPr>
          <w:p>
            <w:pPr>
              <w:pStyle w:val="TableParagraph"/>
              <w:spacing w:before="165"/>
              <w:ind w:left="50"/>
              <w:rPr>
                <w:sz w:val="30"/>
              </w:rPr>
            </w:pPr>
            <w:r>
              <w:rPr>
                <w:sz w:val="30"/>
              </w:rPr>
              <w:t>Stora Enso</w:t>
            </w:r>
          </w:p>
        </w:tc>
        <w:tc>
          <w:tcPr>
            <w:tcW w:w="1721" w:type="dxa"/>
          </w:tcPr>
          <w:p>
            <w:pPr>
              <w:pStyle w:val="TableParagraph"/>
              <w:spacing w:before="165"/>
              <w:ind w:left="313"/>
              <w:rPr>
                <w:sz w:val="30"/>
              </w:rPr>
            </w:pPr>
            <w:r>
              <w:rPr>
                <w:sz w:val="30"/>
              </w:rPr>
              <w:t>芬兰</w:t>
            </w:r>
          </w:p>
        </w:tc>
        <w:tc>
          <w:tcPr>
            <w:tcW w:w="3010" w:type="dxa"/>
          </w:tcPr>
          <w:p>
            <w:pPr>
              <w:pStyle w:val="TableParagraph"/>
              <w:spacing w:before="165"/>
              <w:ind w:left="212"/>
              <w:rPr>
                <w:sz w:val="30"/>
              </w:rPr>
            </w:pPr>
            <w:r>
              <w:rPr>
                <w:sz w:val="30"/>
              </w:rPr>
              <w:t>TMP/CTMP/KP</w:t>
            </w:r>
          </w:p>
        </w:tc>
        <w:tc>
          <w:tcPr>
            <w:tcW w:w="2727" w:type="dxa"/>
            <w:gridSpan w:val="4"/>
          </w:tcPr>
          <w:p>
            <w:pPr>
              <w:pStyle w:val="TableParagraph"/>
              <w:spacing w:before="165"/>
              <w:ind w:left="310"/>
              <w:rPr>
                <w:sz w:val="30"/>
              </w:rPr>
            </w:pPr>
            <w:r>
              <w:rPr>
                <w:sz w:val="30"/>
              </w:rPr>
              <w:t>1,500 UASB</w:t>
            </w:r>
          </w:p>
        </w:tc>
        <w:tc>
          <w:tcPr>
            <w:tcW w:w="1670" w:type="dxa"/>
          </w:tcPr>
          <w:p>
            <w:pPr>
              <w:pStyle w:val="TableParagraph"/>
              <w:spacing w:before="165"/>
              <w:ind w:right="300"/>
              <w:jc w:val="right"/>
              <w:rPr>
                <w:sz w:val="30"/>
              </w:rPr>
            </w:pPr>
            <w:r>
              <w:rPr>
                <w:w w:val="95"/>
                <w:sz w:val="30"/>
              </w:rPr>
              <w:t>18,000</w:t>
            </w:r>
          </w:p>
        </w:tc>
        <w:tc>
          <w:tcPr>
            <w:tcW w:w="1508" w:type="dxa"/>
          </w:tcPr>
          <w:p>
            <w:pPr>
              <w:pStyle w:val="TableParagraph"/>
              <w:spacing w:before="165"/>
              <w:ind w:left="240" w:right="20"/>
              <w:jc w:val="center"/>
              <w:rPr>
                <w:sz w:val="30"/>
              </w:rPr>
            </w:pPr>
            <w:r>
              <w:rPr>
                <w:sz w:val="30"/>
              </w:rPr>
              <w:t>1989</w:t>
            </w:r>
          </w:p>
        </w:tc>
      </w:tr>
      <w:tr>
        <w:tblPrEx>
          <w:tblW w:w="0" w:type="auto"/>
          <w:jc w:val="left"/>
          <w:tblInd w:w="565" w:type="dxa"/>
          <w:tblLayout w:type="fixed"/>
          <w:tblCellMar>
            <w:top w:w="0" w:type="dxa"/>
            <w:left w:w="0" w:type="dxa"/>
            <w:bottom w:w="0" w:type="dxa"/>
            <w:right w:w="0" w:type="dxa"/>
          </w:tblCellMar>
          <w:tblLook w:val="01E0"/>
        </w:tblPrEx>
        <w:trPr>
          <w:trHeight w:val="508"/>
          <w:jc w:val="left"/>
        </w:trPr>
        <w:tc>
          <w:tcPr>
            <w:tcW w:w="3650" w:type="dxa"/>
          </w:tcPr>
          <w:p>
            <w:pPr>
              <w:pStyle w:val="TableParagraph"/>
              <w:spacing w:before="166" w:line="322" w:lineRule="exact"/>
              <w:ind w:left="50"/>
              <w:rPr>
                <w:sz w:val="30"/>
              </w:rPr>
            </w:pPr>
            <w:r>
              <w:rPr>
                <w:sz w:val="30"/>
              </w:rPr>
              <w:t>Quesnel River Pulp</w:t>
            </w:r>
          </w:p>
        </w:tc>
        <w:tc>
          <w:tcPr>
            <w:tcW w:w="1721" w:type="dxa"/>
          </w:tcPr>
          <w:p>
            <w:pPr>
              <w:pStyle w:val="TableParagraph"/>
              <w:spacing w:before="166" w:line="322" w:lineRule="exact"/>
              <w:ind w:left="313"/>
              <w:rPr>
                <w:sz w:val="30"/>
              </w:rPr>
            </w:pPr>
            <w:r>
              <w:rPr>
                <w:sz w:val="30"/>
              </w:rPr>
              <w:t>加拿大</w:t>
            </w:r>
          </w:p>
        </w:tc>
        <w:tc>
          <w:tcPr>
            <w:tcW w:w="3010" w:type="dxa"/>
          </w:tcPr>
          <w:p>
            <w:pPr>
              <w:pStyle w:val="TableParagraph"/>
              <w:spacing w:before="166" w:line="322" w:lineRule="exact"/>
              <w:ind w:left="212"/>
              <w:rPr>
                <w:sz w:val="30"/>
              </w:rPr>
            </w:pPr>
            <w:r>
              <w:rPr>
                <w:sz w:val="30"/>
              </w:rPr>
              <w:t>TMP/CTMP</w:t>
            </w:r>
          </w:p>
        </w:tc>
        <w:tc>
          <w:tcPr>
            <w:tcW w:w="2727" w:type="dxa"/>
            <w:gridSpan w:val="4"/>
          </w:tcPr>
          <w:p>
            <w:pPr>
              <w:pStyle w:val="TableParagraph"/>
              <w:spacing w:before="166" w:line="322" w:lineRule="exact"/>
              <w:ind w:left="310"/>
              <w:rPr>
                <w:sz w:val="30"/>
              </w:rPr>
            </w:pPr>
            <w:r>
              <w:rPr>
                <w:sz w:val="30"/>
              </w:rPr>
              <w:t>2 x 3,370 UASB</w:t>
            </w:r>
          </w:p>
        </w:tc>
        <w:tc>
          <w:tcPr>
            <w:tcW w:w="1670" w:type="dxa"/>
          </w:tcPr>
          <w:p>
            <w:pPr>
              <w:pStyle w:val="TableParagraph"/>
              <w:spacing w:before="166" w:line="322" w:lineRule="exact"/>
              <w:ind w:right="300"/>
              <w:jc w:val="right"/>
              <w:rPr>
                <w:sz w:val="30"/>
              </w:rPr>
            </w:pPr>
            <w:r>
              <w:rPr>
                <w:w w:val="95"/>
                <w:sz w:val="30"/>
              </w:rPr>
              <w:t>60,000</w:t>
            </w:r>
          </w:p>
        </w:tc>
        <w:tc>
          <w:tcPr>
            <w:tcW w:w="1508" w:type="dxa"/>
          </w:tcPr>
          <w:p>
            <w:pPr>
              <w:pStyle w:val="TableParagraph"/>
              <w:spacing w:before="166" w:line="322" w:lineRule="exact"/>
              <w:ind w:left="240" w:right="20"/>
              <w:jc w:val="center"/>
              <w:rPr>
                <w:sz w:val="30"/>
              </w:rPr>
            </w:pPr>
            <w:r>
              <w:rPr>
                <w:sz w:val="30"/>
              </w:rPr>
              <w:t>1988</w:t>
            </w: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2"/>
        <w:rPr>
          <w:b/>
          <w:sz w:val="26"/>
        </w:rPr>
      </w:pPr>
    </w:p>
    <w:p>
      <w:pPr>
        <w:pStyle w:val="BodyText"/>
        <w:spacing w:before="50"/>
        <w:ind w:left="1172"/>
      </w:pPr>
      <w:r>
        <w:t>选择的以上项目具有以下两方面的相似性：</w:t>
      </w:r>
    </w:p>
    <w:p>
      <w:pPr>
        <w:pStyle w:val="BodyText"/>
      </w:pPr>
    </w:p>
    <w:p>
      <w:pPr>
        <w:pStyle w:val="ListParagraph"/>
        <w:numPr>
          <w:ilvl w:val="2"/>
          <w:numId w:val="47"/>
        </w:numPr>
        <w:tabs>
          <w:tab w:val="left" w:pos="1583"/>
        </w:tabs>
        <w:spacing w:before="271" w:after="0" w:line="240" w:lineRule="auto"/>
        <w:ind w:left="1583" w:right="0" w:hanging="1279"/>
        <w:jc w:val="left"/>
        <w:rPr>
          <w:b/>
          <w:sz w:val="42"/>
        </w:rPr>
      </w:pPr>
      <w:r>
        <w:rPr>
          <w:b/>
          <w:sz w:val="42"/>
        </w:rPr>
        <w:t>项目规模上的相似性</w:t>
      </w:r>
    </w:p>
    <w:p>
      <w:pPr>
        <w:pStyle w:val="BodyText"/>
        <w:spacing w:before="331" w:line="364" w:lineRule="auto"/>
        <w:ind w:left="308" w:right="654" w:firstLine="677"/>
      </w:pPr>
      <w:r>
        <w:rPr>
          <w:spacing w:val="-4"/>
        </w:rPr>
        <w:t xml:space="preserve">此次投标的污水处理项目，在全国称得上是最大规模的 </w:t>
      </w:r>
      <w:r>
        <w:t>APMP</w:t>
      </w:r>
      <w:r>
        <w:rPr>
          <w:spacing w:val="-11"/>
        </w:rPr>
        <w:t xml:space="preserve"> 林纸一体化项目，供应商必</w:t>
      </w:r>
      <w:r>
        <w:t>须拥有先进的技术、丰富的业绩和成熟的经验，才能保证工程的成功实施。</w:t>
      </w:r>
    </w:p>
    <w:p>
      <w:pPr>
        <w:pStyle w:val="BodyText"/>
        <w:tabs>
          <w:tab w:val="left" w:pos="6731"/>
          <w:tab w:val="left" w:pos="8891"/>
        </w:tabs>
        <w:spacing w:before="182"/>
        <w:ind w:left="985"/>
      </w:pPr>
      <w:r>
        <w:t>污水厌氧处理负荷规模：</w:t>
        <w:tab/>
        <w:t>67,500kg/d</w:t>
        <w:tab/>
        <w:t>SCOD</w:t>
      </w:r>
      <w:r>
        <w:rPr>
          <w:spacing w:val="-90"/>
        </w:rPr>
        <w:t xml:space="preserve"> </w:t>
      </w:r>
      <w:r>
        <w:t>负荷</w:t>
      </w:r>
    </w:p>
    <w:p>
      <w:pPr>
        <w:spacing w:after="0"/>
        <w:sectPr>
          <w:pgSz w:w="17870" w:h="25260"/>
          <w:pgMar w:top="1720" w:right="940" w:bottom="280" w:left="1420" w:header="708" w:footer="708"/>
          <w:pgNumType w:start="2"/>
          <w:cols w:space="708"/>
        </w:sectPr>
      </w:pPr>
    </w:p>
    <w:p>
      <w:pPr>
        <w:pStyle w:val="BodyText"/>
        <w:tabs>
          <w:tab w:val="left" w:pos="6911"/>
        </w:tabs>
        <w:spacing w:before="24"/>
        <w:ind w:left="985"/>
        <w:rPr>
          <w:sz w:val="18"/>
        </w:rPr>
      </w:pPr>
      <w:r>
        <w:t>总厌氧污水量：</w:t>
        <w:tab/>
        <w:t>10,000m</w:t>
      </w:r>
      <w:r>
        <w:rPr>
          <w:position w:val="3"/>
          <w:sz w:val="18"/>
        </w:rPr>
        <w:t>3</w:t>
      </w:r>
    </w:p>
    <w:p>
      <w:pPr>
        <w:pStyle w:val="BodyText"/>
        <w:rPr>
          <w:sz w:val="29"/>
        </w:rPr>
      </w:pPr>
    </w:p>
    <w:p>
      <w:pPr>
        <w:pStyle w:val="BodyText"/>
        <w:tabs>
          <w:tab w:val="left" w:pos="4557"/>
          <w:tab w:val="left" w:pos="6861"/>
        </w:tabs>
        <w:spacing w:before="49"/>
        <w:ind w:left="985"/>
        <w:rPr>
          <w:sz w:val="18"/>
        </w:rPr>
      </w:pPr>
      <w:r>
        <w:t>厌氧</w:t>
      </w:r>
      <w:r>
        <w:rPr>
          <w:spacing w:val="-91"/>
        </w:rPr>
        <w:t xml:space="preserve"> </w:t>
      </w:r>
      <w:r>
        <w:t>IC</w:t>
      </w:r>
      <w:r>
        <w:rPr>
          <w:spacing w:val="-90"/>
        </w:rPr>
        <w:t xml:space="preserve"> </w:t>
      </w:r>
      <w:r>
        <w:t>反应器容积</w:t>
        <w:tab/>
        <w:t>：</w:t>
        <w:tab/>
        <w:t>2，280m</w:t>
      </w:r>
      <w:r>
        <w:rPr>
          <w:position w:val="3"/>
          <w:sz w:val="18"/>
        </w:rPr>
        <w:t>3</w:t>
      </w:r>
    </w:p>
    <w:p>
      <w:pPr>
        <w:pStyle w:val="BodyText"/>
        <w:spacing w:before="11"/>
        <w:rPr>
          <w:sz w:val="32"/>
        </w:rPr>
      </w:pPr>
    </w:p>
    <w:p>
      <w:pPr>
        <w:pStyle w:val="BodyText"/>
        <w:spacing w:line="364" w:lineRule="auto"/>
        <w:ind w:left="308" w:right="835" w:firstLine="677"/>
      </w:pPr>
      <w:r>
        <w:pict>
          <v:group id="_x0000_s1034" style="width:666pt;height:620pt;margin-top:79.05pt;margin-left:119pt;mso-position-horizontal-relative:page;position:absolute;z-index:-251655168" coordorigin="2380,1581" coordsize="13320,12400">
            <v:shape id="_x0000_s1035" type="#_x0000_t75" style="width:13320;height:12400;left:2380;position:absolute;top:1581" stroked="f">
              <v:imagedata r:id="rId7" o:title=""/>
            </v:shape>
            <v:shape id="_x0000_s1036" type="#_x0000_t202" style="width:740;height:360;left:4623;position:absolute;top:2117" filled="f" stroked="f">
              <v:textbox inset="0,0,0,0">
                <w:txbxContent>
                  <w:p>
                    <w:pPr>
                      <w:spacing w:before="0" w:line="360" w:lineRule="exact"/>
                      <w:ind w:left="0" w:right="0" w:firstLine="0"/>
                      <w:jc w:val="left"/>
                      <w:rPr>
                        <w:sz w:val="36"/>
                      </w:rPr>
                    </w:pPr>
                    <w:r>
                      <w:rPr>
                        <w:sz w:val="36"/>
                      </w:rPr>
                      <w:t>公司</w:t>
                    </w:r>
                  </w:p>
                </w:txbxContent>
              </v:textbox>
            </v:shape>
            <v:shape id="_x0000_s1037" type="#_x0000_t202" style="width:2001;height:828;left:7784;position:absolute;top:1883" filled="f" stroked="f">
              <v:textbox inset="0,0,0,0">
                <w:txbxContent>
                  <w:p>
                    <w:pPr>
                      <w:spacing w:before="0" w:line="411" w:lineRule="exact"/>
                      <w:ind w:left="0" w:right="18" w:firstLine="0"/>
                      <w:jc w:val="center"/>
                      <w:rPr>
                        <w:sz w:val="36"/>
                      </w:rPr>
                    </w:pPr>
                    <w:r>
                      <w:rPr>
                        <w:sz w:val="36"/>
                      </w:rPr>
                      <w:t>高浓废水 流</w:t>
                    </w:r>
                  </w:p>
                  <w:p>
                    <w:pPr>
                      <w:spacing w:before="6" w:line="411" w:lineRule="exact"/>
                      <w:ind w:left="0" w:right="18" w:firstLine="0"/>
                      <w:jc w:val="center"/>
                      <w:rPr>
                        <w:sz w:val="36"/>
                      </w:rPr>
                    </w:pPr>
                    <w:r>
                      <w:rPr>
                        <w:sz w:val="36"/>
                      </w:rPr>
                      <w:t>量</w:t>
                    </w:r>
                  </w:p>
                </w:txbxContent>
              </v:textbox>
            </v:shape>
            <v:shape id="_x0000_s1038" type="#_x0000_t202" style="width:1370;height:360;left:10870;position:absolute;top:2117" filled="f" stroked="f">
              <v:textbox inset="0,0,0,0">
                <w:txbxContent>
                  <w:p>
                    <w:pPr>
                      <w:spacing w:before="0" w:line="360" w:lineRule="exact"/>
                      <w:ind w:left="0" w:right="0" w:firstLine="0"/>
                      <w:jc w:val="left"/>
                      <w:rPr>
                        <w:sz w:val="36"/>
                      </w:rPr>
                    </w:pPr>
                    <w:r>
                      <w:rPr>
                        <w:sz w:val="36"/>
                      </w:rPr>
                      <w:t>COD</w:t>
                    </w:r>
                    <w:r>
                      <w:rPr>
                        <w:spacing w:val="-30"/>
                        <w:sz w:val="36"/>
                      </w:rPr>
                      <w:t xml:space="preserve"> 负荷</w:t>
                    </w:r>
                  </w:p>
                </w:txbxContent>
              </v:textbox>
            </v:shape>
            <v:shape id="_x0000_s1039" type="#_x0000_t202" style="width:2000;height:828;left:13391;position:absolute;top:1883" filled="f" stroked="f">
              <v:textbox inset="0,0,0,0">
                <w:txbxContent>
                  <w:p>
                    <w:pPr>
                      <w:spacing w:before="0" w:line="411" w:lineRule="exact"/>
                      <w:ind w:left="0" w:right="18" w:firstLine="0"/>
                      <w:jc w:val="center"/>
                      <w:rPr>
                        <w:sz w:val="36"/>
                      </w:rPr>
                    </w:pPr>
                    <w:r>
                      <w:rPr>
                        <w:spacing w:val="-30"/>
                        <w:sz w:val="36"/>
                      </w:rPr>
                      <w:t xml:space="preserve">厌氧 </w:t>
                    </w:r>
                    <w:r>
                      <w:rPr>
                        <w:sz w:val="36"/>
                      </w:rPr>
                      <w:t>IC</w:t>
                    </w:r>
                    <w:r>
                      <w:rPr>
                        <w:spacing w:val="-36"/>
                        <w:sz w:val="36"/>
                      </w:rPr>
                      <w:t xml:space="preserve"> 反应</w:t>
                    </w:r>
                  </w:p>
                  <w:p>
                    <w:pPr>
                      <w:spacing w:before="6" w:line="411" w:lineRule="exact"/>
                      <w:ind w:left="0" w:right="18" w:firstLine="0"/>
                      <w:jc w:val="center"/>
                      <w:rPr>
                        <w:sz w:val="36"/>
                      </w:rPr>
                    </w:pPr>
                    <w:r>
                      <w:rPr>
                        <w:sz w:val="36"/>
                      </w:rPr>
                      <w:t>器</w:t>
                    </w:r>
                  </w:p>
                </w:txbxContent>
              </v:textbox>
            </v:shape>
            <v:shape id="_x0000_s1040" type="#_x0000_t202" style="width:3620;height:360;left:2567;position:absolute;top:3230" filled="f" stroked="f">
              <v:textbox inset="0,0,0,0">
                <w:txbxContent>
                  <w:p>
                    <w:pPr>
                      <w:spacing w:before="0" w:line="360" w:lineRule="exact"/>
                      <w:ind w:left="0" w:right="0" w:firstLine="0"/>
                      <w:jc w:val="left"/>
                      <w:rPr>
                        <w:sz w:val="36"/>
                      </w:rPr>
                    </w:pPr>
                    <w:r>
                      <w:rPr>
                        <w:sz w:val="36"/>
                      </w:rPr>
                      <w:t>山东博汇纸业有限公司</w:t>
                    </w:r>
                  </w:p>
                </w:txbxContent>
              </v:textbox>
            </v:shape>
            <v:shape id="_x0000_s1041" type="#_x0000_t202" style="width:1820;height:360;left:7723;position:absolute;top:3230" filled="f" stroked="f">
              <v:textbox inset="0,0,0,0">
                <w:txbxContent>
                  <w:p>
                    <w:pPr>
                      <w:spacing w:before="0" w:line="360" w:lineRule="exact"/>
                      <w:ind w:left="0" w:right="0" w:firstLine="0"/>
                      <w:jc w:val="left"/>
                      <w:rPr>
                        <w:sz w:val="36"/>
                      </w:rPr>
                    </w:pPr>
                    <w:r>
                      <w:rPr>
                        <w:sz w:val="36"/>
                      </w:rPr>
                      <w:t>12,000m3/d</w:t>
                    </w:r>
                  </w:p>
                </w:txbxContent>
              </v:textbox>
            </v:shape>
            <v:shape id="_x0000_s1042" type="#_x0000_t202" style="width:2360;height:360;left:10334;position:absolute;top:3230" filled="f" stroked="f">
              <v:textbox inset="0,0,0,0">
                <w:txbxContent>
                  <w:p>
                    <w:pPr>
                      <w:spacing w:before="0" w:line="360" w:lineRule="exact"/>
                      <w:ind w:left="0" w:right="0" w:firstLine="0"/>
                      <w:jc w:val="left"/>
                      <w:rPr>
                        <w:sz w:val="36"/>
                      </w:rPr>
                    </w:pPr>
                    <w:r>
                      <w:rPr>
                        <w:sz w:val="36"/>
                      </w:rPr>
                      <w:t>85,800kgCOD/d</w:t>
                    </w:r>
                  </w:p>
                </w:txbxContent>
              </v:textbox>
            </v:shape>
            <v:shape id="_x0000_s1043" type="#_x0000_t202" style="width:1550;height:360;left:13729;position:absolute;top:3230" filled="f" stroked="f">
              <v:textbox inset="0,0,0,0">
                <w:txbxContent>
                  <w:p>
                    <w:pPr>
                      <w:spacing w:before="0" w:line="360" w:lineRule="exact"/>
                      <w:ind w:left="0" w:right="0" w:firstLine="0"/>
                      <w:jc w:val="left"/>
                      <w:rPr>
                        <w:sz w:val="18"/>
                      </w:rPr>
                    </w:pPr>
                    <w:r>
                      <w:rPr>
                        <w:sz w:val="36"/>
                      </w:rPr>
                      <w:t>2X1,700m</w:t>
                    </w:r>
                    <w:r>
                      <w:rPr>
                        <w:position w:val="3"/>
                        <w:sz w:val="18"/>
                      </w:rPr>
                      <w:t>3</w:t>
                    </w:r>
                  </w:p>
                </w:txbxContent>
              </v:textbox>
            </v:shape>
            <v:shape id="_x0000_s1044" type="#_x0000_t202" style="width:3620;height:360;left:2567;position:absolute;top:4072" filled="f" stroked="f">
              <v:textbox inset="0,0,0,0">
                <w:txbxContent>
                  <w:p>
                    <w:pPr>
                      <w:spacing w:before="0" w:line="360" w:lineRule="exact"/>
                      <w:ind w:left="0" w:right="0" w:firstLine="0"/>
                      <w:jc w:val="left"/>
                      <w:rPr>
                        <w:sz w:val="36"/>
                      </w:rPr>
                    </w:pPr>
                    <w:r>
                      <w:rPr>
                        <w:sz w:val="36"/>
                      </w:rPr>
                      <w:t>江西晨鸣纸业有限公司</w:t>
                    </w:r>
                  </w:p>
                </w:txbxContent>
              </v:textbox>
            </v:shape>
            <v:shape id="_x0000_s1045" type="#_x0000_t202" style="width:1640;height:360;left:7723;position:absolute;top:4072" filled="f" stroked="f">
              <v:textbox inset="0,0,0,0">
                <w:txbxContent>
                  <w:p>
                    <w:pPr>
                      <w:spacing w:before="0" w:line="360" w:lineRule="exact"/>
                      <w:ind w:left="0" w:right="0" w:firstLine="0"/>
                      <w:jc w:val="left"/>
                      <w:rPr>
                        <w:sz w:val="36"/>
                      </w:rPr>
                    </w:pPr>
                    <w:r>
                      <w:rPr>
                        <w:sz w:val="36"/>
                      </w:rPr>
                      <w:t>18000m3/d</w:t>
                    </w:r>
                  </w:p>
                </w:txbxContent>
              </v:textbox>
            </v:shape>
            <v:shape id="_x0000_s1046" type="#_x0000_t202" style="width:2360;height:360;left:10334;position:absolute;top:4072" filled="f" stroked="f">
              <v:textbox inset="0,0,0,0">
                <w:txbxContent>
                  <w:p>
                    <w:pPr>
                      <w:spacing w:before="0" w:line="360" w:lineRule="exact"/>
                      <w:ind w:left="0" w:right="0" w:firstLine="0"/>
                      <w:jc w:val="left"/>
                      <w:rPr>
                        <w:sz w:val="36"/>
                      </w:rPr>
                    </w:pPr>
                    <w:r>
                      <w:rPr>
                        <w:sz w:val="36"/>
                      </w:rPr>
                      <w:t>83,000kgCOD/d</w:t>
                    </w:r>
                  </w:p>
                </w:txbxContent>
              </v:textbox>
            </v:shape>
            <v:shape id="_x0000_s1047" type="#_x0000_t202" style="width:1550;height:360;left:13729;position:absolute;top:4072" filled="f" stroked="f">
              <v:textbox inset="0,0,0,0">
                <w:txbxContent>
                  <w:p>
                    <w:pPr>
                      <w:spacing w:before="0" w:line="360" w:lineRule="exact"/>
                      <w:ind w:left="0" w:right="0" w:firstLine="0"/>
                      <w:jc w:val="left"/>
                      <w:rPr>
                        <w:sz w:val="18"/>
                      </w:rPr>
                    </w:pPr>
                    <w:r>
                      <w:rPr>
                        <w:sz w:val="36"/>
                      </w:rPr>
                      <w:t>2X1,700m</w:t>
                    </w:r>
                    <w:r>
                      <w:rPr>
                        <w:position w:val="3"/>
                        <w:sz w:val="18"/>
                      </w:rPr>
                      <w:t>3</w:t>
                    </w:r>
                  </w:p>
                </w:txbxContent>
              </v:textbox>
            </v:shape>
            <v:shape id="_x0000_s1048" type="#_x0000_t202" style="width:3620;height:360;left:2567;position:absolute;top:4915" filled="f" stroked="f">
              <v:textbox inset="0,0,0,0">
                <w:txbxContent>
                  <w:p>
                    <w:pPr>
                      <w:spacing w:before="0" w:line="360" w:lineRule="exact"/>
                      <w:ind w:left="0" w:right="0" w:firstLine="0"/>
                      <w:jc w:val="left"/>
                      <w:rPr>
                        <w:sz w:val="36"/>
                      </w:rPr>
                    </w:pPr>
                    <w:r>
                      <w:rPr>
                        <w:sz w:val="36"/>
                      </w:rPr>
                      <w:t>山东晨鸣纸业有限公司</w:t>
                    </w:r>
                  </w:p>
                </w:txbxContent>
              </v:textbox>
            </v:shape>
            <v:shape id="_x0000_s1049" type="#_x0000_t202" style="width:1460;height:360;left:7723;position:absolute;top:4915" filled="f" stroked="f">
              <v:textbox inset="0,0,0,0">
                <w:txbxContent>
                  <w:p>
                    <w:pPr>
                      <w:spacing w:before="0" w:line="360" w:lineRule="exact"/>
                      <w:ind w:left="0" w:right="0" w:firstLine="0"/>
                      <w:jc w:val="left"/>
                      <w:rPr>
                        <w:sz w:val="36"/>
                      </w:rPr>
                    </w:pPr>
                    <w:r>
                      <w:rPr>
                        <w:sz w:val="36"/>
                      </w:rPr>
                      <w:t>5600m3/d</w:t>
                    </w:r>
                  </w:p>
                </w:txbxContent>
              </v:textbox>
            </v:shape>
            <v:shape id="_x0000_s1050" type="#_x0000_t202" style="width:2360;height:360;left:10154;position:absolute;top:4825" filled="f" stroked="f">
              <v:textbox inset="0,0,0,0">
                <w:txbxContent>
                  <w:p>
                    <w:pPr>
                      <w:spacing w:before="0" w:line="360" w:lineRule="exact"/>
                      <w:ind w:left="0" w:right="0" w:firstLine="0"/>
                      <w:jc w:val="left"/>
                      <w:rPr>
                        <w:sz w:val="36"/>
                      </w:rPr>
                    </w:pPr>
                    <w:r>
                      <w:rPr>
                        <w:sz w:val="36"/>
                      </w:rPr>
                      <w:t>33,000KgCOD/d</w:t>
                    </w:r>
                  </w:p>
                </w:txbxContent>
              </v:textbox>
            </v:shape>
            <v:shape id="_x0000_s1051" type="#_x0000_t202" style="width:1010;height:360;left:14269;position:absolute;top:4915" filled="f" stroked="f">
              <v:textbox inset="0,0,0,0">
                <w:txbxContent>
                  <w:p>
                    <w:pPr>
                      <w:spacing w:before="0" w:line="360" w:lineRule="exact"/>
                      <w:ind w:left="0" w:right="0" w:firstLine="0"/>
                      <w:jc w:val="left"/>
                      <w:rPr>
                        <w:sz w:val="18"/>
                      </w:rPr>
                    </w:pPr>
                    <w:r>
                      <w:rPr>
                        <w:sz w:val="36"/>
                      </w:rPr>
                      <w:t>1700m</w:t>
                    </w:r>
                    <w:r>
                      <w:rPr>
                        <w:position w:val="3"/>
                        <w:sz w:val="18"/>
                      </w:rPr>
                      <w:t>3</w:t>
                    </w:r>
                  </w:p>
                </w:txbxContent>
              </v:textbox>
            </v:shape>
          </v:group>
        </w:pict>
      </w:r>
      <w:r>
        <w:t>帕克公司不仅在制浆造纸行业的世界范围内，拥有大批相似规模的业绩，在中国，帕克公司就建设有许多相似本项目厌氧规模的厌氧污水处理项目，他们是：</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
        <w:rPr>
          <w:sz w:val="19"/>
        </w:rPr>
      </w:pPr>
    </w:p>
    <w:tbl>
      <w:tblPr>
        <w:tblStyle w:val="TableNormal1"/>
        <w:tblW w:w="0" w:type="auto"/>
        <w:jc w:val="left"/>
        <w:tblInd w:w="11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968"/>
        <w:gridCol w:w="2353"/>
        <w:gridCol w:w="1485"/>
        <w:gridCol w:w="1788"/>
        <w:gridCol w:w="2198"/>
      </w:tblGrid>
      <w:tr>
        <w:tblPrEx>
          <w:tblW w:w="0" w:type="auto"/>
          <w:jc w:val="left"/>
          <w:tblInd w:w="11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601"/>
          <w:jc w:val="left"/>
        </w:trPr>
        <w:tc>
          <w:tcPr>
            <w:tcW w:w="4968" w:type="dxa"/>
          </w:tcPr>
          <w:p>
            <w:pPr>
              <w:pStyle w:val="TableParagraph"/>
              <w:spacing w:line="411" w:lineRule="exact"/>
              <w:ind w:left="50"/>
              <w:rPr>
                <w:sz w:val="36"/>
              </w:rPr>
            </w:pPr>
            <w:r>
              <w:rPr>
                <w:sz w:val="36"/>
              </w:rPr>
              <w:t>上海正隆纸业有限公司</w:t>
            </w:r>
          </w:p>
        </w:tc>
        <w:tc>
          <w:tcPr>
            <w:tcW w:w="2353" w:type="dxa"/>
          </w:tcPr>
          <w:p>
            <w:pPr>
              <w:pStyle w:val="TableParagraph"/>
              <w:spacing w:line="411" w:lineRule="exact"/>
              <w:ind w:left="237"/>
              <w:rPr>
                <w:sz w:val="36"/>
              </w:rPr>
            </w:pPr>
            <w:r>
              <w:rPr>
                <w:sz w:val="36"/>
              </w:rPr>
              <w:t>1,5000m3/d</w:t>
            </w:r>
          </w:p>
        </w:tc>
        <w:tc>
          <w:tcPr>
            <w:tcW w:w="1485" w:type="dxa"/>
          </w:tcPr>
          <w:p>
            <w:pPr>
              <w:pStyle w:val="TableParagraph"/>
              <w:spacing w:line="411" w:lineRule="exact"/>
              <w:ind w:right="87"/>
              <w:jc w:val="right"/>
              <w:rPr>
                <w:sz w:val="36"/>
              </w:rPr>
            </w:pPr>
            <w:r>
              <w:rPr>
                <w:sz w:val="36"/>
              </w:rPr>
              <w:t>52,500</w:t>
            </w:r>
          </w:p>
        </w:tc>
        <w:tc>
          <w:tcPr>
            <w:tcW w:w="1788" w:type="dxa"/>
          </w:tcPr>
          <w:p>
            <w:pPr>
              <w:pStyle w:val="TableParagraph"/>
              <w:spacing w:line="411" w:lineRule="exact"/>
              <w:ind w:left="90"/>
              <w:rPr>
                <w:sz w:val="36"/>
              </w:rPr>
            </w:pPr>
            <w:r>
              <w:rPr>
                <w:sz w:val="36"/>
              </w:rPr>
              <w:t>kgCOD/d</w:t>
            </w:r>
          </w:p>
        </w:tc>
        <w:tc>
          <w:tcPr>
            <w:tcW w:w="2198" w:type="dxa"/>
          </w:tcPr>
          <w:p>
            <w:pPr>
              <w:pStyle w:val="TableParagraph"/>
              <w:spacing w:line="411" w:lineRule="exact"/>
              <w:ind w:right="47"/>
              <w:jc w:val="right"/>
              <w:rPr>
                <w:sz w:val="36"/>
              </w:rPr>
            </w:pPr>
            <w:r>
              <w:rPr>
                <w:sz w:val="36"/>
              </w:rPr>
              <w:t>2,280m3</w:t>
            </w:r>
          </w:p>
        </w:tc>
      </w:tr>
      <w:tr>
        <w:tblPrEx>
          <w:tblW w:w="0" w:type="auto"/>
          <w:jc w:val="left"/>
          <w:tblInd w:w="1105" w:type="dxa"/>
          <w:tblLayout w:type="fixed"/>
          <w:tblCellMar>
            <w:top w:w="0" w:type="dxa"/>
            <w:left w:w="0" w:type="dxa"/>
            <w:bottom w:w="0" w:type="dxa"/>
            <w:right w:w="0" w:type="dxa"/>
          </w:tblCellMar>
          <w:tblLook w:val="01E0"/>
        </w:tblPrEx>
        <w:trPr>
          <w:trHeight w:val="838"/>
          <w:jc w:val="left"/>
        </w:trPr>
        <w:tc>
          <w:tcPr>
            <w:tcW w:w="4968" w:type="dxa"/>
          </w:tcPr>
          <w:p>
            <w:pPr>
              <w:pStyle w:val="TableParagraph"/>
              <w:spacing w:before="190"/>
              <w:ind w:left="50"/>
              <w:rPr>
                <w:sz w:val="36"/>
              </w:rPr>
            </w:pPr>
            <w:r>
              <w:rPr>
                <w:sz w:val="36"/>
              </w:rPr>
              <w:t>山东泉林纸业有限责任公司</w:t>
            </w:r>
          </w:p>
        </w:tc>
        <w:tc>
          <w:tcPr>
            <w:tcW w:w="2353" w:type="dxa"/>
          </w:tcPr>
          <w:p>
            <w:pPr>
              <w:pStyle w:val="TableParagraph"/>
              <w:spacing w:before="190"/>
              <w:ind w:left="237"/>
              <w:rPr>
                <w:sz w:val="36"/>
              </w:rPr>
            </w:pPr>
            <w:r>
              <w:rPr>
                <w:sz w:val="36"/>
              </w:rPr>
              <w:t>3,300m3/d</w:t>
            </w:r>
          </w:p>
        </w:tc>
        <w:tc>
          <w:tcPr>
            <w:tcW w:w="1485" w:type="dxa"/>
          </w:tcPr>
          <w:p>
            <w:pPr>
              <w:pStyle w:val="TableParagraph"/>
              <w:spacing w:before="190"/>
              <w:ind w:right="87"/>
              <w:jc w:val="right"/>
              <w:rPr>
                <w:sz w:val="36"/>
              </w:rPr>
            </w:pPr>
            <w:r>
              <w:rPr>
                <w:sz w:val="36"/>
              </w:rPr>
              <w:t>28,000</w:t>
            </w:r>
          </w:p>
        </w:tc>
        <w:tc>
          <w:tcPr>
            <w:tcW w:w="1788" w:type="dxa"/>
          </w:tcPr>
          <w:p>
            <w:pPr>
              <w:pStyle w:val="TableParagraph"/>
              <w:spacing w:before="190"/>
              <w:ind w:left="90"/>
              <w:rPr>
                <w:sz w:val="36"/>
              </w:rPr>
            </w:pPr>
            <w:r>
              <w:rPr>
                <w:sz w:val="36"/>
              </w:rPr>
              <w:t>KgCOD/d</w:t>
            </w:r>
          </w:p>
        </w:tc>
        <w:tc>
          <w:tcPr>
            <w:tcW w:w="2198" w:type="dxa"/>
          </w:tcPr>
          <w:p>
            <w:pPr>
              <w:pStyle w:val="TableParagraph"/>
              <w:spacing w:before="190"/>
              <w:ind w:right="47"/>
              <w:jc w:val="right"/>
              <w:rPr>
                <w:sz w:val="18"/>
              </w:rPr>
            </w:pPr>
            <w:r>
              <w:rPr>
                <w:sz w:val="36"/>
              </w:rPr>
              <w:t>1,206m</w:t>
            </w:r>
            <w:r>
              <w:rPr>
                <w:position w:val="3"/>
                <w:sz w:val="18"/>
              </w:rPr>
              <w:t>3</w:t>
            </w:r>
          </w:p>
        </w:tc>
      </w:tr>
      <w:tr>
        <w:tblPrEx>
          <w:tblW w:w="0" w:type="auto"/>
          <w:jc w:val="left"/>
          <w:tblInd w:w="1105" w:type="dxa"/>
          <w:tblLayout w:type="fixed"/>
          <w:tblCellMar>
            <w:top w:w="0" w:type="dxa"/>
            <w:left w:w="0" w:type="dxa"/>
            <w:bottom w:w="0" w:type="dxa"/>
            <w:right w:w="0" w:type="dxa"/>
          </w:tblCellMar>
          <w:tblLook w:val="01E0"/>
        </w:tblPrEx>
        <w:trPr>
          <w:trHeight w:val="835"/>
          <w:jc w:val="left"/>
        </w:trPr>
        <w:tc>
          <w:tcPr>
            <w:tcW w:w="4968" w:type="dxa"/>
          </w:tcPr>
          <w:p>
            <w:pPr>
              <w:pStyle w:val="TableParagraph"/>
              <w:spacing w:before="187"/>
              <w:ind w:left="50"/>
              <w:rPr>
                <w:sz w:val="36"/>
              </w:rPr>
            </w:pPr>
            <w:r>
              <w:rPr>
                <w:sz w:val="36"/>
              </w:rPr>
              <w:t>湖南岳阳纸业集团有限公司</w:t>
            </w:r>
          </w:p>
        </w:tc>
        <w:tc>
          <w:tcPr>
            <w:tcW w:w="2353" w:type="dxa"/>
          </w:tcPr>
          <w:p>
            <w:pPr>
              <w:pStyle w:val="TableParagraph"/>
              <w:spacing w:before="187"/>
              <w:ind w:left="237"/>
              <w:rPr>
                <w:sz w:val="36"/>
              </w:rPr>
            </w:pPr>
            <w:r>
              <w:rPr>
                <w:sz w:val="36"/>
              </w:rPr>
              <w:t>9,400m</w:t>
            </w:r>
            <w:r>
              <w:rPr>
                <w:position w:val="3"/>
                <w:sz w:val="18"/>
              </w:rPr>
              <w:t>3</w:t>
            </w:r>
            <w:r>
              <w:rPr>
                <w:sz w:val="36"/>
              </w:rPr>
              <w:t>/d</w:t>
            </w:r>
          </w:p>
        </w:tc>
        <w:tc>
          <w:tcPr>
            <w:tcW w:w="1485" w:type="dxa"/>
          </w:tcPr>
          <w:p>
            <w:pPr>
              <w:pStyle w:val="TableParagraph"/>
              <w:spacing w:before="187"/>
              <w:ind w:right="87"/>
              <w:jc w:val="right"/>
              <w:rPr>
                <w:sz w:val="36"/>
              </w:rPr>
            </w:pPr>
            <w:r>
              <w:rPr>
                <w:sz w:val="36"/>
              </w:rPr>
              <w:t>65,800</w:t>
            </w:r>
          </w:p>
        </w:tc>
        <w:tc>
          <w:tcPr>
            <w:tcW w:w="1788" w:type="dxa"/>
          </w:tcPr>
          <w:p>
            <w:pPr>
              <w:pStyle w:val="TableParagraph"/>
              <w:spacing w:before="187"/>
              <w:ind w:left="90"/>
              <w:rPr>
                <w:sz w:val="36"/>
              </w:rPr>
            </w:pPr>
            <w:r>
              <w:rPr>
                <w:sz w:val="36"/>
              </w:rPr>
              <w:t>KgCOD/d</w:t>
            </w:r>
          </w:p>
        </w:tc>
        <w:tc>
          <w:tcPr>
            <w:tcW w:w="2198" w:type="dxa"/>
          </w:tcPr>
          <w:p>
            <w:pPr>
              <w:pStyle w:val="TableParagraph"/>
              <w:spacing w:before="187"/>
              <w:ind w:right="47"/>
              <w:jc w:val="right"/>
              <w:rPr>
                <w:sz w:val="18"/>
              </w:rPr>
            </w:pPr>
            <w:r>
              <w:rPr>
                <w:sz w:val="36"/>
              </w:rPr>
              <w:t>2,280m</w:t>
            </w:r>
            <w:r>
              <w:rPr>
                <w:position w:val="3"/>
                <w:sz w:val="18"/>
              </w:rPr>
              <w:t>3</w:t>
            </w:r>
          </w:p>
        </w:tc>
      </w:tr>
      <w:tr>
        <w:tblPrEx>
          <w:tblW w:w="0" w:type="auto"/>
          <w:jc w:val="left"/>
          <w:tblInd w:w="1105" w:type="dxa"/>
          <w:tblLayout w:type="fixed"/>
          <w:tblCellMar>
            <w:top w:w="0" w:type="dxa"/>
            <w:left w:w="0" w:type="dxa"/>
            <w:bottom w:w="0" w:type="dxa"/>
            <w:right w:w="0" w:type="dxa"/>
          </w:tblCellMar>
          <w:tblLook w:val="01E0"/>
        </w:tblPrEx>
        <w:trPr>
          <w:trHeight w:val="835"/>
          <w:jc w:val="left"/>
        </w:trPr>
        <w:tc>
          <w:tcPr>
            <w:tcW w:w="4968" w:type="dxa"/>
          </w:tcPr>
          <w:p>
            <w:pPr>
              <w:pStyle w:val="TableParagraph"/>
              <w:spacing w:before="187"/>
              <w:ind w:left="50"/>
              <w:rPr>
                <w:sz w:val="36"/>
              </w:rPr>
            </w:pPr>
            <w:r>
              <w:rPr>
                <w:sz w:val="36"/>
              </w:rPr>
              <w:t>福建省南纸股份有限公司</w:t>
            </w:r>
          </w:p>
        </w:tc>
        <w:tc>
          <w:tcPr>
            <w:tcW w:w="2353" w:type="dxa"/>
          </w:tcPr>
          <w:p>
            <w:pPr>
              <w:pStyle w:val="TableParagraph"/>
              <w:spacing w:before="187"/>
              <w:ind w:left="237"/>
              <w:rPr>
                <w:sz w:val="36"/>
              </w:rPr>
            </w:pPr>
            <w:r>
              <w:rPr>
                <w:sz w:val="36"/>
              </w:rPr>
              <w:t>15,700m</w:t>
            </w:r>
            <w:r>
              <w:rPr>
                <w:position w:val="3"/>
                <w:sz w:val="18"/>
              </w:rPr>
              <w:t>3</w:t>
            </w:r>
            <w:r>
              <w:rPr>
                <w:sz w:val="36"/>
              </w:rPr>
              <w:t>/d</w:t>
            </w:r>
          </w:p>
        </w:tc>
        <w:tc>
          <w:tcPr>
            <w:tcW w:w="1485" w:type="dxa"/>
          </w:tcPr>
          <w:p>
            <w:pPr>
              <w:pStyle w:val="TableParagraph"/>
              <w:spacing w:before="187"/>
              <w:ind w:right="87"/>
              <w:jc w:val="right"/>
              <w:rPr>
                <w:sz w:val="36"/>
              </w:rPr>
            </w:pPr>
            <w:r>
              <w:rPr>
                <w:sz w:val="36"/>
              </w:rPr>
              <w:t>34,540</w:t>
            </w:r>
          </w:p>
        </w:tc>
        <w:tc>
          <w:tcPr>
            <w:tcW w:w="1788" w:type="dxa"/>
          </w:tcPr>
          <w:p>
            <w:pPr>
              <w:pStyle w:val="TableParagraph"/>
              <w:spacing w:before="187"/>
              <w:ind w:left="90"/>
              <w:rPr>
                <w:sz w:val="36"/>
              </w:rPr>
            </w:pPr>
            <w:r>
              <w:rPr>
                <w:sz w:val="36"/>
              </w:rPr>
              <w:t>kgCOD/d</w:t>
            </w:r>
          </w:p>
        </w:tc>
        <w:tc>
          <w:tcPr>
            <w:tcW w:w="2198" w:type="dxa"/>
          </w:tcPr>
          <w:p>
            <w:pPr>
              <w:pStyle w:val="TableParagraph"/>
              <w:spacing w:before="187"/>
              <w:ind w:right="47"/>
              <w:jc w:val="right"/>
              <w:rPr>
                <w:sz w:val="18"/>
              </w:rPr>
            </w:pPr>
            <w:r>
              <w:rPr>
                <w:sz w:val="36"/>
              </w:rPr>
              <w:t>2,280m</w:t>
            </w:r>
            <w:r>
              <w:rPr>
                <w:position w:val="3"/>
                <w:sz w:val="18"/>
              </w:rPr>
              <w:t>3</w:t>
            </w:r>
          </w:p>
        </w:tc>
      </w:tr>
      <w:tr>
        <w:tblPrEx>
          <w:tblW w:w="0" w:type="auto"/>
          <w:jc w:val="left"/>
          <w:tblInd w:w="1105" w:type="dxa"/>
          <w:tblLayout w:type="fixed"/>
          <w:tblCellMar>
            <w:top w:w="0" w:type="dxa"/>
            <w:left w:w="0" w:type="dxa"/>
            <w:bottom w:w="0" w:type="dxa"/>
            <w:right w:w="0" w:type="dxa"/>
          </w:tblCellMar>
          <w:tblLook w:val="01E0"/>
        </w:tblPrEx>
        <w:trPr>
          <w:trHeight w:val="835"/>
          <w:jc w:val="left"/>
        </w:trPr>
        <w:tc>
          <w:tcPr>
            <w:tcW w:w="4968" w:type="dxa"/>
          </w:tcPr>
          <w:p>
            <w:pPr>
              <w:pStyle w:val="TableParagraph"/>
              <w:spacing w:before="187"/>
              <w:ind w:left="50"/>
              <w:rPr>
                <w:sz w:val="36"/>
              </w:rPr>
            </w:pPr>
            <w:r>
              <w:rPr>
                <w:sz w:val="36"/>
              </w:rPr>
              <w:t>宜兴协联生物化学有限公司</w:t>
            </w:r>
          </w:p>
        </w:tc>
        <w:tc>
          <w:tcPr>
            <w:tcW w:w="2353" w:type="dxa"/>
          </w:tcPr>
          <w:p>
            <w:pPr>
              <w:pStyle w:val="TableParagraph"/>
              <w:spacing w:before="187"/>
              <w:ind w:left="237"/>
              <w:rPr>
                <w:sz w:val="36"/>
              </w:rPr>
            </w:pPr>
            <w:r>
              <w:rPr>
                <w:sz w:val="36"/>
              </w:rPr>
              <w:t>11,000m</w:t>
            </w:r>
            <w:r>
              <w:rPr>
                <w:position w:val="3"/>
                <w:sz w:val="18"/>
              </w:rPr>
              <w:t>3</w:t>
            </w:r>
            <w:r>
              <w:rPr>
                <w:sz w:val="36"/>
              </w:rPr>
              <w:t>/d</w:t>
            </w:r>
          </w:p>
        </w:tc>
        <w:tc>
          <w:tcPr>
            <w:tcW w:w="1485" w:type="dxa"/>
          </w:tcPr>
          <w:p>
            <w:pPr>
              <w:pStyle w:val="TableParagraph"/>
              <w:spacing w:before="187"/>
              <w:ind w:right="87"/>
              <w:jc w:val="right"/>
              <w:rPr>
                <w:sz w:val="36"/>
              </w:rPr>
            </w:pPr>
            <w:r>
              <w:rPr>
                <w:sz w:val="36"/>
              </w:rPr>
              <w:t>88,000</w:t>
            </w:r>
          </w:p>
        </w:tc>
        <w:tc>
          <w:tcPr>
            <w:tcW w:w="1788" w:type="dxa"/>
          </w:tcPr>
          <w:p>
            <w:pPr>
              <w:pStyle w:val="TableParagraph"/>
              <w:spacing w:before="187"/>
              <w:ind w:left="90"/>
              <w:rPr>
                <w:sz w:val="36"/>
              </w:rPr>
            </w:pPr>
            <w:r>
              <w:rPr>
                <w:sz w:val="36"/>
              </w:rPr>
              <w:t>KgCOD/d</w:t>
            </w:r>
          </w:p>
        </w:tc>
        <w:tc>
          <w:tcPr>
            <w:tcW w:w="2198" w:type="dxa"/>
          </w:tcPr>
          <w:p>
            <w:pPr>
              <w:pStyle w:val="TableParagraph"/>
              <w:spacing w:before="187"/>
              <w:ind w:right="47"/>
              <w:jc w:val="right"/>
              <w:rPr>
                <w:sz w:val="18"/>
              </w:rPr>
            </w:pPr>
            <w:r>
              <w:rPr>
                <w:sz w:val="36"/>
              </w:rPr>
              <w:t>2,280m</w:t>
            </w:r>
            <w:r>
              <w:rPr>
                <w:position w:val="3"/>
                <w:sz w:val="18"/>
              </w:rPr>
              <w:t>3</w:t>
            </w:r>
          </w:p>
        </w:tc>
      </w:tr>
      <w:tr>
        <w:tblPrEx>
          <w:tblW w:w="0" w:type="auto"/>
          <w:jc w:val="left"/>
          <w:tblInd w:w="1105" w:type="dxa"/>
          <w:tblLayout w:type="fixed"/>
          <w:tblCellMar>
            <w:top w:w="0" w:type="dxa"/>
            <w:left w:w="0" w:type="dxa"/>
            <w:bottom w:w="0" w:type="dxa"/>
            <w:right w:w="0" w:type="dxa"/>
          </w:tblCellMar>
          <w:tblLook w:val="01E0"/>
        </w:tblPrEx>
        <w:trPr>
          <w:trHeight w:val="835"/>
          <w:jc w:val="left"/>
        </w:trPr>
        <w:tc>
          <w:tcPr>
            <w:tcW w:w="4968" w:type="dxa"/>
          </w:tcPr>
          <w:p>
            <w:pPr>
              <w:pStyle w:val="TableParagraph"/>
              <w:spacing w:before="187"/>
              <w:ind w:left="50"/>
              <w:rPr>
                <w:sz w:val="36"/>
              </w:rPr>
            </w:pPr>
            <w:r>
              <w:rPr>
                <w:sz w:val="36"/>
              </w:rPr>
              <w:t>广州珠江啤酒集团公司</w:t>
            </w:r>
          </w:p>
        </w:tc>
        <w:tc>
          <w:tcPr>
            <w:tcW w:w="2353" w:type="dxa"/>
          </w:tcPr>
          <w:p>
            <w:pPr>
              <w:pStyle w:val="TableParagraph"/>
              <w:spacing w:before="187"/>
              <w:ind w:left="237"/>
              <w:rPr>
                <w:sz w:val="36"/>
              </w:rPr>
            </w:pPr>
            <w:r>
              <w:rPr>
                <w:sz w:val="36"/>
              </w:rPr>
              <w:t>25,000m</w:t>
            </w:r>
            <w:r>
              <w:rPr>
                <w:position w:val="3"/>
                <w:sz w:val="18"/>
              </w:rPr>
              <w:t>3</w:t>
            </w:r>
            <w:r>
              <w:rPr>
                <w:sz w:val="36"/>
              </w:rPr>
              <w:t>/d</w:t>
            </w:r>
          </w:p>
        </w:tc>
        <w:tc>
          <w:tcPr>
            <w:tcW w:w="1485" w:type="dxa"/>
          </w:tcPr>
          <w:p>
            <w:pPr>
              <w:pStyle w:val="TableParagraph"/>
              <w:spacing w:before="187"/>
              <w:ind w:right="87"/>
              <w:jc w:val="right"/>
              <w:rPr>
                <w:sz w:val="36"/>
              </w:rPr>
            </w:pPr>
            <w:r>
              <w:rPr>
                <w:sz w:val="36"/>
              </w:rPr>
              <w:t>50,000</w:t>
            </w:r>
          </w:p>
        </w:tc>
        <w:tc>
          <w:tcPr>
            <w:tcW w:w="1788" w:type="dxa"/>
          </w:tcPr>
          <w:p>
            <w:pPr>
              <w:pStyle w:val="TableParagraph"/>
              <w:spacing w:before="187"/>
              <w:ind w:left="90"/>
              <w:rPr>
                <w:sz w:val="36"/>
              </w:rPr>
            </w:pPr>
            <w:r>
              <w:rPr>
                <w:sz w:val="36"/>
              </w:rPr>
              <w:t>kgCOD/d</w:t>
            </w:r>
          </w:p>
        </w:tc>
        <w:tc>
          <w:tcPr>
            <w:tcW w:w="2198" w:type="dxa"/>
          </w:tcPr>
          <w:p>
            <w:pPr>
              <w:pStyle w:val="TableParagraph"/>
              <w:spacing w:before="187"/>
              <w:ind w:right="47"/>
              <w:jc w:val="right"/>
              <w:rPr>
                <w:sz w:val="18"/>
              </w:rPr>
            </w:pPr>
            <w:r>
              <w:rPr>
                <w:sz w:val="36"/>
              </w:rPr>
              <w:t>2×1,680m</w:t>
            </w:r>
            <w:r>
              <w:rPr>
                <w:position w:val="3"/>
                <w:sz w:val="18"/>
              </w:rPr>
              <w:t>3</w:t>
            </w:r>
          </w:p>
        </w:tc>
      </w:tr>
      <w:tr>
        <w:tblPrEx>
          <w:tblW w:w="0" w:type="auto"/>
          <w:jc w:val="left"/>
          <w:tblInd w:w="1105" w:type="dxa"/>
          <w:tblLayout w:type="fixed"/>
          <w:tblCellMar>
            <w:top w:w="0" w:type="dxa"/>
            <w:left w:w="0" w:type="dxa"/>
            <w:bottom w:w="0" w:type="dxa"/>
            <w:right w:w="0" w:type="dxa"/>
          </w:tblCellMar>
          <w:tblLook w:val="01E0"/>
        </w:tblPrEx>
        <w:trPr>
          <w:trHeight w:val="835"/>
          <w:jc w:val="left"/>
        </w:trPr>
        <w:tc>
          <w:tcPr>
            <w:tcW w:w="4968" w:type="dxa"/>
          </w:tcPr>
          <w:p>
            <w:pPr>
              <w:pStyle w:val="TableParagraph"/>
              <w:spacing w:before="187"/>
              <w:ind w:left="50"/>
              <w:rPr>
                <w:sz w:val="36"/>
              </w:rPr>
            </w:pPr>
            <w:r>
              <w:rPr>
                <w:sz w:val="36"/>
              </w:rPr>
              <w:t>沈阳雪花啤酒集团公司</w:t>
            </w:r>
          </w:p>
        </w:tc>
        <w:tc>
          <w:tcPr>
            <w:tcW w:w="2353" w:type="dxa"/>
          </w:tcPr>
          <w:p>
            <w:pPr>
              <w:pStyle w:val="TableParagraph"/>
              <w:spacing w:before="187"/>
              <w:ind w:left="237"/>
              <w:rPr>
                <w:sz w:val="36"/>
              </w:rPr>
            </w:pPr>
            <w:r>
              <w:rPr>
                <w:sz w:val="36"/>
              </w:rPr>
              <w:t>13,500m</w:t>
            </w:r>
            <w:r>
              <w:rPr>
                <w:position w:val="3"/>
                <w:sz w:val="18"/>
              </w:rPr>
              <w:t>3</w:t>
            </w:r>
            <w:r>
              <w:rPr>
                <w:sz w:val="36"/>
              </w:rPr>
              <w:t>/d</w:t>
            </w:r>
          </w:p>
        </w:tc>
        <w:tc>
          <w:tcPr>
            <w:tcW w:w="1485" w:type="dxa"/>
          </w:tcPr>
          <w:p>
            <w:pPr>
              <w:pStyle w:val="TableParagraph"/>
              <w:spacing w:before="187"/>
              <w:ind w:right="87"/>
              <w:jc w:val="right"/>
              <w:rPr>
                <w:sz w:val="36"/>
              </w:rPr>
            </w:pPr>
            <w:r>
              <w:rPr>
                <w:sz w:val="36"/>
              </w:rPr>
              <w:t>27,000</w:t>
            </w:r>
          </w:p>
        </w:tc>
        <w:tc>
          <w:tcPr>
            <w:tcW w:w="1788" w:type="dxa"/>
          </w:tcPr>
          <w:p>
            <w:pPr>
              <w:pStyle w:val="TableParagraph"/>
              <w:spacing w:before="187"/>
              <w:ind w:left="90"/>
              <w:rPr>
                <w:sz w:val="36"/>
              </w:rPr>
            </w:pPr>
            <w:r>
              <w:rPr>
                <w:sz w:val="36"/>
              </w:rPr>
              <w:t>kgCOD/d</w:t>
            </w:r>
          </w:p>
        </w:tc>
        <w:tc>
          <w:tcPr>
            <w:tcW w:w="2198" w:type="dxa"/>
          </w:tcPr>
          <w:p>
            <w:pPr>
              <w:pStyle w:val="TableParagraph"/>
              <w:spacing w:before="187"/>
              <w:ind w:right="47"/>
              <w:jc w:val="right"/>
              <w:rPr>
                <w:sz w:val="18"/>
              </w:rPr>
            </w:pPr>
            <w:r>
              <w:rPr>
                <w:sz w:val="36"/>
              </w:rPr>
              <w:t>827+510m</w:t>
            </w:r>
            <w:r>
              <w:rPr>
                <w:position w:val="3"/>
                <w:sz w:val="18"/>
              </w:rPr>
              <w:t>3</w:t>
            </w:r>
          </w:p>
        </w:tc>
      </w:tr>
      <w:tr>
        <w:tblPrEx>
          <w:tblW w:w="0" w:type="auto"/>
          <w:jc w:val="left"/>
          <w:tblInd w:w="1105" w:type="dxa"/>
          <w:tblLayout w:type="fixed"/>
          <w:tblCellMar>
            <w:top w:w="0" w:type="dxa"/>
            <w:left w:w="0" w:type="dxa"/>
            <w:bottom w:w="0" w:type="dxa"/>
            <w:right w:w="0" w:type="dxa"/>
          </w:tblCellMar>
          <w:tblLook w:val="01E0"/>
        </w:tblPrEx>
        <w:trPr>
          <w:trHeight w:val="835"/>
          <w:jc w:val="left"/>
        </w:trPr>
        <w:tc>
          <w:tcPr>
            <w:tcW w:w="4968" w:type="dxa"/>
          </w:tcPr>
          <w:p>
            <w:pPr>
              <w:pStyle w:val="TableParagraph"/>
              <w:spacing w:before="187"/>
              <w:ind w:left="50"/>
              <w:rPr>
                <w:sz w:val="36"/>
              </w:rPr>
            </w:pPr>
            <w:r>
              <w:rPr>
                <w:sz w:val="36"/>
              </w:rPr>
              <w:t>哈尔滨啤酒厂</w:t>
            </w:r>
          </w:p>
        </w:tc>
        <w:tc>
          <w:tcPr>
            <w:tcW w:w="2353" w:type="dxa"/>
          </w:tcPr>
          <w:p>
            <w:pPr>
              <w:pStyle w:val="TableParagraph"/>
              <w:spacing w:before="187"/>
              <w:ind w:left="237"/>
              <w:rPr>
                <w:sz w:val="36"/>
              </w:rPr>
            </w:pPr>
            <w:r>
              <w:rPr>
                <w:sz w:val="36"/>
              </w:rPr>
              <w:t>10,000m</w:t>
            </w:r>
            <w:r>
              <w:rPr>
                <w:position w:val="3"/>
                <w:sz w:val="18"/>
              </w:rPr>
              <w:t>3</w:t>
            </w:r>
            <w:r>
              <w:rPr>
                <w:sz w:val="36"/>
              </w:rPr>
              <w:t>/d</w:t>
            </w:r>
          </w:p>
        </w:tc>
        <w:tc>
          <w:tcPr>
            <w:tcW w:w="1485" w:type="dxa"/>
          </w:tcPr>
          <w:p>
            <w:pPr>
              <w:pStyle w:val="TableParagraph"/>
              <w:spacing w:before="187"/>
              <w:ind w:right="87"/>
              <w:jc w:val="right"/>
              <w:rPr>
                <w:sz w:val="36"/>
              </w:rPr>
            </w:pPr>
            <w:r>
              <w:rPr>
                <w:sz w:val="36"/>
              </w:rPr>
              <w:t>20,000</w:t>
            </w:r>
          </w:p>
        </w:tc>
        <w:tc>
          <w:tcPr>
            <w:tcW w:w="1788" w:type="dxa"/>
          </w:tcPr>
          <w:p>
            <w:pPr>
              <w:pStyle w:val="TableParagraph"/>
              <w:spacing w:before="187"/>
              <w:ind w:left="90"/>
              <w:rPr>
                <w:sz w:val="36"/>
              </w:rPr>
            </w:pPr>
            <w:r>
              <w:rPr>
                <w:sz w:val="36"/>
              </w:rPr>
              <w:t>kgCOD/d</w:t>
            </w:r>
          </w:p>
        </w:tc>
        <w:tc>
          <w:tcPr>
            <w:tcW w:w="2198" w:type="dxa"/>
          </w:tcPr>
          <w:p>
            <w:pPr>
              <w:pStyle w:val="TableParagraph"/>
              <w:spacing w:before="187"/>
              <w:ind w:right="47"/>
              <w:jc w:val="right"/>
              <w:rPr>
                <w:sz w:val="18"/>
              </w:rPr>
            </w:pPr>
            <w:r>
              <w:rPr>
                <w:sz w:val="36"/>
              </w:rPr>
              <w:t>1,000m</w:t>
            </w:r>
            <w:r>
              <w:rPr>
                <w:position w:val="3"/>
                <w:sz w:val="18"/>
              </w:rPr>
              <w:t>3</w:t>
            </w:r>
          </w:p>
        </w:tc>
      </w:tr>
      <w:tr>
        <w:tblPrEx>
          <w:tblW w:w="0" w:type="auto"/>
          <w:jc w:val="left"/>
          <w:tblInd w:w="1105" w:type="dxa"/>
          <w:tblLayout w:type="fixed"/>
          <w:tblCellMar>
            <w:top w:w="0" w:type="dxa"/>
            <w:left w:w="0" w:type="dxa"/>
            <w:bottom w:w="0" w:type="dxa"/>
            <w:right w:w="0" w:type="dxa"/>
          </w:tblCellMar>
          <w:tblLook w:val="01E0"/>
        </w:tblPrEx>
        <w:trPr>
          <w:trHeight w:val="835"/>
          <w:jc w:val="left"/>
        </w:trPr>
        <w:tc>
          <w:tcPr>
            <w:tcW w:w="4968" w:type="dxa"/>
          </w:tcPr>
          <w:p>
            <w:pPr>
              <w:pStyle w:val="TableParagraph"/>
              <w:spacing w:before="187"/>
              <w:ind w:left="50"/>
              <w:rPr>
                <w:sz w:val="36"/>
              </w:rPr>
            </w:pPr>
            <w:r>
              <w:rPr>
                <w:sz w:val="36"/>
              </w:rPr>
              <w:t>湖北安琪酵母股份有限公司</w:t>
            </w:r>
          </w:p>
        </w:tc>
        <w:tc>
          <w:tcPr>
            <w:tcW w:w="2353" w:type="dxa"/>
          </w:tcPr>
          <w:p>
            <w:pPr>
              <w:pStyle w:val="TableParagraph"/>
              <w:spacing w:before="187"/>
              <w:ind w:left="237"/>
              <w:rPr>
                <w:sz w:val="36"/>
              </w:rPr>
            </w:pPr>
            <w:r>
              <w:rPr>
                <w:sz w:val="36"/>
              </w:rPr>
              <w:t>3,000m</w:t>
            </w:r>
            <w:r>
              <w:rPr>
                <w:position w:val="3"/>
                <w:sz w:val="18"/>
              </w:rPr>
              <w:t>3</w:t>
            </w:r>
            <w:r>
              <w:rPr>
                <w:sz w:val="36"/>
              </w:rPr>
              <w:t>/d</w:t>
            </w:r>
          </w:p>
        </w:tc>
        <w:tc>
          <w:tcPr>
            <w:tcW w:w="1485" w:type="dxa"/>
          </w:tcPr>
          <w:p>
            <w:pPr>
              <w:pStyle w:val="TableParagraph"/>
              <w:spacing w:before="187"/>
              <w:ind w:right="87"/>
              <w:jc w:val="right"/>
              <w:rPr>
                <w:sz w:val="36"/>
              </w:rPr>
            </w:pPr>
            <w:r>
              <w:rPr>
                <w:sz w:val="36"/>
              </w:rPr>
              <w:t>36,000</w:t>
            </w:r>
          </w:p>
        </w:tc>
        <w:tc>
          <w:tcPr>
            <w:tcW w:w="1788" w:type="dxa"/>
          </w:tcPr>
          <w:p>
            <w:pPr>
              <w:pStyle w:val="TableParagraph"/>
              <w:spacing w:before="187"/>
              <w:ind w:left="90"/>
              <w:rPr>
                <w:sz w:val="36"/>
              </w:rPr>
            </w:pPr>
            <w:r>
              <w:rPr>
                <w:sz w:val="36"/>
              </w:rPr>
              <w:t>kgCOD/d</w:t>
            </w:r>
          </w:p>
        </w:tc>
        <w:tc>
          <w:tcPr>
            <w:tcW w:w="2198" w:type="dxa"/>
          </w:tcPr>
          <w:p>
            <w:pPr>
              <w:pStyle w:val="TableParagraph"/>
              <w:spacing w:before="187"/>
              <w:ind w:right="47"/>
              <w:jc w:val="right"/>
              <w:rPr>
                <w:sz w:val="18"/>
              </w:rPr>
            </w:pPr>
            <w:r>
              <w:rPr>
                <w:sz w:val="36"/>
              </w:rPr>
              <w:t>1,680m</w:t>
            </w:r>
            <w:r>
              <w:rPr>
                <w:position w:val="3"/>
                <w:sz w:val="18"/>
              </w:rPr>
              <w:t>3</w:t>
            </w:r>
          </w:p>
        </w:tc>
      </w:tr>
      <w:tr>
        <w:tblPrEx>
          <w:tblW w:w="0" w:type="auto"/>
          <w:jc w:val="left"/>
          <w:tblInd w:w="1105" w:type="dxa"/>
          <w:tblLayout w:type="fixed"/>
          <w:tblCellMar>
            <w:top w:w="0" w:type="dxa"/>
            <w:left w:w="0" w:type="dxa"/>
            <w:bottom w:w="0" w:type="dxa"/>
            <w:right w:w="0" w:type="dxa"/>
          </w:tblCellMar>
          <w:tblLook w:val="01E0"/>
        </w:tblPrEx>
        <w:trPr>
          <w:trHeight w:val="597"/>
          <w:jc w:val="left"/>
        </w:trPr>
        <w:tc>
          <w:tcPr>
            <w:tcW w:w="4968" w:type="dxa"/>
          </w:tcPr>
          <w:p>
            <w:pPr>
              <w:pStyle w:val="TableParagraph"/>
              <w:spacing w:before="187" w:line="391" w:lineRule="exact"/>
              <w:ind w:left="50"/>
              <w:rPr>
                <w:sz w:val="36"/>
              </w:rPr>
            </w:pPr>
            <w:r>
              <w:rPr>
                <w:sz w:val="36"/>
              </w:rPr>
              <w:t>无锡罗氏中亚柠檬酸有限公司</w:t>
            </w:r>
          </w:p>
        </w:tc>
        <w:tc>
          <w:tcPr>
            <w:tcW w:w="2353" w:type="dxa"/>
          </w:tcPr>
          <w:p>
            <w:pPr>
              <w:pStyle w:val="TableParagraph"/>
              <w:spacing w:before="187" w:line="391" w:lineRule="exact"/>
              <w:ind w:left="237"/>
              <w:rPr>
                <w:sz w:val="36"/>
              </w:rPr>
            </w:pPr>
            <w:r>
              <w:rPr>
                <w:sz w:val="36"/>
              </w:rPr>
              <w:t>3,000m</w:t>
            </w:r>
            <w:r>
              <w:rPr>
                <w:position w:val="3"/>
                <w:sz w:val="18"/>
              </w:rPr>
              <w:t>3</w:t>
            </w:r>
            <w:r>
              <w:rPr>
                <w:sz w:val="36"/>
              </w:rPr>
              <w:t>/d</w:t>
            </w:r>
          </w:p>
        </w:tc>
        <w:tc>
          <w:tcPr>
            <w:tcW w:w="1485" w:type="dxa"/>
          </w:tcPr>
          <w:p>
            <w:pPr>
              <w:pStyle w:val="TableParagraph"/>
              <w:spacing w:before="187" w:line="391" w:lineRule="exact"/>
              <w:ind w:right="87"/>
              <w:jc w:val="right"/>
              <w:rPr>
                <w:sz w:val="36"/>
              </w:rPr>
            </w:pPr>
            <w:r>
              <w:rPr>
                <w:sz w:val="36"/>
              </w:rPr>
              <w:t>35,000</w:t>
            </w:r>
          </w:p>
        </w:tc>
        <w:tc>
          <w:tcPr>
            <w:tcW w:w="1788" w:type="dxa"/>
          </w:tcPr>
          <w:p>
            <w:pPr>
              <w:pStyle w:val="TableParagraph"/>
              <w:spacing w:before="187" w:line="391" w:lineRule="exact"/>
              <w:ind w:left="90"/>
              <w:rPr>
                <w:sz w:val="36"/>
              </w:rPr>
            </w:pPr>
            <w:r>
              <w:rPr>
                <w:sz w:val="36"/>
              </w:rPr>
              <w:t>kgCOD/d</w:t>
            </w:r>
          </w:p>
        </w:tc>
        <w:tc>
          <w:tcPr>
            <w:tcW w:w="2198" w:type="dxa"/>
          </w:tcPr>
          <w:p>
            <w:pPr>
              <w:pStyle w:val="TableParagraph"/>
              <w:spacing w:before="187" w:line="391" w:lineRule="exact"/>
              <w:ind w:right="47"/>
              <w:jc w:val="right"/>
              <w:rPr>
                <w:sz w:val="18"/>
              </w:rPr>
            </w:pPr>
            <w:r>
              <w:rPr>
                <w:sz w:val="36"/>
              </w:rPr>
              <w:t>1,680m</w:t>
            </w:r>
            <w:r>
              <w:rPr>
                <w:position w:val="3"/>
                <w:sz w:val="18"/>
              </w:rPr>
              <w:t>3</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15"/>
        </w:rPr>
      </w:pPr>
    </w:p>
    <w:p>
      <w:pPr>
        <w:pStyle w:val="Heading2"/>
        <w:numPr>
          <w:ilvl w:val="2"/>
          <w:numId w:val="47"/>
        </w:numPr>
        <w:tabs>
          <w:tab w:val="left" w:pos="1583"/>
        </w:tabs>
        <w:spacing w:before="42" w:after="0" w:line="240" w:lineRule="auto"/>
        <w:ind w:left="1583" w:right="0" w:hanging="1279"/>
        <w:jc w:val="left"/>
      </w:pPr>
      <w:r>
        <w:t>处理水质的相似性</w:t>
      </w:r>
    </w:p>
    <w:p>
      <w:pPr>
        <w:pStyle w:val="BodyText"/>
        <w:spacing w:before="8"/>
        <w:rPr>
          <w:b/>
          <w:sz w:val="30"/>
        </w:rPr>
      </w:pPr>
    </w:p>
    <w:p>
      <w:pPr>
        <w:pStyle w:val="BodyText"/>
        <w:spacing w:line="364" w:lineRule="auto"/>
        <w:ind w:left="308" w:right="793" w:firstLine="670"/>
        <w:jc w:val="both"/>
      </w:pPr>
      <w:r>
        <w:t>制浆造纸废水完全不同于食品淀粉加工等其它的工业废水，其污水生化处理，特别是厌氧处理有其很大的复杂性，制浆造纸废水的可生化降解性本身就较困难，因生产过程中加入的复杂的化学品常常具有抑制毒性。</w:t>
      </w:r>
    </w:p>
    <w:p>
      <w:pPr>
        <w:spacing w:after="0" w:line="364" w:lineRule="auto"/>
        <w:jc w:val="both"/>
        <w:sectPr>
          <w:pgSz w:w="17870" w:h="25260"/>
          <w:pgMar w:top="1820" w:right="940" w:bottom="280" w:left="1420" w:header="708" w:footer="708"/>
          <w:pgNumType w:start="3"/>
          <w:cols w:space="708"/>
        </w:sectPr>
      </w:pPr>
    </w:p>
    <w:p>
      <w:pPr>
        <w:pStyle w:val="BodyText"/>
        <w:spacing w:before="24" w:line="364" w:lineRule="auto"/>
        <w:ind w:left="308" w:right="660" w:firstLine="670"/>
        <w:jc w:val="both"/>
      </w:pPr>
      <w:r>
        <w:rPr>
          <w:spacing w:val="-3"/>
        </w:rPr>
        <w:t xml:space="preserve">帕克公司在她所处理的众多的制浆造纸废水项目中，仅在国内就与 </w:t>
      </w:r>
      <w:r>
        <w:t>XXXX</w:t>
      </w:r>
      <w:r>
        <w:rPr>
          <w:spacing w:val="-15"/>
        </w:rPr>
        <w:t xml:space="preserve"> 有限责任公司情</w:t>
      </w:r>
      <w:r>
        <w:t>况非常相似的情况有：</w:t>
      </w:r>
    </w:p>
    <w:p>
      <w:pPr>
        <w:pStyle w:val="BodyText"/>
        <w:spacing w:before="8"/>
        <w:rPr>
          <w:sz w:val="49"/>
        </w:rPr>
      </w:pPr>
    </w:p>
    <w:p>
      <w:pPr>
        <w:pStyle w:val="BodyText"/>
        <w:ind w:left="848"/>
      </w:pPr>
      <w:r>
        <w:t>案例一：福建省南平纸业股份有限公司。</w:t>
      </w:r>
    </w:p>
    <w:p>
      <w:pPr>
        <w:pStyle w:val="BodyText"/>
        <w:spacing w:before="12"/>
        <w:rPr>
          <w:sz w:val="33"/>
        </w:rPr>
      </w:pPr>
    </w:p>
    <w:p>
      <w:pPr>
        <w:pStyle w:val="BodyText"/>
        <w:spacing w:line="364" w:lineRule="auto"/>
        <w:ind w:left="308" w:right="611" w:firstLine="648"/>
        <w:jc w:val="both"/>
      </w:pPr>
      <w:r>
        <w:rPr>
          <w:spacing w:val="-45"/>
        </w:rPr>
        <w:t xml:space="preserve">在 </w:t>
      </w:r>
      <w:r>
        <w:t>2000</w:t>
      </w:r>
      <w:r>
        <w:rPr>
          <w:spacing w:val="-11"/>
        </w:rPr>
        <w:t xml:space="preserve"> 年，在福建南纸股份有限公司</w:t>
      </w:r>
      <w:r>
        <w:t>（南平造纸厂）三万吨制浆污水国际招标中，帕克</w:t>
      </w:r>
      <w:r>
        <w:rPr>
          <w:spacing w:val="-9"/>
        </w:rPr>
        <w:t xml:space="preserve">公司以其世界最先进的 </w:t>
      </w:r>
      <w:r>
        <w:t>IC</w:t>
      </w:r>
      <w:r>
        <w:rPr>
          <w:spacing w:val="-11"/>
        </w:rPr>
        <w:t xml:space="preserve"> 内循环厌氧反应器为主要工艺环节，在激烈的竞争中成功中标。福</w:t>
      </w:r>
      <w:r>
        <w:t>建省南平纸业成为国内的第一家采用厌氧＋好氧处理技术的制浆造纸厂，在此项目中，IC</w:t>
      </w:r>
      <w:r>
        <w:rPr>
          <w:spacing w:val="-45"/>
        </w:rPr>
        <w:t xml:space="preserve"> 反</w:t>
      </w:r>
      <w:r>
        <w:rPr>
          <w:spacing w:val="-50"/>
        </w:rPr>
        <w:t xml:space="preserve">应器处理高浓度的 </w:t>
      </w:r>
      <w:r>
        <w:t>DIP</w:t>
      </w:r>
      <w:r>
        <w:rPr>
          <w:spacing w:val="-60"/>
        </w:rPr>
        <w:t xml:space="preserve"> 和 </w:t>
      </w:r>
      <w:r>
        <w:t>TMP</w:t>
      </w:r>
      <w:r>
        <w:rPr>
          <w:spacing w:val="-10"/>
        </w:rPr>
        <w:t xml:space="preserve"> 废水，并经过活性污泥法好氧的后续处理后出水达标排放。</w:t>
      </w:r>
    </w:p>
    <w:p>
      <w:pPr>
        <w:pStyle w:val="BodyText"/>
        <w:rPr>
          <w:sz w:val="20"/>
        </w:rPr>
      </w:pPr>
    </w:p>
    <w:p>
      <w:pPr>
        <w:pStyle w:val="BodyText"/>
        <w:rPr>
          <w:sz w:val="20"/>
        </w:rPr>
      </w:pPr>
    </w:p>
    <w:p>
      <w:pPr>
        <w:pStyle w:val="BodyText"/>
        <w:spacing w:before="12"/>
        <w:rPr>
          <w:sz w:val="22"/>
        </w:rPr>
      </w:pPr>
      <w:r>
        <w:drawing>
          <wp:anchor distT="0" distB="0" distL="0" distR="0" simplePos="0" relativeHeight="251662336" behindDoc="0" locked="0" layoutInCell="1" allowOverlap="1">
            <wp:simplePos x="0" y="0"/>
            <wp:positionH relativeFrom="page">
              <wp:posOffset>1098422</wp:posOffset>
            </wp:positionH>
            <wp:positionV relativeFrom="paragraph">
              <wp:posOffset>211851</wp:posOffset>
            </wp:positionV>
            <wp:extent cx="9298367" cy="6042755"/>
            <wp:effectExtent l="0" t="0" r="0" b="0"/>
            <wp:wrapTopAndBottom/>
            <wp:docPr id="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5.png"/>
                    <pic:cNvPicPr/>
                  </pic:nvPicPr>
                  <pic:blipFill>
                    <a:blip xmlns:r="http://schemas.openxmlformats.org/officeDocument/2006/relationships" r:embed="rId8" cstate="print"/>
                    <a:stretch>
                      <a:fillRect/>
                    </a:stretch>
                  </pic:blipFill>
                  <pic:spPr>
                    <a:xfrm>
                      <a:off x="0" y="0"/>
                      <a:ext cx="9298367" cy="6042755"/>
                    </a:xfrm>
                    <a:prstGeom prst="rect">
                      <a:avLst/>
                    </a:prstGeom>
                  </pic:spPr>
                </pic:pic>
              </a:graphicData>
            </a:graphic>
          </wp:anchor>
        </w:drawing>
      </w:r>
    </w:p>
    <w:p>
      <w:pPr>
        <w:spacing w:after="0"/>
        <w:rPr>
          <w:sz w:val="22"/>
        </w:rPr>
        <w:sectPr>
          <w:pgSz w:w="17870" w:h="25260"/>
          <w:pgMar w:top="1820" w:right="940" w:bottom="280" w:left="1420" w:header="708" w:footer="708"/>
          <w:pgNumType w:start="4"/>
          <w:cols w:space="708"/>
        </w:sectPr>
      </w:pPr>
    </w:p>
    <w:p>
      <w:pPr>
        <w:pStyle w:val="BodyText"/>
        <w:spacing w:before="5"/>
        <w:rPr>
          <w:sz w:val="17"/>
        </w:rPr>
      </w:pPr>
      <w:r>
        <w:drawing>
          <wp:anchor distT="0" distB="0" distL="0" distR="0" simplePos="0" relativeHeight="251663360" behindDoc="1" locked="0" layoutInCell="1" allowOverlap="1">
            <wp:simplePos x="0" y="0"/>
            <wp:positionH relativeFrom="page">
              <wp:posOffset>0</wp:posOffset>
            </wp:positionH>
            <wp:positionV relativeFrom="page">
              <wp:posOffset>0</wp:posOffset>
            </wp:positionV>
            <wp:extent cx="11343131" cy="15852394"/>
            <wp:effectExtent l="0" t="0" r="0" b="0"/>
            <wp:wrapNone/>
            <wp:docPr id="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6.png"/>
                    <pic:cNvPicPr/>
                  </pic:nvPicPr>
                  <pic:blipFill>
                    <a:blip xmlns:r="http://schemas.openxmlformats.org/officeDocument/2006/relationships" r:embed="rId9" cstate="print"/>
                    <a:stretch>
                      <a:fillRect/>
                    </a:stretch>
                  </pic:blipFill>
                  <pic:spPr>
                    <a:xfrm>
                      <a:off x="0" y="0"/>
                      <a:ext cx="11343131" cy="15852394"/>
                    </a:xfrm>
                    <a:prstGeom prst="rect">
                      <a:avLst/>
                    </a:prstGeom>
                  </pic:spPr>
                </pic:pic>
              </a:graphicData>
            </a:graphic>
          </wp:anchor>
        </w:drawing>
      </w:r>
    </w:p>
    <w:p>
      <w:pPr>
        <w:pStyle w:val="BodyText"/>
        <w:spacing w:before="49"/>
        <w:ind w:left="848"/>
      </w:pPr>
      <w:r>
        <w:t>案例二：湖南省岳阳纸业集团有限公司；</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3"/>
        <w:rPr>
          <w:sz w:val="29"/>
        </w:rPr>
      </w:pPr>
    </w:p>
    <w:p>
      <w:pPr>
        <w:pStyle w:val="BodyText"/>
        <w:spacing w:line="364" w:lineRule="auto"/>
        <w:ind w:left="308" w:right="700" w:firstLine="670"/>
      </w:pPr>
      <w:r>
        <w:rPr>
          <w:spacing w:val="-6"/>
        </w:rPr>
        <w:t xml:space="preserve">湖南省岳阳纸业集团有限公司杨木 </w:t>
      </w:r>
      <w:r>
        <w:t>APMP</w:t>
      </w:r>
      <w:r>
        <w:rPr>
          <w:spacing w:val="-15"/>
        </w:rPr>
        <w:t xml:space="preserve"> 污水处理厂项目，此项目也是为其新的 </w:t>
      </w:r>
      <w:r>
        <w:t xml:space="preserve">Valmet </w:t>
      </w:r>
      <w:r>
        <w:rPr>
          <w:spacing w:val="-45"/>
        </w:rPr>
        <w:t xml:space="preserve">的 </w:t>
      </w:r>
      <w:r>
        <w:t>LWC</w:t>
      </w:r>
      <w:r>
        <w:rPr>
          <w:spacing w:val="-17"/>
        </w:rPr>
        <w:t xml:space="preserve"> 纸机的相配套项目，对于 </w:t>
      </w:r>
      <w:r>
        <w:t>400t/d</w:t>
      </w:r>
      <w:r>
        <w:rPr>
          <w:spacing w:val="-27"/>
        </w:rPr>
        <w:t xml:space="preserve"> 的澳地利的 </w:t>
      </w:r>
      <w:r>
        <w:t>Andritz</w:t>
      </w:r>
      <w:r>
        <w:rPr>
          <w:spacing w:val="-27"/>
        </w:rPr>
        <w:t xml:space="preserve"> 公司提供的 </w:t>
      </w:r>
      <w:r>
        <w:t>APMP</w:t>
      </w:r>
      <w:r>
        <w:rPr>
          <w:spacing w:val="-14"/>
        </w:rPr>
        <w:t xml:space="preserve"> 化机浆生产线</w:t>
      </w:r>
      <w:r>
        <w:rPr>
          <w:spacing w:val="-23"/>
        </w:rPr>
        <w:t xml:space="preserve">所产生的废水，其 </w:t>
      </w:r>
      <w:r>
        <w:t>SCOD</w:t>
      </w:r>
      <w:r>
        <w:rPr>
          <w:spacing w:val="-45"/>
        </w:rPr>
        <w:t xml:space="preserve"> 达到 </w:t>
      </w:r>
      <w:r>
        <w:t>7,000mg/l，</w:t>
      </w:r>
      <w:r>
        <w:rPr>
          <w:spacing w:val="-10"/>
        </w:rPr>
        <w:t xml:space="preserve">水量也达到了将近 </w:t>
      </w:r>
      <w:r>
        <w:t>94,000m</w:t>
      </w:r>
      <w:r>
        <w:rPr>
          <w:position w:val="3"/>
          <w:sz w:val="18"/>
        </w:rPr>
        <w:t>3</w:t>
      </w:r>
      <w:r>
        <w:t>/d</w:t>
      </w:r>
      <w:r>
        <w:rPr>
          <w:spacing w:val="-2"/>
        </w:rPr>
        <w:t>。瑞丰与湖南岳阳纸</w:t>
      </w:r>
      <w:r>
        <w:t>业项目有许多相似：</w:t>
      </w:r>
    </w:p>
    <w:p>
      <w:pPr>
        <w:pStyle w:val="ListParagraph"/>
        <w:numPr>
          <w:ilvl w:val="0"/>
          <w:numId w:val="46"/>
        </w:numPr>
        <w:tabs>
          <w:tab w:val="left" w:pos="1518"/>
          <w:tab w:val="left" w:pos="1519"/>
        </w:tabs>
        <w:spacing w:before="92" w:after="0" w:line="240" w:lineRule="auto"/>
        <w:ind w:left="1518" w:right="0" w:hanging="541"/>
        <w:jc w:val="left"/>
        <w:rPr>
          <w:sz w:val="36"/>
        </w:rPr>
      </w:pPr>
      <w:r>
        <w:rPr>
          <w:spacing w:val="-9"/>
          <w:sz w:val="36"/>
        </w:rPr>
        <w:t xml:space="preserve">生产线完全相同：均为 </w:t>
      </w:r>
      <w:r>
        <w:rPr>
          <w:sz w:val="36"/>
        </w:rPr>
        <w:t>APMP</w:t>
      </w:r>
      <w:r>
        <w:rPr>
          <w:spacing w:val="-19"/>
          <w:sz w:val="36"/>
        </w:rPr>
        <w:t xml:space="preserve"> 生产线；</w:t>
      </w:r>
    </w:p>
    <w:p>
      <w:pPr>
        <w:pStyle w:val="ListParagraph"/>
        <w:numPr>
          <w:ilvl w:val="0"/>
          <w:numId w:val="46"/>
        </w:numPr>
        <w:tabs>
          <w:tab w:val="left" w:pos="1518"/>
          <w:tab w:val="left" w:pos="1519"/>
        </w:tabs>
        <w:spacing w:before="329" w:after="0" w:line="364" w:lineRule="auto"/>
        <w:ind w:left="1518" w:right="662" w:hanging="540"/>
        <w:jc w:val="left"/>
        <w:rPr>
          <w:sz w:val="36"/>
        </w:rPr>
      </w:pPr>
      <w:r>
        <w:rPr>
          <w:spacing w:val="-1"/>
          <w:sz w:val="36"/>
        </w:rPr>
        <w:t>产品的原材料基本一样：同为杨木浆，岳阳主要采用洞庭湖的意大利杨，焦作将采用</w:t>
      </w:r>
      <w:r>
        <w:rPr>
          <w:sz w:val="36"/>
        </w:rPr>
        <w:t>当地三倍体毛白杨，其制浆质量将优于意杨；</w:t>
      </w:r>
    </w:p>
    <w:p>
      <w:pPr>
        <w:pStyle w:val="ListParagraph"/>
        <w:numPr>
          <w:ilvl w:val="0"/>
          <w:numId w:val="46"/>
        </w:numPr>
        <w:tabs>
          <w:tab w:val="left" w:pos="1518"/>
          <w:tab w:val="left" w:pos="1519"/>
        </w:tabs>
        <w:spacing w:before="91" w:after="0" w:line="240" w:lineRule="auto"/>
        <w:ind w:left="1518" w:right="0" w:hanging="541"/>
        <w:jc w:val="left"/>
        <w:rPr>
          <w:sz w:val="36"/>
        </w:rPr>
      </w:pPr>
      <w:r>
        <w:rPr>
          <w:spacing w:val="-6"/>
          <w:sz w:val="36"/>
        </w:rPr>
        <w:t xml:space="preserve">生产线的规模也差不多：岳阳是 </w:t>
      </w:r>
      <w:r>
        <w:rPr>
          <w:sz w:val="36"/>
        </w:rPr>
        <w:t>370t/d</w:t>
      </w:r>
      <w:r>
        <w:rPr>
          <w:spacing w:val="-17"/>
          <w:sz w:val="36"/>
        </w:rPr>
        <w:t xml:space="preserve"> 的规模，而焦作瑞丰是 </w:t>
      </w:r>
      <w:r>
        <w:rPr>
          <w:sz w:val="36"/>
        </w:rPr>
        <w:t>450t/d</w:t>
      </w:r>
      <w:r>
        <w:rPr>
          <w:spacing w:val="-19"/>
          <w:sz w:val="36"/>
        </w:rPr>
        <w:t xml:space="preserve"> 的规模；</w:t>
      </w:r>
    </w:p>
    <w:p>
      <w:pPr>
        <w:pStyle w:val="ListParagraph"/>
        <w:numPr>
          <w:ilvl w:val="0"/>
          <w:numId w:val="46"/>
        </w:numPr>
        <w:tabs>
          <w:tab w:val="left" w:pos="1518"/>
          <w:tab w:val="left" w:pos="1519"/>
        </w:tabs>
        <w:spacing w:before="329" w:after="0" w:line="364" w:lineRule="auto"/>
        <w:ind w:left="1518" w:right="1831" w:hanging="540"/>
        <w:jc w:val="left"/>
        <w:rPr>
          <w:sz w:val="36"/>
        </w:rPr>
      </w:pPr>
      <w:r>
        <w:rPr>
          <w:spacing w:val="-6"/>
          <w:sz w:val="36"/>
        </w:rPr>
        <w:t xml:space="preserve">污水处理的规模差不多，岳阳是处理 </w:t>
      </w:r>
      <w:r>
        <w:rPr>
          <w:sz w:val="36"/>
        </w:rPr>
        <w:t>9400m</w:t>
      </w:r>
      <w:r>
        <w:rPr>
          <w:position w:val="3"/>
          <w:sz w:val="18"/>
        </w:rPr>
        <w:t>3</w:t>
      </w:r>
      <w:r>
        <w:rPr>
          <w:sz w:val="36"/>
        </w:rPr>
        <w:t>/d</w:t>
      </w:r>
      <w:r>
        <w:rPr>
          <w:spacing w:val="-60"/>
          <w:sz w:val="36"/>
        </w:rPr>
        <w:t xml:space="preserve"> 的 </w:t>
      </w:r>
      <w:r>
        <w:rPr>
          <w:sz w:val="36"/>
        </w:rPr>
        <w:t>APMP</w:t>
      </w:r>
      <w:r>
        <w:rPr>
          <w:spacing w:val="-12"/>
          <w:sz w:val="36"/>
        </w:rPr>
        <w:t xml:space="preserve"> 的污水，而瑞丰是处理</w:t>
      </w:r>
      <w:r>
        <w:rPr>
          <w:sz w:val="36"/>
        </w:rPr>
        <w:t>10000m</w:t>
      </w:r>
      <w:r>
        <w:rPr>
          <w:position w:val="3"/>
          <w:sz w:val="18"/>
        </w:rPr>
        <w:t>3</w:t>
      </w:r>
      <w:r>
        <w:rPr>
          <w:sz w:val="36"/>
        </w:rPr>
        <w:t>/d</w:t>
      </w:r>
      <w:r>
        <w:rPr>
          <w:spacing w:val="-19"/>
          <w:sz w:val="36"/>
        </w:rPr>
        <w:t xml:space="preserve"> 的污水；</w:t>
      </w:r>
    </w:p>
    <w:p>
      <w:pPr>
        <w:pStyle w:val="ListParagraph"/>
        <w:numPr>
          <w:ilvl w:val="0"/>
          <w:numId w:val="46"/>
        </w:numPr>
        <w:tabs>
          <w:tab w:val="left" w:pos="1518"/>
          <w:tab w:val="left" w:pos="1519"/>
        </w:tabs>
        <w:spacing w:before="89" w:after="0" w:line="240" w:lineRule="auto"/>
        <w:ind w:left="1518" w:right="0" w:hanging="541"/>
        <w:jc w:val="left"/>
        <w:rPr>
          <w:sz w:val="36"/>
        </w:rPr>
      </w:pPr>
      <w:r>
        <w:rPr>
          <w:spacing w:val="-6"/>
          <w:sz w:val="36"/>
        </w:rPr>
        <w:t xml:space="preserve">反应器的规格完全相同，直径均为 </w:t>
      </w:r>
      <w:r>
        <w:rPr>
          <w:sz w:val="36"/>
        </w:rPr>
        <w:t>11m，</w:t>
      </w:r>
      <w:r>
        <w:rPr>
          <w:spacing w:val="-45"/>
          <w:sz w:val="36"/>
        </w:rPr>
        <w:t xml:space="preserve">高 </w:t>
      </w:r>
      <w:r>
        <w:rPr>
          <w:sz w:val="36"/>
        </w:rPr>
        <w:t>24m；</w:t>
      </w:r>
    </w:p>
    <w:p>
      <w:pPr>
        <w:pStyle w:val="ListParagraph"/>
        <w:numPr>
          <w:ilvl w:val="0"/>
          <w:numId w:val="46"/>
        </w:numPr>
        <w:tabs>
          <w:tab w:val="left" w:pos="1518"/>
          <w:tab w:val="left" w:pos="1519"/>
        </w:tabs>
        <w:spacing w:before="329" w:after="0" w:line="364" w:lineRule="auto"/>
        <w:ind w:left="1518" w:right="660" w:hanging="540"/>
        <w:jc w:val="left"/>
        <w:rPr>
          <w:sz w:val="36"/>
        </w:rPr>
      </w:pPr>
      <w:r>
        <w:rPr>
          <w:spacing w:val="-3"/>
          <w:sz w:val="36"/>
        </w:rPr>
        <w:t xml:space="preserve">项目的规划完全一致：均采用厌氧＋好氧的处理工艺处理污水。对于高浓度的 </w:t>
      </w:r>
      <w:r>
        <w:rPr>
          <w:sz w:val="36"/>
        </w:rPr>
        <w:t xml:space="preserve">APMP </w:t>
      </w:r>
      <w:r>
        <w:rPr>
          <w:spacing w:val="-4"/>
          <w:sz w:val="36"/>
        </w:rPr>
        <w:t xml:space="preserve">废水，先进入厌氧污水系统处理，在处理绝大部分的 </w:t>
      </w:r>
      <w:r>
        <w:rPr>
          <w:sz w:val="36"/>
        </w:rPr>
        <w:t>COD</w:t>
      </w:r>
      <w:r>
        <w:rPr>
          <w:spacing w:val="-60"/>
          <w:sz w:val="36"/>
        </w:rPr>
        <w:t xml:space="preserve"> 及 </w:t>
      </w:r>
      <w:r>
        <w:rPr>
          <w:sz w:val="36"/>
        </w:rPr>
        <w:t>BOD</w:t>
      </w:r>
      <w:r>
        <w:rPr>
          <w:spacing w:val="-13"/>
          <w:sz w:val="36"/>
        </w:rPr>
        <w:t xml:space="preserve"> 后，排入再进行好氧</w:t>
      </w:r>
      <w:r>
        <w:rPr>
          <w:sz w:val="36"/>
        </w:rPr>
        <w:t>污水处理厂作进一步的处理；</w:t>
      </w:r>
    </w:p>
    <w:p>
      <w:pPr>
        <w:spacing w:after="0" w:line="364" w:lineRule="auto"/>
        <w:jc w:val="left"/>
        <w:rPr>
          <w:sz w:val="36"/>
        </w:rPr>
        <w:sectPr>
          <w:pgSz w:w="17870" w:h="25260"/>
          <w:pgMar w:top="2440" w:right="940" w:bottom="280" w:left="1420" w:header="708" w:footer="708"/>
          <w:pgNumType w:start="5"/>
          <w:cols w:space="708"/>
        </w:sectPr>
      </w:pPr>
    </w:p>
    <w:p>
      <w:pPr>
        <w:pStyle w:val="BodyText"/>
        <w:spacing w:before="24" w:line="364" w:lineRule="auto"/>
        <w:ind w:left="308" w:right="835" w:firstLine="677"/>
      </w:pPr>
      <w:r>
        <w:drawing>
          <wp:anchor distT="0" distB="0" distL="0" distR="0" simplePos="0" relativeHeight="251664384" behindDoc="1" locked="0" layoutInCell="1" allowOverlap="1">
            <wp:simplePos x="0" y="0"/>
            <wp:positionH relativeFrom="page">
              <wp:posOffset>0</wp:posOffset>
            </wp:positionH>
            <wp:positionV relativeFrom="page">
              <wp:posOffset>0</wp:posOffset>
            </wp:positionV>
            <wp:extent cx="11343131" cy="15852394"/>
            <wp:effectExtent l="0" t="0" r="0" b="0"/>
            <wp:wrapNone/>
            <wp:docPr id="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png"/>
                    <pic:cNvPicPr/>
                  </pic:nvPicPr>
                  <pic:blipFill>
                    <a:blip xmlns:r="http://schemas.openxmlformats.org/officeDocument/2006/relationships" r:embed="rId10" cstate="print"/>
                    <a:stretch>
                      <a:fillRect/>
                    </a:stretch>
                  </pic:blipFill>
                  <pic:spPr>
                    <a:xfrm>
                      <a:off x="0" y="0"/>
                      <a:ext cx="11343131" cy="15852394"/>
                    </a:xfrm>
                    <a:prstGeom prst="rect">
                      <a:avLst/>
                    </a:prstGeom>
                  </pic:spPr>
                </pic:pic>
              </a:graphicData>
            </a:graphic>
          </wp:anchor>
        </w:drawing>
      </w:r>
      <w:r>
        <w:t>岳阳纸业经过长期谨慎的技术论证、国内外详细的项目考察及严格的项目评估，选择帕克公司的 IC 内循环厌氧方案，现在整个项目已经施工完毕，现在已经在正常运行。</w:t>
      </w:r>
    </w:p>
    <w:p>
      <w:pPr>
        <w:pStyle w:val="BodyText"/>
        <w:spacing w:before="168"/>
        <w:ind w:left="848"/>
      </w:pPr>
      <w:r>
        <w:t>案例三：山东晨鸣纸业股份有限公司</w:t>
      </w:r>
    </w:p>
    <w:p>
      <w:pPr>
        <w:pStyle w:val="BodyText"/>
        <w:spacing w:before="12"/>
        <w:rPr>
          <w:sz w:val="33"/>
        </w:rPr>
      </w:pPr>
    </w:p>
    <w:p>
      <w:pPr>
        <w:pStyle w:val="BodyText"/>
        <w:spacing w:line="364" w:lineRule="auto"/>
        <w:ind w:left="308" w:right="682" w:firstLine="648"/>
        <w:jc w:val="both"/>
      </w:pPr>
      <w:r>
        <w:rPr>
          <w:spacing w:val="-45"/>
        </w:rPr>
        <w:t xml:space="preserve">在 </w:t>
      </w:r>
      <w:r>
        <w:t>2003</w:t>
      </w:r>
      <w:r>
        <w:rPr>
          <w:spacing w:val="-15"/>
        </w:rPr>
        <w:t xml:space="preserve"> 年，山东晨鸣纸业股份有限公司由于企业的原因,其 </w:t>
      </w:r>
      <w:r>
        <w:t>180T/D</w:t>
      </w:r>
      <w:r>
        <w:rPr>
          <w:spacing w:val="-13"/>
        </w:rPr>
        <w:t xml:space="preserve"> 的杨木化机浆项目与</w:t>
      </w:r>
      <w:r>
        <w:t>配套的污水环保项目规划严重脱节, 项目面临时间紧同时任务重的问题，后来晨鸣纸业经过</w:t>
      </w:r>
      <w:r>
        <w:rPr>
          <w:spacing w:val="-6"/>
        </w:rPr>
        <w:t xml:space="preserve">国际招标, 决定选用帕克公司的 </w:t>
      </w:r>
      <w:r>
        <w:t>IC</w:t>
      </w:r>
      <w:r>
        <w:rPr>
          <w:spacing w:val="-10"/>
        </w:rPr>
        <w:t xml:space="preserve"> 厌氧反应系统, 帕克公司急人所急，想人所想， 与晨鸣</w:t>
      </w:r>
      <w:r>
        <w:rPr>
          <w:spacing w:val="-17"/>
        </w:rPr>
        <w:t xml:space="preserve">纸业密切配合，超常规地在 </w:t>
      </w:r>
      <w:r>
        <w:t>7</w:t>
      </w:r>
      <w:r>
        <w:rPr>
          <w:spacing w:val="-10"/>
        </w:rPr>
        <w:t xml:space="preserve"> 个月不到的时间内完成整个厌氧系统的设计</w:t>
      </w:r>
      <w:r>
        <w:t>/制造/发运/安装/ 调试/启动,并已经顺利达标,受到晨鸣集团的大力称赞。</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5"/>
        <w:rPr>
          <w:sz w:val="47"/>
        </w:rPr>
      </w:pPr>
    </w:p>
    <w:p>
      <w:pPr>
        <w:pStyle w:val="BodyText"/>
        <w:spacing w:line="364" w:lineRule="auto"/>
        <w:ind w:left="308" w:right="842" w:firstLine="670"/>
      </w:pPr>
      <w:r>
        <w:t>以上的这些项目都给帕克公司在设计本项目的污水处理厂时提供了许多宝贵的实际设计及运行经验。如果帕克有幸中标，这些经验无疑将能大大地帮助该项目的成功实施。</w:t>
      </w:r>
    </w:p>
    <w:p>
      <w:pPr>
        <w:spacing w:after="0" w:line="364" w:lineRule="auto"/>
        <w:sectPr>
          <w:pgSz w:w="17870" w:h="25260"/>
          <w:pgMar w:top="1820" w:right="940" w:bottom="280" w:left="1420" w:header="708" w:footer="708"/>
          <w:pgNumType w:start="6"/>
          <w:cols w:space="708"/>
        </w:sectPr>
      </w:pPr>
    </w:p>
    <w:p>
      <w:pPr>
        <w:pStyle w:val="Heading1"/>
        <w:numPr>
          <w:ilvl w:val="1"/>
          <w:numId w:val="47"/>
        </w:numPr>
        <w:tabs>
          <w:tab w:val="left" w:pos="1582"/>
          <w:tab w:val="left" w:pos="1583"/>
        </w:tabs>
        <w:spacing w:before="21" w:after="0" w:line="240" w:lineRule="auto"/>
        <w:ind w:left="1583" w:right="0" w:hanging="1279"/>
        <w:jc w:val="left"/>
      </w:pPr>
      <w:r>
        <w:t>帕克在中国的业务活动</w:t>
      </w:r>
    </w:p>
    <w:p>
      <w:pPr>
        <w:pStyle w:val="BodyText"/>
        <w:spacing w:before="11"/>
        <w:rPr>
          <w:b/>
          <w:sz w:val="57"/>
        </w:rPr>
      </w:pPr>
    </w:p>
    <w:p>
      <w:pPr>
        <w:pStyle w:val="BodyText"/>
        <w:ind w:left="978"/>
      </w:pPr>
      <w:r>
        <w:rPr>
          <w:spacing w:val="-31"/>
        </w:rPr>
        <w:t xml:space="preserve">自从 </w:t>
      </w:r>
      <w:r>
        <w:t>1997</w:t>
      </w:r>
      <w:r>
        <w:rPr>
          <w:spacing w:val="-60"/>
        </w:rPr>
        <w:t xml:space="preserve"> 年 </w:t>
      </w:r>
      <w:r>
        <w:t>7</w:t>
      </w:r>
      <w:r>
        <w:rPr>
          <w:spacing w:val="-10"/>
        </w:rPr>
        <w:t xml:space="preserve"> 月荷兰帕克在中国开设独资子公司以来，</w:t>
      </w:r>
      <w:r>
        <w:t>XXXX</w:t>
      </w:r>
      <w:r>
        <w:rPr>
          <w:spacing w:val="-10"/>
        </w:rPr>
        <w:t xml:space="preserve"> 环保技术上海有限公司</w:t>
      </w:r>
    </w:p>
    <w:p>
      <w:pPr>
        <w:pStyle w:val="BodyText"/>
        <w:spacing w:before="241" w:line="364" w:lineRule="auto"/>
        <w:ind w:left="308" w:right="611"/>
      </w:pPr>
      <w:r>
        <w:t>（以下简称帕克上海）</w:t>
      </w:r>
      <w:r>
        <w:rPr>
          <w:spacing w:val="-10"/>
        </w:rPr>
        <w:t xml:space="preserve">已逐步发展到拥有 </w:t>
      </w:r>
      <w:r>
        <w:t>40</w:t>
      </w:r>
      <w:r>
        <w:rPr>
          <w:spacing w:val="-11"/>
        </w:rPr>
        <w:t xml:space="preserve"> 多名专业技术人员，并有荷兰总部的工艺设计专</w:t>
      </w:r>
      <w:r>
        <w:t>家直接指导工作，这样帕克帕克公司可以给用户提供更直接更迅速的服务。</w:t>
      </w:r>
    </w:p>
    <w:p>
      <w:pPr>
        <w:pStyle w:val="BodyText"/>
        <w:spacing w:before="243" w:line="364" w:lineRule="auto"/>
        <w:ind w:left="308" w:right="793" w:firstLine="670"/>
      </w:pPr>
      <w:r>
        <w:rPr>
          <w:spacing w:val="-6"/>
        </w:rPr>
        <w:t xml:space="preserve">至今，帕克上海在中国建成的将近 </w:t>
      </w:r>
      <w:r>
        <w:t>30</w:t>
      </w:r>
      <w:r>
        <w:rPr>
          <w:spacing w:val="-10"/>
        </w:rPr>
        <w:t xml:space="preserve"> 项以厌氧处理为特色的污水处理工程都在成功运</w:t>
      </w:r>
      <w:r>
        <w:rPr>
          <w:spacing w:val="-11"/>
        </w:rPr>
        <w:t>行。此外，随着中国环保意识的增强和帕克公司国产化进程的加快，使得帕克公司的技术在</w:t>
      </w:r>
      <w:r>
        <w:t>中国市场深受欢迎，帕克公司在中国已经签约的污水处理项目有：</w:t>
      </w:r>
    </w:p>
    <w:p>
      <w:pPr>
        <w:pStyle w:val="ListParagraph"/>
        <w:numPr>
          <w:ilvl w:val="0"/>
          <w:numId w:val="45"/>
        </w:numPr>
        <w:tabs>
          <w:tab w:val="left" w:pos="2065"/>
          <w:tab w:val="left" w:pos="2066"/>
        </w:tabs>
        <w:spacing w:before="1" w:after="0" w:line="240" w:lineRule="auto"/>
        <w:ind w:left="2065" w:right="0" w:hanging="937"/>
        <w:jc w:val="left"/>
        <w:rPr>
          <w:sz w:val="36"/>
        </w:rPr>
      </w:pPr>
      <w:r>
        <w:rPr>
          <w:sz w:val="36"/>
        </w:rPr>
        <w:t>柳州立达化学品有限公司（一期、二期）</w:t>
      </w:r>
    </w:p>
    <w:p>
      <w:pPr>
        <w:pStyle w:val="ListParagraph"/>
        <w:numPr>
          <w:ilvl w:val="0"/>
          <w:numId w:val="45"/>
        </w:numPr>
        <w:tabs>
          <w:tab w:val="left" w:pos="2065"/>
          <w:tab w:val="left" w:pos="2066"/>
        </w:tabs>
        <w:spacing w:before="239" w:after="0" w:line="240" w:lineRule="auto"/>
        <w:ind w:left="2065" w:right="0" w:hanging="937"/>
        <w:jc w:val="left"/>
        <w:rPr>
          <w:sz w:val="36"/>
        </w:rPr>
      </w:pPr>
      <w:r>
        <w:rPr>
          <w:sz w:val="36"/>
        </w:rPr>
        <w:t>杭州中策啤酒有限公司</w:t>
      </w:r>
    </w:p>
    <w:p>
      <w:pPr>
        <w:pStyle w:val="ListParagraph"/>
        <w:numPr>
          <w:ilvl w:val="0"/>
          <w:numId w:val="45"/>
        </w:numPr>
        <w:tabs>
          <w:tab w:val="left" w:pos="2065"/>
          <w:tab w:val="left" w:pos="2066"/>
        </w:tabs>
        <w:spacing w:before="239" w:after="0" w:line="240" w:lineRule="auto"/>
        <w:ind w:left="2065" w:right="0" w:hanging="937"/>
        <w:jc w:val="left"/>
        <w:rPr>
          <w:sz w:val="36"/>
        </w:rPr>
      </w:pPr>
      <w:r>
        <w:rPr>
          <w:sz w:val="36"/>
        </w:rPr>
        <w:t>上海福士达啤酒有限公司</w:t>
      </w:r>
    </w:p>
    <w:p>
      <w:pPr>
        <w:pStyle w:val="ListParagraph"/>
        <w:numPr>
          <w:ilvl w:val="0"/>
          <w:numId w:val="45"/>
        </w:numPr>
        <w:tabs>
          <w:tab w:val="left" w:pos="2065"/>
          <w:tab w:val="left" w:pos="2066"/>
        </w:tabs>
        <w:spacing w:before="239" w:after="0" w:line="240" w:lineRule="auto"/>
        <w:ind w:left="2065" w:right="0" w:hanging="937"/>
        <w:jc w:val="left"/>
        <w:rPr>
          <w:sz w:val="36"/>
        </w:rPr>
      </w:pPr>
      <w:r>
        <w:rPr>
          <w:sz w:val="36"/>
        </w:rPr>
        <w:t>上海三得利啤酒有限公司</w:t>
      </w:r>
    </w:p>
    <w:p>
      <w:pPr>
        <w:pStyle w:val="ListParagraph"/>
        <w:numPr>
          <w:ilvl w:val="0"/>
          <w:numId w:val="45"/>
        </w:numPr>
        <w:tabs>
          <w:tab w:val="left" w:pos="2065"/>
          <w:tab w:val="left" w:pos="2066"/>
        </w:tabs>
        <w:spacing w:before="238" w:after="0" w:line="240" w:lineRule="auto"/>
        <w:ind w:left="2065" w:right="0" w:hanging="937"/>
        <w:jc w:val="left"/>
        <w:rPr>
          <w:sz w:val="36"/>
        </w:rPr>
      </w:pPr>
      <w:r>
        <w:rPr>
          <w:sz w:val="36"/>
        </w:rPr>
        <w:t>无锡中亚柠檬酸有限公司</w:t>
      </w:r>
    </w:p>
    <w:p>
      <w:pPr>
        <w:pStyle w:val="ListParagraph"/>
        <w:numPr>
          <w:ilvl w:val="0"/>
          <w:numId w:val="45"/>
        </w:numPr>
        <w:tabs>
          <w:tab w:val="left" w:pos="2065"/>
          <w:tab w:val="left" w:pos="2066"/>
        </w:tabs>
        <w:spacing w:before="239" w:after="0" w:line="240" w:lineRule="auto"/>
        <w:ind w:left="2065" w:right="0" w:hanging="937"/>
        <w:jc w:val="left"/>
        <w:rPr>
          <w:sz w:val="36"/>
        </w:rPr>
      </w:pPr>
      <w:r>
        <w:rPr>
          <w:sz w:val="36"/>
        </w:rPr>
        <w:t>福建南纸股份有限公司（200t/d TMP）</w:t>
      </w:r>
    </w:p>
    <w:p>
      <w:pPr>
        <w:pStyle w:val="ListParagraph"/>
        <w:numPr>
          <w:ilvl w:val="0"/>
          <w:numId w:val="45"/>
        </w:numPr>
        <w:tabs>
          <w:tab w:val="left" w:pos="2065"/>
          <w:tab w:val="left" w:pos="2066"/>
        </w:tabs>
        <w:spacing w:before="240" w:after="0" w:line="240" w:lineRule="auto"/>
        <w:ind w:left="2065" w:right="0" w:hanging="937"/>
        <w:jc w:val="left"/>
        <w:rPr>
          <w:sz w:val="36"/>
        </w:rPr>
      </w:pPr>
      <w:r>
        <w:rPr>
          <w:sz w:val="36"/>
        </w:rPr>
        <w:t>广州珠江啤酒集团公司</w:t>
      </w:r>
    </w:p>
    <w:p>
      <w:pPr>
        <w:pStyle w:val="ListParagraph"/>
        <w:numPr>
          <w:ilvl w:val="0"/>
          <w:numId w:val="45"/>
        </w:numPr>
        <w:tabs>
          <w:tab w:val="left" w:pos="2065"/>
          <w:tab w:val="left" w:pos="2066"/>
        </w:tabs>
        <w:spacing w:before="238" w:after="0" w:line="240" w:lineRule="auto"/>
        <w:ind w:left="2065" w:right="0" w:hanging="948"/>
        <w:jc w:val="left"/>
        <w:rPr>
          <w:sz w:val="36"/>
        </w:rPr>
      </w:pPr>
      <w:r>
        <w:rPr>
          <w:sz w:val="36"/>
        </w:rPr>
        <w:t>沈阳华润雪花啤酒有限公司（一期、二期、三期、四期）</w:t>
      </w:r>
    </w:p>
    <w:p>
      <w:pPr>
        <w:pStyle w:val="ListParagraph"/>
        <w:numPr>
          <w:ilvl w:val="0"/>
          <w:numId w:val="45"/>
        </w:numPr>
        <w:tabs>
          <w:tab w:val="left" w:pos="2065"/>
          <w:tab w:val="left" w:pos="2066"/>
        </w:tabs>
        <w:spacing w:before="239" w:after="0" w:line="240" w:lineRule="auto"/>
        <w:ind w:left="2065" w:right="0" w:hanging="948"/>
        <w:jc w:val="left"/>
        <w:rPr>
          <w:sz w:val="36"/>
        </w:rPr>
      </w:pPr>
      <w:r>
        <w:rPr>
          <w:sz w:val="36"/>
        </w:rPr>
        <w:t>湖北安琪酵母股份有限公司</w:t>
      </w:r>
    </w:p>
    <w:p>
      <w:pPr>
        <w:pStyle w:val="ListParagraph"/>
        <w:numPr>
          <w:ilvl w:val="0"/>
          <w:numId w:val="45"/>
        </w:numPr>
        <w:tabs>
          <w:tab w:val="left" w:pos="2065"/>
          <w:tab w:val="left" w:pos="2066"/>
        </w:tabs>
        <w:spacing w:before="239" w:after="0" w:line="240" w:lineRule="auto"/>
        <w:ind w:left="2065" w:right="0" w:hanging="948"/>
        <w:jc w:val="left"/>
        <w:rPr>
          <w:sz w:val="36"/>
        </w:rPr>
      </w:pPr>
      <w:r>
        <w:rPr>
          <w:sz w:val="36"/>
        </w:rPr>
        <w:t>吉粮赛力事达玉米工业有限公司</w:t>
      </w:r>
    </w:p>
    <w:p>
      <w:pPr>
        <w:pStyle w:val="ListParagraph"/>
        <w:numPr>
          <w:ilvl w:val="0"/>
          <w:numId w:val="45"/>
        </w:numPr>
        <w:tabs>
          <w:tab w:val="left" w:pos="2065"/>
          <w:tab w:val="left" w:pos="2066"/>
        </w:tabs>
        <w:spacing w:before="239" w:after="0" w:line="240" w:lineRule="auto"/>
        <w:ind w:left="2065" w:right="0" w:hanging="948"/>
        <w:jc w:val="left"/>
        <w:rPr>
          <w:sz w:val="36"/>
        </w:rPr>
      </w:pPr>
      <w:r>
        <w:rPr>
          <w:sz w:val="36"/>
        </w:rPr>
        <w:t>哈尔滨啤酒厂</w:t>
      </w:r>
    </w:p>
    <w:p>
      <w:pPr>
        <w:pStyle w:val="ListParagraph"/>
        <w:numPr>
          <w:ilvl w:val="0"/>
          <w:numId w:val="45"/>
        </w:numPr>
        <w:tabs>
          <w:tab w:val="left" w:pos="2065"/>
          <w:tab w:val="left" w:pos="2066"/>
        </w:tabs>
        <w:spacing w:before="239" w:after="0" w:line="240" w:lineRule="auto"/>
        <w:ind w:left="2065" w:right="0" w:hanging="948"/>
        <w:jc w:val="left"/>
        <w:rPr>
          <w:sz w:val="36"/>
        </w:rPr>
      </w:pPr>
      <w:r>
        <w:rPr>
          <w:sz w:val="36"/>
        </w:rPr>
        <w:t>吉林哈尔滨啤酒有限公司</w:t>
      </w:r>
    </w:p>
    <w:p>
      <w:pPr>
        <w:pStyle w:val="ListParagraph"/>
        <w:numPr>
          <w:ilvl w:val="0"/>
          <w:numId w:val="45"/>
        </w:numPr>
        <w:tabs>
          <w:tab w:val="left" w:pos="2065"/>
          <w:tab w:val="left" w:pos="2066"/>
        </w:tabs>
        <w:spacing w:before="240" w:after="0" w:line="240" w:lineRule="auto"/>
        <w:ind w:left="2065" w:right="0" w:hanging="948"/>
        <w:jc w:val="left"/>
        <w:rPr>
          <w:sz w:val="36"/>
        </w:rPr>
      </w:pPr>
      <w:r>
        <w:rPr>
          <w:sz w:val="36"/>
        </w:rPr>
        <w:t>佳木斯粤海佳凤啤酒有限公司</w:t>
      </w:r>
    </w:p>
    <w:p>
      <w:pPr>
        <w:pStyle w:val="ListParagraph"/>
        <w:numPr>
          <w:ilvl w:val="0"/>
          <w:numId w:val="45"/>
        </w:numPr>
        <w:tabs>
          <w:tab w:val="left" w:pos="2065"/>
          <w:tab w:val="left" w:pos="2066"/>
        </w:tabs>
        <w:spacing w:before="238" w:after="0" w:line="240" w:lineRule="auto"/>
        <w:ind w:left="2065" w:right="0" w:hanging="948"/>
        <w:jc w:val="left"/>
        <w:rPr>
          <w:sz w:val="36"/>
        </w:rPr>
      </w:pPr>
      <w:r>
        <w:rPr>
          <w:sz w:val="36"/>
        </w:rPr>
        <w:t>哈尔滨啤酒（松江）有限公司</w:t>
      </w:r>
    </w:p>
    <w:p>
      <w:pPr>
        <w:pStyle w:val="ListParagraph"/>
        <w:numPr>
          <w:ilvl w:val="0"/>
          <w:numId w:val="45"/>
        </w:numPr>
        <w:tabs>
          <w:tab w:val="left" w:pos="2065"/>
          <w:tab w:val="left" w:pos="2066"/>
        </w:tabs>
        <w:spacing w:before="239" w:after="0" w:line="240" w:lineRule="auto"/>
        <w:ind w:left="2065" w:right="0" w:hanging="948"/>
        <w:jc w:val="left"/>
        <w:rPr>
          <w:sz w:val="36"/>
        </w:rPr>
      </w:pPr>
      <w:r>
        <w:rPr>
          <w:sz w:val="36"/>
        </w:rPr>
        <w:t>大庆晓雪啤酒有限公司</w:t>
      </w:r>
    </w:p>
    <w:p>
      <w:pPr>
        <w:pStyle w:val="ListParagraph"/>
        <w:numPr>
          <w:ilvl w:val="0"/>
          <w:numId w:val="45"/>
        </w:numPr>
        <w:tabs>
          <w:tab w:val="left" w:pos="2065"/>
          <w:tab w:val="left" w:pos="2066"/>
        </w:tabs>
        <w:spacing w:before="239" w:after="0" w:line="240" w:lineRule="auto"/>
        <w:ind w:left="2065" w:right="0" w:hanging="948"/>
        <w:jc w:val="left"/>
        <w:rPr>
          <w:sz w:val="36"/>
        </w:rPr>
      </w:pPr>
      <w:r>
        <w:rPr>
          <w:sz w:val="36"/>
        </w:rPr>
        <w:t>湖南岳阳纸业集团有限公司(370t/d APMP)</w:t>
      </w:r>
    </w:p>
    <w:p>
      <w:pPr>
        <w:pStyle w:val="ListParagraph"/>
        <w:numPr>
          <w:ilvl w:val="0"/>
          <w:numId w:val="45"/>
        </w:numPr>
        <w:tabs>
          <w:tab w:val="left" w:pos="2065"/>
          <w:tab w:val="left" w:pos="2066"/>
        </w:tabs>
        <w:spacing w:before="239" w:after="0" w:line="240" w:lineRule="auto"/>
        <w:ind w:left="2065" w:right="0" w:hanging="948"/>
        <w:jc w:val="left"/>
        <w:rPr>
          <w:sz w:val="36"/>
        </w:rPr>
      </w:pPr>
      <w:r>
        <w:rPr>
          <w:sz w:val="36"/>
        </w:rPr>
        <w:t>宜兴协联生化有限公司</w:t>
      </w:r>
    </w:p>
    <w:p>
      <w:pPr>
        <w:pStyle w:val="ListParagraph"/>
        <w:numPr>
          <w:ilvl w:val="0"/>
          <w:numId w:val="45"/>
        </w:numPr>
        <w:tabs>
          <w:tab w:val="left" w:pos="2065"/>
          <w:tab w:val="left" w:pos="2066"/>
        </w:tabs>
        <w:spacing w:before="239" w:after="0" w:line="240" w:lineRule="auto"/>
        <w:ind w:left="2065" w:right="0" w:hanging="937"/>
        <w:jc w:val="left"/>
        <w:rPr>
          <w:sz w:val="36"/>
        </w:rPr>
      </w:pPr>
      <w:r>
        <w:rPr>
          <w:sz w:val="36"/>
        </w:rPr>
        <w:t>山东泉林纸业有限责任公司(150t/d APMP)</w:t>
      </w:r>
    </w:p>
    <w:p>
      <w:pPr>
        <w:pStyle w:val="ListParagraph"/>
        <w:numPr>
          <w:ilvl w:val="0"/>
          <w:numId w:val="45"/>
        </w:numPr>
        <w:tabs>
          <w:tab w:val="left" w:pos="2065"/>
          <w:tab w:val="left" w:pos="2066"/>
        </w:tabs>
        <w:spacing w:before="238" w:after="0" w:line="240" w:lineRule="auto"/>
        <w:ind w:left="2065" w:right="0" w:hanging="948"/>
        <w:jc w:val="left"/>
        <w:rPr>
          <w:sz w:val="36"/>
        </w:rPr>
      </w:pPr>
      <w:r>
        <w:rPr>
          <w:sz w:val="36"/>
        </w:rPr>
        <w:t>南京英特布鲁啤酒有限公司</w:t>
      </w:r>
    </w:p>
    <w:p>
      <w:pPr>
        <w:pStyle w:val="ListParagraph"/>
        <w:numPr>
          <w:ilvl w:val="0"/>
          <w:numId w:val="45"/>
        </w:numPr>
        <w:tabs>
          <w:tab w:val="left" w:pos="2065"/>
          <w:tab w:val="left" w:pos="2066"/>
        </w:tabs>
        <w:spacing w:before="240" w:after="0" w:line="240" w:lineRule="auto"/>
        <w:ind w:left="2065" w:right="0" w:hanging="948"/>
        <w:jc w:val="left"/>
        <w:rPr>
          <w:sz w:val="36"/>
        </w:rPr>
      </w:pPr>
      <w:r>
        <w:rPr>
          <w:sz w:val="36"/>
        </w:rPr>
        <w:t>上海正隆纸业有限公司</w:t>
      </w:r>
    </w:p>
    <w:p>
      <w:pPr>
        <w:pStyle w:val="ListParagraph"/>
        <w:numPr>
          <w:ilvl w:val="0"/>
          <w:numId w:val="45"/>
        </w:numPr>
        <w:tabs>
          <w:tab w:val="left" w:pos="2065"/>
          <w:tab w:val="left" w:pos="2066"/>
          <w:tab w:val="left" w:pos="7286"/>
        </w:tabs>
        <w:spacing w:before="239" w:after="0" w:line="240" w:lineRule="auto"/>
        <w:ind w:left="2065" w:right="0" w:hanging="948"/>
        <w:jc w:val="left"/>
        <w:rPr>
          <w:sz w:val="36"/>
        </w:rPr>
      </w:pPr>
      <w:r>
        <w:rPr>
          <w:sz w:val="36"/>
        </w:rPr>
        <w:t>山东晨鸣纸业有限公司(180t/d</w:t>
        <w:tab/>
        <w:t>APMP)</w:t>
      </w:r>
    </w:p>
    <w:p>
      <w:pPr>
        <w:pStyle w:val="ListParagraph"/>
        <w:numPr>
          <w:ilvl w:val="0"/>
          <w:numId w:val="45"/>
        </w:numPr>
        <w:tabs>
          <w:tab w:val="left" w:pos="2065"/>
          <w:tab w:val="left" w:pos="2066"/>
        </w:tabs>
        <w:spacing w:before="238" w:after="0" w:line="240" w:lineRule="auto"/>
        <w:ind w:left="2065" w:right="0" w:hanging="948"/>
        <w:jc w:val="left"/>
        <w:rPr>
          <w:sz w:val="36"/>
        </w:rPr>
      </w:pPr>
      <w:r>
        <w:rPr>
          <w:sz w:val="36"/>
        </w:rPr>
        <w:t>山东临清银河纸业有限公司</w:t>
      </w:r>
    </w:p>
    <w:p>
      <w:pPr>
        <w:spacing w:after="0" w:line="240" w:lineRule="auto"/>
        <w:jc w:val="left"/>
        <w:rPr>
          <w:sz w:val="36"/>
        </w:rPr>
        <w:sectPr>
          <w:pgSz w:w="17870" w:h="25260"/>
          <w:pgMar w:top="1720" w:right="940" w:bottom="280" w:left="1420" w:header="708" w:footer="708"/>
          <w:pgNumType w:start="7"/>
          <w:cols w:space="708"/>
        </w:sectPr>
      </w:pPr>
    </w:p>
    <w:p>
      <w:pPr>
        <w:pStyle w:val="ListParagraph"/>
        <w:numPr>
          <w:ilvl w:val="0"/>
          <w:numId w:val="45"/>
        </w:numPr>
        <w:tabs>
          <w:tab w:val="left" w:pos="2065"/>
          <w:tab w:val="left" w:pos="2066"/>
        </w:tabs>
        <w:spacing w:before="82" w:after="0" w:line="240" w:lineRule="auto"/>
        <w:ind w:left="2065" w:right="0" w:hanging="948"/>
        <w:jc w:val="left"/>
        <w:rPr>
          <w:sz w:val="36"/>
        </w:rPr>
      </w:pPr>
      <w:r>
        <w:rPr>
          <w:sz w:val="36"/>
        </w:rPr>
        <w:t>江西晨鸣纸业有限公司( 550t/d TMP)</w:t>
      </w:r>
    </w:p>
    <w:p>
      <w:pPr>
        <w:pStyle w:val="ListParagraph"/>
        <w:numPr>
          <w:ilvl w:val="0"/>
          <w:numId w:val="45"/>
        </w:numPr>
        <w:tabs>
          <w:tab w:val="left" w:pos="2065"/>
          <w:tab w:val="left" w:pos="2066"/>
        </w:tabs>
        <w:spacing w:before="239" w:after="0" w:line="240" w:lineRule="auto"/>
        <w:ind w:left="2065" w:right="0" w:hanging="948"/>
        <w:jc w:val="left"/>
        <w:rPr>
          <w:sz w:val="36"/>
        </w:rPr>
      </w:pPr>
      <w:r>
        <w:rPr>
          <w:sz w:val="36"/>
        </w:rPr>
        <w:t>山东博汇纸业有限公司（600t/d CTMP）</w:t>
      </w:r>
    </w:p>
    <w:p>
      <w:pPr>
        <w:pStyle w:val="BodyText"/>
        <w:rPr>
          <w:sz w:val="20"/>
        </w:rPr>
      </w:pPr>
    </w:p>
    <w:p>
      <w:pPr>
        <w:pStyle w:val="BodyText"/>
        <w:spacing w:before="226" w:line="364" w:lineRule="auto"/>
        <w:ind w:left="308" w:right="792" w:firstLine="670"/>
        <w:jc w:val="both"/>
      </w:pPr>
      <w:r>
        <w:t>更值得一提的是，帕克公司的专利产品国产化进程在今年也获得重大进展，以上签约的工程中，有多项工程所用的专利产品：BIOPAQ IC 内循环厌氧反应器、沼气稳压柜和火炬均可在国内生产。</w:t>
      </w:r>
    </w:p>
    <w:p>
      <w:pPr>
        <w:pStyle w:val="BodyText"/>
        <w:spacing w:before="244" w:line="364" w:lineRule="auto"/>
        <w:ind w:left="308" w:right="842" w:firstLine="670"/>
      </w:pPr>
      <w:r>
        <w:t>伴随产品国产化的深入，经过国内许多项工程的锻炼，帕克公司在中国的服务和工程设计建设管理能力也大大加强。</w:t>
      </w:r>
    </w:p>
    <w:p>
      <w:pPr>
        <w:pStyle w:val="BodyText"/>
        <w:spacing w:before="244" w:line="364" w:lineRule="auto"/>
        <w:ind w:left="308" w:right="840" w:firstLine="670"/>
      </w:pPr>
      <w:r>
        <w:rPr>
          <w:spacing w:val="-3"/>
        </w:rPr>
        <w:t xml:space="preserve">我们深信，通过帕克上海和帕克荷兰总部的共同努力，我们有能力将 </w:t>
      </w:r>
      <w:r>
        <w:t>XXXX</w:t>
      </w:r>
      <w:r>
        <w:rPr>
          <w:spacing w:val="-60"/>
        </w:rPr>
        <w:t xml:space="preserve"> 的 </w:t>
      </w:r>
      <w:r>
        <w:t>APMP</w:t>
      </w:r>
      <w:r>
        <w:rPr>
          <w:spacing w:val="-36"/>
        </w:rPr>
        <w:t xml:space="preserve"> 的废</w:t>
      </w:r>
      <w:r>
        <w:t>水处理项目建设成为全国造纸行业的典范工程。</w:t>
      </w:r>
    </w:p>
    <w:p>
      <w:pPr>
        <w:spacing w:after="0" w:line="364" w:lineRule="auto"/>
        <w:sectPr>
          <w:pgSz w:w="17870" w:h="25260"/>
          <w:pgMar w:top="1760" w:right="940" w:bottom="280" w:left="1420" w:header="708" w:footer="708"/>
          <w:pgNumType w:start="8"/>
          <w:cols w:space="708"/>
        </w:sectPr>
      </w:pPr>
    </w:p>
    <w:p>
      <w:pPr>
        <w:pStyle w:val="BodyText"/>
        <w:ind w:left="200"/>
        <w:rPr>
          <w:sz w:val="20"/>
        </w:rPr>
      </w:pPr>
      <w:r>
        <w:rPr>
          <w:sz w:val="20"/>
        </w:rPr>
        <w:pict>
          <v:group id="_x0000_i1052" style="width:743pt;height:44.05pt;mso-position-horizontal-relative:char;mso-position-vertical-relative:line" coordorigin="0,0" coordsize="14860,881">
            <v:shape id="_x0000_s1053" type="#_x0000_t75" style="width:14860;height:860;position:absolute;top:20" stroked="f">
              <v:imagedata r:id="rId11" o:title=""/>
            </v:shape>
            <v:shape id="_x0000_s1054" type="#_x0000_t202" style="width:560;height:540;left:108;position:absolute" filled="f" stroked="f">
              <v:textbox inset="0,0,0,0">
                <w:txbxContent>
                  <w:p>
                    <w:pPr>
                      <w:spacing w:before="0" w:line="540" w:lineRule="exact"/>
                      <w:ind w:left="0" w:right="0" w:firstLine="0"/>
                      <w:jc w:val="left"/>
                      <w:rPr>
                        <w:b/>
                        <w:sz w:val="54"/>
                      </w:rPr>
                    </w:pPr>
                    <w:r>
                      <w:rPr>
                        <w:b/>
                        <w:sz w:val="54"/>
                      </w:rPr>
                      <w:t>2.</w:t>
                    </w:r>
                  </w:p>
                </w:txbxContent>
              </v:textbox>
            </v:shape>
            <v:shape id="_x0000_s1055" type="#_x0000_t202" style="width:2180;height:540;left:1383;position:absolute" filled="f" stroked="f">
              <v:textbox inset="0,0,0,0">
                <w:txbxContent>
                  <w:p>
                    <w:pPr>
                      <w:spacing w:before="0" w:line="540" w:lineRule="exact"/>
                      <w:ind w:left="0" w:right="0" w:firstLine="0"/>
                      <w:jc w:val="left"/>
                      <w:rPr>
                        <w:b/>
                        <w:sz w:val="54"/>
                      </w:rPr>
                    </w:pPr>
                    <w:r>
                      <w:rPr>
                        <w:b/>
                        <w:sz w:val="54"/>
                      </w:rPr>
                      <w:t>设计论据</w:t>
                    </w:r>
                  </w:p>
                </w:txbxContent>
              </v:textbox>
            </v:shape>
            <w10:wrap type="none"/>
          </v:group>
        </w:pict>
      </w:r>
    </w:p>
    <w:p>
      <w:pPr>
        <w:pStyle w:val="BodyText"/>
        <w:rPr>
          <w:sz w:val="20"/>
        </w:rPr>
      </w:pPr>
    </w:p>
    <w:p>
      <w:pPr>
        <w:pStyle w:val="BodyText"/>
        <w:rPr>
          <w:sz w:val="20"/>
        </w:rPr>
      </w:pPr>
    </w:p>
    <w:p>
      <w:pPr>
        <w:pStyle w:val="BodyText"/>
        <w:spacing w:before="178" w:line="364" w:lineRule="auto"/>
        <w:ind w:left="308" w:right="842" w:firstLine="670"/>
      </w:pPr>
      <w:r>
        <w:t>设计一个全套的污水处理厂可能有几种不同的工艺，同样的工艺又可能有不同的方案。本章在比较几种可能的工艺和技术的基础上选定了处理方案，并对所选方案的优点作了介绍。</w:t>
      </w:r>
    </w:p>
    <w:p>
      <w:pPr>
        <w:pStyle w:val="BodyText"/>
        <w:spacing w:before="5"/>
        <w:rPr>
          <w:sz w:val="34"/>
        </w:rPr>
      </w:pPr>
    </w:p>
    <w:p>
      <w:pPr>
        <w:pStyle w:val="Heading1"/>
        <w:numPr>
          <w:ilvl w:val="1"/>
          <w:numId w:val="44"/>
        </w:numPr>
        <w:tabs>
          <w:tab w:val="left" w:pos="1159"/>
        </w:tabs>
        <w:spacing w:before="0" w:after="0" w:line="240" w:lineRule="auto"/>
        <w:ind w:left="1158" w:right="0" w:hanging="851"/>
        <w:jc w:val="left"/>
      </w:pPr>
      <w:r>
        <w:t>生物处理方案</w:t>
      </w:r>
    </w:p>
    <w:p>
      <w:pPr>
        <w:pStyle w:val="BodyText"/>
        <w:spacing w:before="12"/>
        <w:rPr>
          <w:b/>
          <w:sz w:val="51"/>
        </w:rPr>
      </w:pPr>
    </w:p>
    <w:p>
      <w:pPr>
        <w:pStyle w:val="BodyText"/>
        <w:spacing w:line="364" w:lineRule="auto"/>
        <w:ind w:left="308" w:right="842" w:firstLine="670"/>
      </w:pPr>
      <w:r>
        <w:t>本章先对全好氧工艺和厌氧＋好氧的工艺进行了的比较，之后比较了各种不同的厌氧工艺和好氧工艺以便为该项目选择一个合适的工艺路线。</w:t>
      </w:r>
    </w:p>
    <w:p>
      <w:pPr>
        <w:pStyle w:val="Heading2"/>
        <w:numPr>
          <w:ilvl w:val="2"/>
          <w:numId w:val="44"/>
        </w:numPr>
        <w:tabs>
          <w:tab w:val="left" w:pos="1583"/>
        </w:tabs>
        <w:spacing w:before="314" w:after="0" w:line="240" w:lineRule="auto"/>
        <w:ind w:left="1583" w:right="0" w:hanging="1279"/>
        <w:jc w:val="left"/>
      </w:pPr>
      <w:r>
        <w:t>工艺对比</w:t>
      </w:r>
    </w:p>
    <w:p>
      <w:pPr>
        <w:pStyle w:val="BodyText"/>
        <w:spacing w:before="7"/>
        <w:rPr>
          <w:b/>
          <w:sz w:val="30"/>
        </w:rPr>
      </w:pPr>
    </w:p>
    <w:p>
      <w:pPr>
        <w:pStyle w:val="BodyText"/>
        <w:ind w:left="985"/>
      </w:pPr>
      <w:r>
        <w:t>我们将综合考虑以下方面来评估各方案和设备的适用性：</w:t>
      </w:r>
    </w:p>
    <w:p>
      <w:pPr>
        <w:pStyle w:val="BodyText"/>
        <w:spacing w:before="9"/>
        <w:rPr>
          <w:sz w:val="25"/>
        </w:rPr>
      </w:pPr>
    </w:p>
    <w:p>
      <w:pPr>
        <w:pStyle w:val="ListParagraph"/>
        <w:numPr>
          <w:ilvl w:val="3"/>
          <w:numId w:val="44"/>
        </w:numPr>
        <w:tabs>
          <w:tab w:val="left" w:pos="985"/>
          <w:tab w:val="left" w:pos="986"/>
          <w:tab w:val="left" w:pos="3548"/>
        </w:tabs>
        <w:spacing w:before="0" w:after="0" w:line="240" w:lineRule="auto"/>
        <w:ind w:left="985" w:right="0" w:hanging="541"/>
        <w:jc w:val="left"/>
        <w:rPr>
          <w:sz w:val="36"/>
        </w:rPr>
      </w:pPr>
      <w:r>
        <w:rPr>
          <w:sz w:val="36"/>
        </w:rPr>
        <w:t>占地：</w:t>
        <w:tab/>
        <w:t>待处理水量大，业主的场地有限，污水处理厂尽量少占地。</w:t>
      </w:r>
    </w:p>
    <w:p>
      <w:pPr>
        <w:pStyle w:val="ListParagraph"/>
        <w:numPr>
          <w:ilvl w:val="3"/>
          <w:numId w:val="44"/>
        </w:numPr>
        <w:tabs>
          <w:tab w:val="left" w:pos="985"/>
          <w:tab w:val="left" w:pos="986"/>
          <w:tab w:val="left" w:pos="3548"/>
        </w:tabs>
        <w:spacing w:before="329" w:after="0" w:line="240" w:lineRule="auto"/>
        <w:ind w:left="985" w:right="0" w:hanging="541"/>
        <w:jc w:val="left"/>
        <w:rPr>
          <w:sz w:val="36"/>
        </w:rPr>
      </w:pPr>
      <w:r>
        <w:rPr>
          <w:sz w:val="36"/>
        </w:rPr>
        <w:t>抗冲击负荷：</w:t>
        <w:tab/>
        <w:t>抗冲击负荷体现了工艺的可靠性。</w:t>
      </w:r>
    </w:p>
    <w:p>
      <w:pPr>
        <w:pStyle w:val="ListParagraph"/>
        <w:numPr>
          <w:ilvl w:val="3"/>
          <w:numId w:val="44"/>
        </w:numPr>
        <w:tabs>
          <w:tab w:val="left" w:pos="985"/>
          <w:tab w:val="left" w:pos="986"/>
        </w:tabs>
        <w:spacing w:before="329" w:after="0" w:line="240" w:lineRule="auto"/>
        <w:ind w:left="985" w:right="0" w:hanging="541"/>
        <w:jc w:val="left"/>
        <w:rPr>
          <w:sz w:val="36"/>
        </w:rPr>
      </w:pPr>
      <w:r>
        <w:rPr>
          <w:sz w:val="36"/>
        </w:rPr>
        <w:t>最终出水质量：要求的出水水质标准很高。</w:t>
      </w:r>
    </w:p>
    <w:p>
      <w:pPr>
        <w:pStyle w:val="ListParagraph"/>
        <w:numPr>
          <w:ilvl w:val="3"/>
          <w:numId w:val="44"/>
        </w:numPr>
        <w:tabs>
          <w:tab w:val="left" w:pos="985"/>
          <w:tab w:val="left" w:pos="986"/>
          <w:tab w:val="left" w:pos="3548"/>
        </w:tabs>
        <w:spacing w:before="329" w:after="0" w:line="240" w:lineRule="auto"/>
        <w:ind w:left="985" w:right="0" w:hanging="541"/>
        <w:jc w:val="left"/>
        <w:rPr>
          <w:sz w:val="36"/>
        </w:rPr>
      </w:pPr>
      <w:r>
        <w:rPr>
          <w:sz w:val="36"/>
        </w:rPr>
        <w:t>维护保养：</w:t>
        <w:tab/>
        <w:t>简便节省的维护保养应是追求的目标。</w:t>
      </w:r>
    </w:p>
    <w:p>
      <w:pPr>
        <w:pStyle w:val="ListParagraph"/>
        <w:numPr>
          <w:ilvl w:val="3"/>
          <w:numId w:val="44"/>
        </w:numPr>
        <w:tabs>
          <w:tab w:val="left" w:pos="985"/>
          <w:tab w:val="left" w:pos="986"/>
        </w:tabs>
        <w:spacing w:before="329" w:after="0" w:line="240" w:lineRule="auto"/>
        <w:ind w:left="985" w:right="0" w:hanging="541"/>
        <w:jc w:val="left"/>
        <w:rPr>
          <w:sz w:val="36"/>
        </w:rPr>
      </w:pPr>
      <w:r>
        <w:rPr>
          <w:sz w:val="36"/>
        </w:rPr>
        <w:t>有价值的副产品：如果产生有价值的副产品，将带来经济效益。</w:t>
      </w:r>
    </w:p>
    <w:p>
      <w:pPr>
        <w:pStyle w:val="BodyText"/>
        <w:spacing w:before="11"/>
        <w:rPr>
          <w:sz w:val="17"/>
        </w:rPr>
      </w:pPr>
    </w:p>
    <w:p>
      <w:pPr>
        <w:spacing w:after="0"/>
        <w:rPr>
          <w:sz w:val="17"/>
        </w:rPr>
        <w:sectPr>
          <w:pgSz w:w="17870" w:h="25260"/>
          <w:pgMar w:top="2300" w:right="940" w:bottom="280" w:left="1420" w:header="708" w:footer="708"/>
          <w:pgNumType w:start="9"/>
          <w:cols w:space="708"/>
        </w:sectPr>
      </w:pPr>
    </w:p>
    <w:p>
      <w:pPr>
        <w:pStyle w:val="ListParagraph"/>
        <w:numPr>
          <w:ilvl w:val="3"/>
          <w:numId w:val="44"/>
        </w:numPr>
        <w:tabs>
          <w:tab w:val="left" w:pos="985"/>
          <w:tab w:val="left" w:pos="986"/>
        </w:tabs>
        <w:spacing w:before="100" w:after="0" w:line="240" w:lineRule="auto"/>
        <w:ind w:left="985" w:right="0" w:hanging="541"/>
        <w:jc w:val="left"/>
        <w:rPr>
          <w:sz w:val="36"/>
        </w:rPr>
      </w:pPr>
      <w:r>
        <w:rPr>
          <w:sz w:val="36"/>
        </w:rPr>
        <w:t>污泥处理：</w:t>
      </w:r>
    </w:p>
    <w:p>
      <w:pPr>
        <w:pStyle w:val="ListParagraph"/>
        <w:numPr>
          <w:ilvl w:val="3"/>
          <w:numId w:val="44"/>
        </w:numPr>
        <w:tabs>
          <w:tab w:val="left" w:pos="985"/>
          <w:tab w:val="left" w:pos="986"/>
        </w:tabs>
        <w:spacing w:before="330" w:after="0" w:line="240" w:lineRule="auto"/>
        <w:ind w:left="985" w:right="0" w:hanging="541"/>
        <w:jc w:val="left"/>
        <w:rPr>
          <w:sz w:val="36"/>
        </w:rPr>
      </w:pPr>
      <w:r>
        <w:rPr>
          <w:sz w:val="36"/>
        </w:rPr>
        <w:t>运行成本：</w:t>
      </w:r>
    </w:p>
    <w:p>
      <w:pPr>
        <w:pStyle w:val="BodyText"/>
        <w:spacing w:before="102" w:line="412" w:lineRule="auto"/>
        <w:ind w:left="445" w:right="1152"/>
      </w:pPr>
      <w:r>
        <w:br w:type="column"/>
      </w:r>
      <w:r>
        <w:t>污泥是处理后产生的另外一种污染物质，这种负面影响应加以避免。运行成本关系工厂长久的经济效益，节省能源及营养盐的工艺是</w:t>
      </w:r>
    </w:p>
    <w:p>
      <w:pPr>
        <w:pStyle w:val="BodyText"/>
        <w:spacing w:line="460" w:lineRule="exact"/>
        <w:ind w:left="445"/>
      </w:pPr>
      <w:r>
        <w:t>可取的。</w:t>
      </w:r>
    </w:p>
    <w:p>
      <w:pPr>
        <w:spacing w:after="0" w:line="460" w:lineRule="exact"/>
        <w:sectPr>
          <w:type w:val="continuous"/>
          <w:pgSz w:w="17870" w:h="25260"/>
          <w:pgMar w:top="1720" w:right="940" w:bottom="280" w:left="1420" w:header="708" w:footer="708"/>
          <w:pgNumType w:start="10"/>
          <w:cols w:num="2" w:space="708" w:equalWidth="0">
            <w:col w:w="2826" w:space="277"/>
            <w:col w:w="12407" w:space="0"/>
          </w:cols>
        </w:sectPr>
      </w:pPr>
    </w:p>
    <w:p>
      <w:pPr>
        <w:pStyle w:val="BodyText"/>
        <w:rPr>
          <w:sz w:val="20"/>
        </w:rPr>
      </w:pPr>
    </w:p>
    <w:p>
      <w:pPr>
        <w:pStyle w:val="BodyText"/>
        <w:spacing w:before="11"/>
        <w:rPr>
          <w:sz w:val="19"/>
        </w:rPr>
      </w:pPr>
    </w:p>
    <w:p>
      <w:pPr>
        <w:pStyle w:val="Heading2"/>
        <w:numPr>
          <w:ilvl w:val="2"/>
          <w:numId w:val="44"/>
        </w:numPr>
        <w:tabs>
          <w:tab w:val="left" w:pos="1583"/>
        </w:tabs>
        <w:spacing w:before="42" w:after="0" w:line="240" w:lineRule="auto"/>
        <w:ind w:left="1583" w:right="0" w:hanging="1279"/>
        <w:jc w:val="left"/>
      </w:pPr>
      <w:r>
        <w:t>处理工艺的选择</w:t>
      </w:r>
    </w:p>
    <w:p>
      <w:pPr>
        <w:pStyle w:val="BodyText"/>
        <w:spacing w:before="11"/>
        <w:rPr>
          <w:b/>
          <w:sz w:val="53"/>
        </w:rPr>
      </w:pPr>
    </w:p>
    <w:p>
      <w:pPr>
        <w:pStyle w:val="BodyText"/>
        <w:ind w:left="985"/>
      </w:pPr>
      <w:r>
        <w:t>按照以上列明的原则，我们对比了全好氧工艺和厌氧加好氧工艺，并总结在下表中。</w:t>
      </w:r>
    </w:p>
    <w:p>
      <w:pPr>
        <w:pStyle w:val="BodyText"/>
      </w:pPr>
    </w:p>
    <w:p>
      <w:pPr>
        <w:pStyle w:val="BodyText"/>
      </w:pPr>
    </w:p>
    <w:p>
      <w:pPr>
        <w:pStyle w:val="BodyText"/>
      </w:pPr>
    </w:p>
    <w:p>
      <w:pPr>
        <w:pStyle w:val="BodyText"/>
      </w:pPr>
    </w:p>
    <w:p>
      <w:pPr>
        <w:pStyle w:val="BodyText"/>
      </w:pPr>
    </w:p>
    <w:p>
      <w:pPr>
        <w:pStyle w:val="BodyText"/>
        <w:spacing w:before="239"/>
        <w:ind w:left="1165"/>
      </w:pPr>
      <w:r>
        <w:t>工艺比较表</w:t>
      </w:r>
    </w:p>
    <w:p>
      <w:pPr>
        <w:spacing w:after="0"/>
        <w:sectPr>
          <w:type w:val="continuous"/>
          <w:pgSz w:w="17870" w:h="25260"/>
          <w:pgMar w:top="1720" w:right="940" w:bottom="280" w:left="1420" w:header="708" w:footer="708"/>
          <w:pgNumType w:start="11"/>
          <w:cols w:space="708"/>
        </w:sectPr>
      </w:pPr>
    </w:p>
    <w:p>
      <w:pPr>
        <w:pStyle w:val="BodyText"/>
        <w:spacing w:before="5"/>
        <w:rPr>
          <w:sz w:val="28"/>
        </w:rPr>
      </w:pPr>
    </w:p>
    <w:tbl>
      <w:tblPr>
        <w:tblStyle w:val="TableNormal2"/>
        <w:tblW w:w="0" w:type="auto"/>
        <w:jc w:val="left"/>
        <w:tblInd w:w="11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28"/>
        <w:gridCol w:w="4125"/>
        <w:gridCol w:w="4587"/>
      </w:tblGrid>
      <w:tr>
        <w:tblPrEx>
          <w:tblW w:w="0" w:type="auto"/>
          <w:jc w:val="left"/>
          <w:tblInd w:w="11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87"/>
          <w:jc w:val="left"/>
        </w:trPr>
        <w:tc>
          <w:tcPr>
            <w:tcW w:w="2428" w:type="dxa"/>
          </w:tcPr>
          <w:p>
            <w:pPr>
              <w:pStyle w:val="TableParagraph"/>
              <w:spacing w:line="341" w:lineRule="exact"/>
              <w:ind w:left="557"/>
              <w:rPr>
                <w:b/>
                <w:sz w:val="30"/>
              </w:rPr>
            </w:pPr>
            <w:r>
              <w:rPr>
                <w:b/>
                <w:sz w:val="30"/>
              </w:rPr>
              <w:t>评估项目</w:t>
            </w:r>
          </w:p>
        </w:tc>
        <w:tc>
          <w:tcPr>
            <w:tcW w:w="4125" w:type="dxa"/>
          </w:tcPr>
          <w:p>
            <w:pPr>
              <w:pStyle w:val="TableParagraph"/>
              <w:spacing w:line="341" w:lineRule="exact"/>
              <w:ind w:left="1554"/>
              <w:rPr>
                <w:b/>
                <w:sz w:val="30"/>
              </w:rPr>
            </w:pPr>
            <w:r>
              <w:rPr>
                <w:b/>
                <w:sz w:val="30"/>
              </w:rPr>
              <w:t>全好氧工艺</w:t>
            </w:r>
          </w:p>
        </w:tc>
        <w:tc>
          <w:tcPr>
            <w:tcW w:w="4587" w:type="dxa"/>
          </w:tcPr>
          <w:p>
            <w:pPr>
              <w:pStyle w:val="TableParagraph"/>
              <w:spacing w:line="341" w:lineRule="exact"/>
              <w:ind w:left="2185"/>
              <w:rPr>
                <w:b/>
                <w:sz w:val="30"/>
              </w:rPr>
            </w:pPr>
            <w:r>
              <w:rPr>
                <w:b/>
                <w:sz w:val="30"/>
              </w:rPr>
              <w:t>厌氧加好氧工艺</w:t>
            </w:r>
          </w:p>
        </w:tc>
      </w:tr>
      <w:tr>
        <w:tblPrEx>
          <w:tblW w:w="0" w:type="auto"/>
          <w:jc w:val="left"/>
          <w:tblInd w:w="1105" w:type="dxa"/>
          <w:tblLayout w:type="fixed"/>
          <w:tblCellMar>
            <w:top w:w="0" w:type="dxa"/>
            <w:left w:w="0" w:type="dxa"/>
            <w:bottom w:w="0" w:type="dxa"/>
            <w:right w:w="0" w:type="dxa"/>
          </w:tblCellMar>
          <w:tblLook w:val="01E0"/>
        </w:tblPrEx>
        <w:trPr>
          <w:trHeight w:val="664"/>
          <w:jc w:val="left"/>
        </w:trPr>
        <w:tc>
          <w:tcPr>
            <w:tcW w:w="2428" w:type="dxa"/>
          </w:tcPr>
          <w:p>
            <w:pPr>
              <w:pStyle w:val="TableParagraph"/>
              <w:spacing w:before="145"/>
              <w:ind w:left="50"/>
              <w:rPr>
                <w:sz w:val="30"/>
              </w:rPr>
            </w:pPr>
            <w:r>
              <w:rPr>
                <w:sz w:val="30"/>
              </w:rPr>
              <w:t>占地面积</w:t>
            </w:r>
          </w:p>
        </w:tc>
        <w:tc>
          <w:tcPr>
            <w:tcW w:w="4125" w:type="dxa"/>
          </w:tcPr>
          <w:p>
            <w:pPr>
              <w:pStyle w:val="TableParagraph"/>
              <w:spacing w:before="145"/>
              <w:ind w:left="184"/>
              <w:rPr>
                <w:sz w:val="30"/>
              </w:rPr>
            </w:pPr>
            <w:r>
              <w:rPr>
                <w:w w:val="99"/>
                <w:sz w:val="30"/>
              </w:rPr>
              <w:t>大</w:t>
            </w:r>
          </w:p>
        </w:tc>
        <w:tc>
          <w:tcPr>
            <w:tcW w:w="4587" w:type="dxa"/>
          </w:tcPr>
          <w:p>
            <w:pPr>
              <w:pStyle w:val="TableParagraph"/>
              <w:spacing w:before="145"/>
              <w:ind w:left="651"/>
              <w:rPr>
                <w:sz w:val="30"/>
              </w:rPr>
            </w:pPr>
            <w:r>
              <w:rPr>
                <w:w w:val="99"/>
                <w:sz w:val="30"/>
              </w:rPr>
              <w:t>小</w:t>
            </w:r>
          </w:p>
        </w:tc>
      </w:tr>
      <w:tr>
        <w:tblPrEx>
          <w:tblW w:w="0" w:type="auto"/>
          <w:jc w:val="left"/>
          <w:tblInd w:w="1105" w:type="dxa"/>
          <w:tblLayout w:type="fixed"/>
          <w:tblCellMar>
            <w:top w:w="0" w:type="dxa"/>
            <w:left w:w="0" w:type="dxa"/>
            <w:bottom w:w="0" w:type="dxa"/>
            <w:right w:w="0" w:type="dxa"/>
          </w:tblCellMar>
          <w:tblLook w:val="01E0"/>
        </w:tblPrEx>
        <w:trPr>
          <w:trHeight w:val="651"/>
          <w:jc w:val="left"/>
        </w:trPr>
        <w:tc>
          <w:tcPr>
            <w:tcW w:w="2428" w:type="dxa"/>
          </w:tcPr>
          <w:p>
            <w:pPr>
              <w:pStyle w:val="TableParagraph"/>
              <w:spacing w:before="133"/>
              <w:ind w:left="50"/>
              <w:rPr>
                <w:sz w:val="30"/>
              </w:rPr>
            </w:pPr>
            <w:r>
              <w:rPr>
                <w:sz w:val="30"/>
              </w:rPr>
              <w:t>抗冲击负荷</w:t>
            </w:r>
          </w:p>
        </w:tc>
        <w:tc>
          <w:tcPr>
            <w:tcW w:w="4125" w:type="dxa"/>
          </w:tcPr>
          <w:p>
            <w:pPr>
              <w:pStyle w:val="TableParagraph"/>
              <w:spacing w:before="133"/>
              <w:ind w:left="184"/>
              <w:rPr>
                <w:sz w:val="30"/>
              </w:rPr>
            </w:pPr>
            <w:r>
              <w:rPr>
                <w:sz w:val="30"/>
              </w:rPr>
              <w:t>差，有活性污泥膨胀危险</w:t>
            </w:r>
          </w:p>
        </w:tc>
        <w:tc>
          <w:tcPr>
            <w:tcW w:w="4587" w:type="dxa"/>
          </w:tcPr>
          <w:p>
            <w:pPr>
              <w:pStyle w:val="TableParagraph"/>
              <w:spacing w:before="133"/>
              <w:ind w:left="651"/>
              <w:rPr>
                <w:sz w:val="30"/>
              </w:rPr>
            </w:pPr>
            <w:r>
              <w:rPr>
                <w:sz w:val="30"/>
              </w:rPr>
              <w:t>适合的厌氧工艺抗冲击负荷强</w:t>
            </w:r>
          </w:p>
        </w:tc>
      </w:tr>
      <w:tr>
        <w:tblPrEx>
          <w:tblW w:w="0" w:type="auto"/>
          <w:jc w:val="left"/>
          <w:tblInd w:w="1105" w:type="dxa"/>
          <w:tblLayout w:type="fixed"/>
          <w:tblCellMar>
            <w:top w:w="0" w:type="dxa"/>
            <w:left w:w="0" w:type="dxa"/>
            <w:bottom w:w="0" w:type="dxa"/>
            <w:right w:w="0" w:type="dxa"/>
          </w:tblCellMar>
          <w:tblLook w:val="01E0"/>
        </w:tblPrEx>
        <w:trPr>
          <w:trHeight w:val="651"/>
          <w:jc w:val="left"/>
        </w:trPr>
        <w:tc>
          <w:tcPr>
            <w:tcW w:w="2428" w:type="dxa"/>
          </w:tcPr>
          <w:p>
            <w:pPr>
              <w:pStyle w:val="TableParagraph"/>
              <w:spacing w:before="133"/>
              <w:ind w:left="50"/>
              <w:rPr>
                <w:sz w:val="15"/>
              </w:rPr>
            </w:pPr>
            <w:r>
              <w:rPr>
                <w:sz w:val="30"/>
              </w:rPr>
              <w:t>最终出水水质</w:t>
            </w:r>
            <w:r>
              <w:rPr>
                <w:position w:val="2"/>
                <w:sz w:val="15"/>
              </w:rPr>
              <w:t>(iii)</w:t>
            </w:r>
          </w:p>
        </w:tc>
        <w:tc>
          <w:tcPr>
            <w:tcW w:w="4125" w:type="dxa"/>
          </w:tcPr>
          <w:p>
            <w:pPr>
              <w:pStyle w:val="TableParagraph"/>
              <w:spacing w:before="133"/>
              <w:ind w:left="184"/>
              <w:rPr>
                <w:sz w:val="30"/>
              </w:rPr>
            </w:pPr>
            <w:r>
              <w:rPr>
                <w:sz w:val="30"/>
              </w:rPr>
              <w:t>不稳定</w:t>
            </w:r>
          </w:p>
        </w:tc>
        <w:tc>
          <w:tcPr>
            <w:tcW w:w="4587" w:type="dxa"/>
          </w:tcPr>
          <w:p>
            <w:pPr>
              <w:pStyle w:val="TableParagraph"/>
              <w:spacing w:before="133"/>
              <w:ind w:left="651"/>
              <w:rPr>
                <w:sz w:val="30"/>
              </w:rPr>
            </w:pPr>
            <w:r>
              <w:rPr>
                <w:sz w:val="30"/>
              </w:rPr>
              <w:t>稳定</w:t>
            </w:r>
          </w:p>
        </w:tc>
      </w:tr>
      <w:tr>
        <w:tblPrEx>
          <w:tblW w:w="0" w:type="auto"/>
          <w:jc w:val="left"/>
          <w:tblInd w:w="1105" w:type="dxa"/>
          <w:tblLayout w:type="fixed"/>
          <w:tblCellMar>
            <w:top w:w="0" w:type="dxa"/>
            <w:left w:w="0" w:type="dxa"/>
            <w:bottom w:w="0" w:type="dxa"/>
            <w:right w:w="0" w:type="dxa"/>
          </w:tblCellMar>
          <w:tblLook w:val="01E0"/>
        </w:tblPrEx>
        <w:trPr>
          <w:trHeight w:val="651"/>
          <w:jc w:val="left"/>
        </w:trPr>
        <w:tc>
          <w:tcPr>
            <w:tcW w:w="2428" w:type="dxa"/>
          </w:tcPr>
          <w:p>
            <w:pPr>
              <w:pStyle w:val="TableParagraph"/>
              <w:spacing w:before="133"/>
              <w:ind w:left="50"/>
              <w:rPr>
                <w:sz w:val="15"/>
              </w:rPr>
            </w:pPr>
            <w:r>
              <w:rPr>
                <w:sz w:val="30"/>
              </w:rPr>
              <w:t>维修保养成本</w:t>
            </w:r>
            <w:r>
              <w:rPr>
                <w:position w:val="2"/>
                <w:sz w:val="15"/>
              </w:rPr>
              <w:t>(iv)</w:t>
            </w:r>
          </w:p>
        </w:tc>
        <w:tc>
          <w:tcPr>
            <w:tcW w:w="4125" w:type="dxa"/>
          </w:tcPr>
          <w:p>
            <w:pPr>
              <w:pStyle w:val="TableParagraph"/>
              <w:spacing w:before="133"/>
              <w:ind w:left="184"/>
              <w:rPr>
                <w:sz w:val="30"/>
              </w:rPr>
            </w:pPr>
            <w:r>
              <w:rPr>
                <w:w w:val="99"/>
                <w:sz w:val="30"/>
              </w:rPr>
              <w:t>高</w:t>
            </w:r>
          </w:p>
        </w:tc>
        <w:tc>
          <w:tcPr>
            <w:tcW w:w="4587" w:type="dxa"/>
          </w:tcPr>
          <w:p>
            <w:pPr>
              <w:pStyle w:val="TableParagraph"/>
              <w:spacing w:before="133"/>
              <w:ind w:left="651"/>
              <w:rPr>
                <w:sz w:val="30"/>
              </w:rPr>
            </w:pPr>
            <w:r>
              <w:rPr>
                <w:w w:val="99"/>
                <w:sz w:val="30"/>
              </w:rPr>
              <w:t>低</w:t>
            </w:r>
          </w:p>
        </w:tc>
      </w:tr>
      <w:tr>
        <w:tblPrEx>
          <w:tblW w:w="0" w:type="auto"/>
          <w:jc w:val="left"/>
          <w:tblInd w:w="1105" w:type="dxa"/>
          <w:tblLayout w:type="fixed"/>
          <w:tblCellMar>
            <w:top w:w="0" w:type="dxa"/>
            <w:left w:w="0" w:type="dxa"/>
            <w:bottom w:w="0" w:type="dxa"/>
            <w:right w:w="0" w:type="dxa"/>
          </w:tblCellMar>
          <w:tblLook w:val="01E0"/>
        </w:tblPrEx>
        <w:trPr>
          <w:trHeight w:val="651"/>
          <w:jc w:val="left"/>
        </w:trPr>
        <w:tc>
          <w:tcPr>
            <w:tcW w:w="2428" w:type="dxa"/>
          </w:tcPr>
          <w:p>
            <w:pPr>
              <w:pStyle w:val="TableParagraph"/>
              <w:spacing w:before="133"/>
              <w:ind w:left="50"/>
              <w:rPr>
                <w:sz w:val="30"/>
              </w:rPr>
            </w:pPr>
            <w:r>
              <w:rPr>
                <w:sz w:val="30"/>
              </w:rPr>
              <w:t>有价值的副产品</w:t>
            </w:r>
          </w:p>
        </w:tc>
        <w:tc>
          <w:tcPr>
            <w:tcW w:w="4125" w:type="dxa"/>
          </w:tcPr>
          <w:p>
            <w:pPr>
              <w:pStyle w:val="TableParagraph"/>
              <w:spacing w:before="133"/>
              <w:ind w:left="184"/>
              <w:rPr>
                <w:sz w:val="30"/>
              </w:rPr>
            </w:pPr>
            <w:r>
              <w:rPr>
                <w:w w:val="99"/>
                <w:sz w:val="30"/>
              </w:rPr>
              <w:t>无</w:t>
            </w:r>
          </w:p>
        </w:tc>
        <w:tc>
          <w:tcPr>
            <w:tcW w:w="4587" w:type="dxa"/>
          </w:tcPr>
          <w:p>
            <w:pPr>
              <w:pStyle w:val="TableParagraph"/>
              <w:spacing w:before="133"/>
              <w:ind w:left="651"/>
              <w:rPr>
                <w:sz w:val="30"/>
              </w:rPr>
            </w:pPr>
            <w:r>
              <w:rPr>
                <w:sz w:val="30"/>
              </w:rPr>
              <w:t>沼气</w:t>
            </w:r>
          </w:p>
        </w:tc>
      </w:tr>
      <w:tr>
        <w:tblPrEx>
          <w:tblW w:w="0" w:type="auto"/>
          <w:jc w:val="left"/>
          <w:tblInd w:w="1105" w:type="dxa"/>
          <w:tblLayout w:type="fixed"/>
          <w:tblCellMar>
            <w:top w:w="0" w:type="dxa"/>
            <w:left w:w="0" w:type="dxa"/>
            <w:bottom w:w="0" w:type="dxa"/>
            <w:right w:w="0" w:type="dxa"/>
          </w:tblCellMar>
          <w:tblLook w:val="01E0"/>
        </w:tblPrEx>
        <w:trPr>
          <w:trHeight w:val="651"/>
          <w:jc w:val="left"/>
        </w:trPr>
        <w:tc>
          <w:tcPr>
            <w:tcW w:w="2428" w:type="dxa"/>
          </w:tcPr>
          <w:p>
            <w:pPr>
              <w:pStyle w:val="TableParagraph"/>
              <w:spacing w:before="133"/>
              <w:ind w:left="50"/>
              <w:rPr>
                <w:sz w:val="15"/>
              </w:rPr>
            </w:pPr>
            <w:r>
              <w:rPr>
                <w:sz w:val="30"/>
              </w:rPr>
              <w:t>污泥处理</w:t>
            </w:r>
            <w:r>
              <w:rPr>
                <w:position w:val="2"/>
                <w:sz w:val="15"/>
              </w:rPr>
              <w:t>(v)</w:t>
            </w:r>
          </w:p>
        </w:tc>
        <w:tc>
          <w:tcPr>
            <w:tcW w:w="4125" w:type="dxa"/>
          </w:tcPr>
          <w:p>
            <w:pPr>
              <w:pStyle w:val="TableParagraph"/>
              <w:spacing w:before="133"/>
              <w:ind w:left="184"/>
              <w:rPr>
                <w:sz w:val="30"/>
              </w:rPr>
            </w:pPr>
            <w:r>
              <w:rPr>
                <w:sz w:val="30"/>
              </w:rPr>
              <w:t>大量活性污泥</w:t>
            </w:r>
          </w:p>
        </w:tc>
        <w:tc>
          <w:tcPr>
            <w:tcW w:w="4587" w:type="dxa"/>
          </w:tcPr>
          <w:p>
            <w:pPr>
              <w:pStyle w:val="TableParagraph"/>
              <w:spacing w:before="133"/>
              <w:ind w:left="651"/>
              <w:rPr>
                <w:sz w:val="30"/>
              </w:rPr>
            </w:pPr>
            <w:r>
              <w:rPr>
                <w:sz w:val="30"/>
              </w:rPr>
              <w:t>少量活性污泥</w:t>
            </w:r>
          </w:p>
        </w:tc>
      </w:tr>
      <w:tr>
        <w:tblPrEx>
          <w:tblW w:w="0" w:type="auto"/>
          <w:jc w:val="left"/>
          <w:tblInd w:w="1105" w:type="dxa"/>
          <w:tblLayout w:type="fixed"/>
          <w:tblCellMar>
            <w:top w:w="0" w:type="dxa"/>
            <w:left w:w="0" w:type="dxa"/>
            <w:bottom w:w="0" w:type="dxa"/>
            <w:right w:w="0" w:type="dxa"/>
          </w:tblCellMar>
          <w:tblLook w:val="01E0"/>
        </w:tblPrEx>
        <w:trPr>
          <w:trHeight w:val="475"/>
          <w:jc w:val="left"/>
        </w:trPr>
        <w:tc>
          <w:tcPr>
            <w:tcW w:w="2428" w:type="dxa"/>
          </w:tcPr>
          <w:p>
            <w:pPr>
              <w:pStyle w:val="TableParagraph"/>
              <w:spacing w:before="129" w:line="326" w:lineRule="exact"/>
              <w:ind w:left="50"/>
              <w:rPr>
                <w:sz w:val="15"/>
              </w:rPr>
            </w:pPr>
            <w:r>
              <w:rPr>
                <w:position w:val="-1"/>
                <w:sz w:val="30"/>
              </w:rPr>
              <w:t>运行成本</w:t>
            </w:r>
            <w:r>
              <w:rPr>
                <w:sz w:val="15"/>
              </w:rPr>
              <w:t>(vi)</w:t>
            </w:r>
          </w:p>
        </w:tc>
        <w:tc>
          <w:tcPr>
            <w:tcW w:w="4125" w:type="dxa"/>
          </w:tcPr>
          <w:p>
            <w:pPr>
              <w:pStyle w:val="TableParagraph"/>
              <w:spacing w:before="133" w:line="322" w:lineRule="exact"/>
              <w:ind w:left="184"/>
              <w:rPr>
                <w:sz w:val="30"/>
              </w:rPr>
            </w:pPr>
            <w:r>
              <w:rPr>
                <w:w w:val="99"/>
                <w:sz w:val="30"/>
              </w:rPr>
              <w:t>高</w:t>
            </w:r>
          </w:p>
        </w:tc>
        <w:tc>
          <w:tcPr>
            <w:tcW w:w="4587" w:type="dxa"/>
          </w:tcPr>
          <w:p>
            <w:pPr>
              <w:pStyle w:val="TableParagraph"/>
              <w:spacing w:before="133" w:line="322" w:lineRule="exact"/>
              <w:ind w:left="651"/>
              <w:rPr>
                <w:sz w:val="30"/>
              </w:rPr>
            </w:pPr>
            <w:r>
              <w:rPr>
                <w:w w:val="99"/>
                <w:sz w:val="30"/>
              </w:rPr>
              <w:t>低</w:t>
            </w:r>
          </w:p>
        </w:tc>
      </w:tr>
    </w:tbl>
    <w:p>
      <w:pPr>
        <w:pStyle w:val="BodyText"/>
        <w:spacing w:before="9"/>
        <w:rPr>
          <w:sz w:val="24"/>
        </w:rPr>
      </w:pPr>
    </w:p>
    <w:p>
      <w:pPr>
        <w:pStyle w:val="BodyText"/>
        <w:spacing w:before="49"/>
        <w:ind w:left="308"/>
      </w:pPr>
      <w:r>
        <w:drawing>
          <wp:anchor distT="0" distB="0" distL="0" distR="0" simplePos="0" relativeHeight="251665408" behindDoc="1" locked="0" layoutInCell="1" allowOverlap="1">
            <wp:simplePos x="0" y="0"/>
            <wp:positionH relativeFrom="page">
              <wp:posOffset>1511300</wp:posOffset>
            </wp:positionH>
            <wp:positionV relativeFrom="paragraph">
              <wp:posOffset>-3529076</wp:posOffset>
            </wp:positionV>
            <wp:extent cx="8069675" cy="3420427"/>
            <wp:effectExtent l="0" t="0" r="0" b="0"/>
            <wp:wrapNone/>
            <wp:docPr id="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png"/>
                    <pic:cNvPicPr/>
                  </pic:nvPicPr>
                  <pic:blipFill>
                    <a:blip xmlns:r="http://schemas.openxmlformats.org/officeDocument/2006/relationships" r:embed="rId12" cstate="print"/>
                    <a:stretch>
                      <a:fillRect/>
                    </a:stretch>
                  </pic:blipFill>
                  <pic:spPr>
                    <a:xfrm>
                      <a:off x="0" y="0"/>
                      <a:ext cx="8069675" cy="3420427"/>
                    </a:xfrm>
                    <a:prstGeom prst="rect">
                      <a:avLst/>
                    </a:prstGeom>
                  </pic:spPr>
                </pic:pic>
              </a:graphicData>
            </a:graphic>
          </wp:anchor>
        </w:drawing>
      </w:r>
      <w:r>
        <w:drawing>
          <wp:anchor distT="0" distB="0" distL="0" distR="0" simplePos="0" relativeHeight="251666432" behindDoc="1" locked="0" layoutInCell="1" allowOverlap="1">
            <wp:simplePos x="0" y="0"/>
            <wp:positionH relativeFrom="page">
              <wp:posOffset>1092200</wp:posOffset>
            </wp:positionH>
            <wp:positionV relativeFrom="paragraph">
              <wp:posOffset>293624</wp:posOffset>
            </wp:positionV>
            <wp:extent cx="711200" cy="38100"/>
            <wp:effectExtent l="0" t="0" r="0" b="0"/>
            <wp:wrapNone/>
            <wp:docPr id="1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0.png"/>
                    <pic:cNvPicPr/>
                  </pic:nvPicPr>
                  <pic:blipFill>
                    <a:blip xmlns:r="http://schemas.openxmlformats.org/officeDocument/2006/relationships" r:embed="rId13" cstate="print"/>
                    <a:stretch>
                      <a:fillRect/>
                    </a:stretch>
                  </pic:blipFill>
                  <pic:spPr>
                    <a:xfrm>
                      <a:off x="0" y="0"/>
                      <a:ext cx="711200" cy="38100"/>
                    </a:xfrm>
                    <a:prstGeom prst="rect">
                      <a:avLst/>
                    </a:prstGeom>
                  </pic:spPr>
                </pic:pic>
              </a:graphicData>
            </a:graphic>
          </wp:anchor>
        </w:drawing>
      </w:r>
      <w:r>
        <w:t>备注：</w:t>
      </w:r>
    </w:p>
    <w:p>
      <w:pPr>
        <w:pStyle w:val="BodyText"/>
        <w:spacing w:before="8"/>
        <w:rPr>
          <w:sz w:val="37"/>
        </w:rPr>
      </w:pPr>
    </w:p>
    <w:p>
      <w:pPr>
        <w:pStyle w:val="ListParagraph"/>
        <w:numPr>
          <w:ilvl w:val="0"/>
          <w:numId w:val="43"/>
        </w:numPr>
        <w:tabs>
          <w:tab w:val="left" w:pos="985"/>
          <w:tab w:val="left" w:pos="986"/>
        </w:tabs>
        <w:spacing w:before="0" w:after="0" w:line="364" w:lineRule="auto"/>
        <w:ind w:left="985" w:right="653" w:hanging="678"/>
        <w:jc w:val="left"/>
        <w:rPr>
          <w:sz w:val="36"/>
        </w:rPr>
      </w:pPr>
      <w:r>
        <w:rPr>
          <w:sz w:val="36"/>
        </w:rPr>
        <w:t>全好氧工艺处理大污染负荷的造纸废水，污泥膨胀是普遍遇到的问题，因为容易生物降</w:t>
      </w:r>
      <w:r>
        <w:rPr>
          <w:spacing w:val="-45"/>
          <w:sz w:val="36"/>
        </w:rPr>
        <w:t xml:space="preserve">解 </w:t>
      </w:r>
      <w:r>
        <w:rPr>
          <w:sz w:val="36"/>
        </w:rPr>
        <w:t>COD</w:t>
      </w:r>
      <w:r>
        <w:rPr>
          <w:spacing w:val="-11"/>
          <w:sz w:val="36"/>
        </w:rPr>
        <w:t xml:space="preserve"> 会刺激丝状菌的生长因而活性污泥在二沉池的沉降性能会受到严重影响，相应最</w:t>
      </w:r>
      <w:r>
        <w:rPr>
          <w:spacing w:val="-27"/>
          <w:sz w:val="36"/>
        </w:rPr>
        <w:t xml:space="preserve">终出水的 </w:t>
      </w:r>
      <w:r>
        <w:rPr>
          <w:sz w:val="36"/>
        </w:rPr>
        <w:t>SS</w:t>
      </w:r>
      <w:r>
        <w:rPr>
          <w:spacing w:val="-60"/>
          <w:sz w:val="36"/>
        </w:rPr>
        <w:t xml:space="preserve"> 和 </w:t>
      </w:r>
      <w:r>
        <w:rPr>
          <w:sz w:val="36"/>
        </w:rPr>
        <w:t>COD</w:t>
      </w:r>
      <w:r>
        <w:rPr>
          <w:spacing w:val="-11"/>
          <w:sz w:val="36"/>
        </w:rPr>
        <w:t xml:space="preserve"> 会上升。但是厌氧条件能强烈抑制丝状菌的生长，因而提高后续好氧</w:t>
      </w:r>
      <w:r>
        <w:rPr>
          <w:spacing w:val="-3"/>
          <w:sz w:val="36"/>
        </w:rPr>
        <w:t xml:space="preserve">污泥在二沉池的沉降性能。因此，厌氧和好氧相结合的工艺能使出水 </w:t>
      </w:r>
      <w:r>
        <w:rPr>
          <w:sz w:val="36"/>
        </w:rPr>
        <w:t>SS</w:t>
      </w:r>
      <w:r>
        <w:rPr>
          <w:spacing w:val="-60"/>
          <w:sz w:val="36"/>
        </w:rPr>
        <w:t xml:space="preserve"> 和 </w:t>
      </w:r>
      <w:r>
        <w:rPr>
          <w:sz w:val="36"/>
        </w:rPr>
        <w:t>COD</w:t>
      </w:r>
      <w:r>
        <w:rPr>
          <w:spacing w:val="-22"/>
          <w:sz w:val="36"/>
        </w:rPr>
        <w:t xml:space="preserve"> 含量显著</w:t>
      </w:r>
      <w:r>
        <w:rPr>
          <w:sz w:val="36"/>
        </w:rPr>
        <w:t>低于纯好氧方式。</w:t>
      </w:r>
    </w:p>
    <w:p>
      <w:pPr>
        <w:pStyle w:val="ListParagraph"/>
        <w:numPr>
          <w:ilvl w:val="0"/>
          <w:numId w:val="43"/>
        </w:numPr>
        <w:tabs>
          <w:tab w:val="left" w:pos="986"/>
        </w:tabs>
        <w:spacing w:before="247" w:after="0" w:line="364" w:lineRule="auto"/>
        <w:ind w:left="985" w:right="835" w:hanging="678"/>
        <w:jc w:val="both"/>
        <w:rPr>
          <w:sz w:val="36"/>
        </w:rPr>
      </w:pPr>
      <w:r>
        <w:rPr>
          <w:spacing w:val="-1"/>
          <w:sz w:val="36"/>
        </w:rPr>
        <w:t>全好氧工艺设备庞大，动力消耗高，这意味着高维修和运行费用。而不论从理论上还是运行实践都表明，厌氧系统的维修和运行费用都可大大降低，除了运行泵的能耗外，厌氧处理不需要额外的大量曝气装置和电耗。此外厌氧处理还可以产生有价值的沼气。。</w:t>
      </w:r>
    </w:p>
    <w:p>
      <w:pPr>
        <w:pStyle w:val="ListParagraph"/>
        <w:numPr>
          <w:ilvl w:val="0"/>
          <w:numId w:val="43"/>
        </w:numPr>
        <w:tabs>
          <w:tab w:val="left" w:pos="986"/>
        </w:tabs>
        <w:spacing w:before="243" w:after="0" w:line="364" w:lineRule="auto"/>
        <w:ind w:left="985" w:right="835" w:hanging="678"/>
        <w:jc w:val="both"/>
        <w:rPr>
          <w:sz w:val="36"/>
        </w:rPr>
      </w:pPr>
      <w:r>
        <w:rPr>
          <w:spacing w:val="-1"/>
          <w:sz w:val="36"/>
        </w:rPr>
        <w:t>好氧反应会产生大量的活性污泥，不仅大大增加污泥脱水机负荷，而且在混合污泥中， 如此高的活性污泥比例使最终泥饼的干度受限制。而以颗粒污泥为特征的高效厌氧反应</w:t>
      </w:r>
      <w:r>
        <w:rPr>
          <w:spacing w:val="-10"/>
          <w:sz w:val="36"/>
        </w:rPr>
        <w:t xml:space="preserve">器，在去除大部分 </w:t>
      </w:r>
      <w:r>
        <w:rPr>
          <w:sz w:val="36"/>
        </w:rPr>
        <w:t>COD</w:t>
      </w:r>
      <w:r>
        <w:rPr>
          <w:spacing w:val="-10"/>
          <w:sz w:val="36"/>
        </w:rPr>
        <w:t xml:space="preserve"> 的同时，仅产生有价值的厌氧颗粒污泥。</w:t>
      </w:r>
    </w:p>
    <w:p>
      <w:pPr>
        <w:pStyle w:val="ListParagraph"/>
        <w:numPr>
          <w:ilvl w:val="0"/>
          <w:numId w:val="43"/>
        </w:numPr>
        <w:tabs>
          <w:tab w:val="left" w:pos="986"/>
        </w:tabs>
        <w:spacing w:before="245" w:after="0" w:line="240" w:lineRule="auto"/>
        <w:ind w:left="985" w:right="0" w:hanging="678"/>
        <w:jc w:val="both"/>
        <w:rPr>
          <w:sz w:val="36"/>
        </w:rPr>
      </w:pPr>
      <w:r>
        <w:rPr>
          <w:sz w:val="36"/>
        </w:rPr>
        <w:t>厌氧反应所需要的营养盐大大低于好氧反应。</w:t>
      </w:r>
    </w:p>
    <w:p>
      <w:pPr>
        <w:pStyle w:val="BodyText"/>
        <w:spacing w:before="8"/>
        <w:rPr>
          <w:sz w:val="37"/>
        </w:rPr>
      </w:pPr>
    </w:p>
    <w:p>
      <w:pPr>
        <w:pStyle w:val="BodyText"/>
        <w:spacing w:line="364" w:lineRule="auto"/>
        <w:ind w:left="985" w:right="835" w:firstLine="176"/>
      </w:pPr>
      <w:r>
        <w:t>因此，稳定的出水质量，无需曝气耗电和产生沼气、低营养盐投加、无剩余好氧污泥等，这四大要素使厌氧反应所得运行成本大大降低。因此，由厌氧预处理配合好氧处理以达到出水要求的方案为最佳方案。</w:t>
      </w:r>
    </w:p>
    <w:p>
      <w:pPr>
        <w:spacing w:after="0" w:line="364" w:lineRule="auto"/>
        <w:sectPr>
          <w:pgSz w:w="17870" w:h="25260"/>
          <w:pgMar w:top="1820" w:right="940" w:bottom="280" w:left="1420" w:header="708" w:footer="708"/>
          <w:pgNumType w:start="12"/>
          <w:cols w:space="708"/>
        </w:sectPr>
      </w:pPr>
    </w:p>
    <w:p>
      <w:pPr>
        <w:pStyle w:val="Heading1"/>
        <w:numPr>
          <w:ilvl w:val="1"/>
          <w:numId w:val="44"/>
        </w:numPr>
        <w:tabs>
          <w:tab w:val="left" w:pos="1582"/>
          <w:tab w:val="left" w:pos="1583"/>
        </w:tabs>
        <w:spacing w:before="21" w:after="0" w:line="240" w:lineRule="auto"/>
        <w:ind w:left="1583" w:right="0" w:hanging="1279"/>
        <w:jc w:val="left"/>
      </w:pPr>
      <w:r>
        <w:t>厌氧系统工艺要求</w:t>
      </w:r>
    </w:p>
    <w:p>
      <w:pPr>
        <w:pStyle w:val="BodyText"/>
        <w:spacing w:before="291" w:line="364" w:lineRule="auto"/>
        <w:ind w:left="308" w:right="612" w:firstLine="670"/>
      </w:pPr>
      <w:r>
        <w:rPr>
          <w:spacing w:val="-3"/>
        </w:rPr>
        <w:t xml:space="preserve">相对于高浓度的污水处理系统而言，厌氧系统将去除污水处理系统的绝大部分的 </w:t>
      </w:r>
      <w:r>
        <w:t>COD</w:t>
      </w:r>
      <w:r>
        <w:rPr>
          <w:spacing w:val="-45"/>
        </w:rPr>
        <w:t xml:space="preserve"> 和BOD，是一个非常重要和关键的系统，一个高浓污水系统是否设计或运行成功将在很大程度上</w:t>
      </w:r>
      <w:r>
        <w:t>取决于厌氧系统的工艺和技术是否适合。</w:t>
      </w:r>
    </w:p>
    <w:p>
      <w:pPr>
        <w:pStyle w:val="BodyText"/>
        <w:spacing w:before="183" w:line="364" w:lineRule="auto"/>
        <w:ind w:left="308" w:right="842" w:firstLine="670"/>
      </w:pPr>
      <w:r>
        <w:t>设计一个污水处理厂可能有不同的厌氧处理方案。本章在比较几种可能的工艺和技术的基础上选定了处理方案，并对所选方案的优点作了介绍。</w:t>
      </w:r>
    </w:p>
    <w:p>
      <w:pPr>
        <w:pStyle w:val="BodyText"/>
        <w:spacing w:before="182"/>
        <w:ind w:left="985"/>
      </w:pPr>
      <w:r>
        <w:t>我们将综合考虑以下方面来评估厌氧的工艺和设备的设计要求：</w:t>
      </w:r>
    </w:p>
    <w:p>
      <w:pPr>
        <w:pStyle w:val="BodyText"/>
        <w:spacing w:before="12"/>
        <w:rPr>
          <w:sz w:val="24"/>
        </w:rPr>
      </w:pPr>
    </w:p>
    <w:p>
      <w:pPr>
        <w:pStyle w:val="ListParagraph"/>
        <w:numPr>
          <w:ilvl w:val="0"/>
          <w:numId w:val="42"/>
        </w:numPr>
        <w:tabs>
          <w:tab w:val="left" w:pos="2122"/>
          <w:tab w:val="left" w:pos="2123"/>
          <w:tab w:val="left" w:pos="4557"/>
        </w:tabs>
        <w:spacing w:before="100" w:after="0" w:line="240" w:lineRule="auto"/>
        <w:ind w:left="2123" w:right="0" w:hanging="1145"/>
        <w:jc w:val="left"/>
        <w:rPr>
          <w:sz w:val="36"/>
        </w:rPr>
      </w:pPr>
      <w:r>
        <w:rPr>
          <w:sz w:val="36"/>
        </w:rPr>
        <w:t>运行的可靠性</w:t>
        <w:tab/>
        <w:t>；</w:t>
      </w:r>
    </w:p>
    <w:p>
      <w:pPr>
        <w:pStyle w:val="BodyText"/>
        <w:spacing w:before="8"/>
        <w:rPr>
          <w:sz w:val="32"/>
        </w:rPr>
      </w:pPr>
    </w:p>
    <w:p>
      <w:pPr>
        <w:pStyle w:val="ListParagraph"/>
        <w:numPr>
          <w:ilvl w:val="0"/>
          <w:numId w:val="42"/>
        </w:numPr>
        <w:tabs>
          <w:tab w:val="left" w:pos="2122"/>
          <w:tab w:val="left" w:pos="2123"/>
          <w:tab w:val="left" w:pos="4557"/>
        </w:tabs>
        <w:spacing w:before="1" w:after="0" w:line="240" w:lineRule="auto"/>
        <w:ind w:left="2123" w:right="0" w:hanging="1145"/>
        <w:jc w:val="left"/>
        <w:rPr>
          <w:sz w:val="36"/>
        </w:rPr>
      </w:pPr>
      <w:r>
        <w:rPr>
          <w:sz w:val="36"/>
        </w:rPr>
        <w:t>工艺的成熟性</w:t>
        <w:tab/>
        <w:t>；</w:t>
      </w:r>
    </w:p>
    <w:p>
      <w:pPr>
        <w:pStyle w:val="BodyText"/>
        <w:spacing w:before="8"/>
        <w:rPr>
          <w:sz w:val="32"/>
        </w:rPr>
      </w:pPr>
    </w:p>
    <w:p>
      <w:pPr>
        <w:pStyle w:val="ListParagraph"/>
        <w:numPr>
          <w:ilvl w:val="0"/>
          <w:numId w:val="42"/>
        </w:numPr>
        <w:tabs>
          <w:tab w:val="left" w:pos="2122"/>
          <w:tab w:val="left" w:pos="2123"/>
        </w:tabs>
        <w:spacing w:before="0" w:after="0" w:line="240" w:lineRule="auto"/>
        <w:ind w:left="2123" w:right="0" w:hanging="1145"/>
        <w:jc w:val="left"/>
        <w:rPr>
          <w:sz w:val="36"/>
        </w:rPr>
      </w:pPr>
      <w:r>
        <w:rPr>
          <w:sz w:val="36"/>
        </w:rPr>
        <w:t>系统的先进性、高质量性；</w:t>
      </w:r>
    </w:p>
    <w:p>
      <w:pPr>
        <w:pStyle w:val="BodyText"/>
        <w:spacing w:before="9"/>
        <w:rPr>
          <w:sz w:val="31"/>
        </w:rPr>
      </w:pPr>
    </w:p>
    <w:p>
      <w:pPr>
        <w:pStyle w:val="ListParagraph"/>
        <w:numPr>
          <w:ilvl w:val="1"/>
          <w:numId w:val="42"/>
        </w:numPr>
        <w:tabs>
          <w:tab w:val="left" w:pos="3548"/>
          <w:tab w:val="left" w:pos="3549"/>
        </w:tabs>
        <w:spacing w:before="1" w:after="0" w:line="240" w:lineRule="auto"/>
        <w:ind w:left="3548" w:right="0" w:hanging="541"/>
        <w:jc w:val="left"/>
        <w:rPr>
          <w:sz w:val="36"/>
        </w:rPr>
      </w:pPr>
      <w:r>
        <w:rPr>
          <w:sz w:val="36"/>
        </w:rPr>
        <w:t>占地、容积负荷</w:t>
      </w:r>
    </w:p>
    <w:p>
      <w:pPr>
        <w:pStyle w:val="BodyText"/>
        <w:spacing w:before="10"/>
        <w:rPr>
          <w:sz w:val="32"/>
        </w:rPr>
      </w:pPr>
    </w:p>
    <w:p>
      <w:pPr>
        <w:pStyle w:val="ListParagraph"/>
        <w:numPr>
          <w:ilvl w:val="1"/>
          <w:numId w:val="42"/>
        </w:numPr>
        <w:tabs>
          <w:tab w:val="left" w:pos="3548"/>
          <w:tab w:val="left" w:pos="3549"/>
        </w:tabs>
        <w:spacing w:before="0" w:after="0" w:line="240" w:lineRule="auto"/>
        <w:ind w:left="3548" w:right="0" w:hanging="541"/>
        <w:jc w:val="left"/>
        <w:rPr>
          <w:sz w:val="36"/>
        </w:rPr>
      </w:pPr>
      <w:r>
        <w:rPr>
          <w:sz w:val="36"/>
        </w:rPr>
        <w:t>抗冲击负荷</w:t>
      </w:r>
    </w:p>
    <w:p>
      <w:pPr>
        <w:pStyle w:val="BodyText"/>
        <w:spacing w:before="11"/>
        <w:rPr>
          <w:sz w:val="32"/>
        </w:rPr>
      </w:pPr>
    </w:p>
    <w:p>
      <w:pPr>
        <w:pStyle w:val="ListParagraph"/>
        <w:numPr>
          <w:ilvl w:val="1"/>
          <w:numId w:val="42"/>
        </w:numPr>
        <w:tabs>
          <w:tab w:val="left" w:pos="3548"/>
          <w:tab w:val="left" w:pos="3549"/>
        </w:tabs>
        <w:spacing w:before="1" w:after="0" w:line="240" w:lineRule="auto"/>
        <w:ind w:left="3548" w:right="0" w:hanging="541"/>
        <w:jc w:val="left"/>
        <w:rPr>
          <w:sz w:val="36"/>
        </w:rPr>
      </w:pPr>
      <w:r>
        <w:rPr>
          <w:spacing w:val="-45"/>
          <w:sz w:val="36"/>
        </w:rPr>
        <w:t xml:space="preserve">抗 </w:t>
      </w:r>
      <w:r>
        <w:rPr>
          <w:sz w:val="36"/>
        </w:rPr>
        <w:t>SS</w:t>
      </w:r>
      <w:r>
        <w:rPr>
          <w:spacing w:val="-23"/>
          <w:sz w:val="36"/>
        </w:rPr>
        <w:t xml:space="preserve"> 的能力</w:t>
      </w:r>
    </w:p>
    <w:p>
      <w:pPr>
        <w:pStyle w:val="BodyText"/>
        <w:spacing w:before="10"/>
        <w:rPr>
          <w:sz w:val="32"/>
        </w:rPr>
      </w:pPr>
    </w:p>
    <w:p>
      <w:pPr>
        <w:pStyle w:val="ListParagraph"/>
        <w:numPr>
          <w:ilvl w:val="1"/>
          <w:numId w:val="42"/>
        </w:numPr>
        <w:tabs>
          <w:tab w:val="left" w:pos="3548"/>
          <w:tab w:val="left" w:pos="3549"/>
        </w:tabs>
        <w:spacing w:before="0" w:after="0" w:line="240" w:lineRule="auto"/>
        <w:ind w:left="3548" w:right="0" w:hanging="541"/>
        <w:jc w:val="left"/>
        <w:rPr>
          <w:sz w:val="36"/>
        </w:rPr>
      </w:pPr>
      <w:r>
        <w:rPr>
          <w:sz w:val="36"/>
        </w:rPr>
        <w:t>系统防腐</w:t>
      </w:r>
    </w:p>
    <w:p>
      <w:pPr>
        <w:pStyle w:val="BodyText"/>
        <w:spacing w:before="11"/>
        <w:rPr>
          <w:sz w:val="32"/>
        </w:rPr>
      </w:pPr>
    </w:p>
    <w:p>
      <w:pPr>
        <w:pStyle w:val="ListParagraph"/>
        <w:numPr>
          <w:ilvl w:val="1"/>
          <w:numId w:val="42"/>
        </w:numPr>
        <w:tabs>
          <w:tab w:val="left" w:pos="3548"/>
          <w:tab w:val="left" w:pos="3549"/>
        </w:tabs>
        <w:spacing w:before="0" w:after="0" w:line="240" w:lineRule="auto"/>
        <w:ind w:left="3548" w:right="0" w:hanging="541"/>
        <w:jc w:val="left"/>
        <w:rPr>
          <w:sz w:val="36"/>
        </w:rPr>
      </w:pPr>
      <w:r>
        <w:rPr>
          <w:sz w:val="36"/>
        </w:rPr>
        <w:t>维护保养</w:t>
      </w:r>
    </w:p>
    <w:p>
      <w:pPr>
        <w:pStyle w:val="BodyText"/>
        <w:rPr>
          <w:sz w:val="26"/>
        </w:rPr>
      </w:pPr>
    </w:p>
    <w:p>
      <w:pPr>
        <w:pStyle w:val="ListParagraph"/>
        <w:numPr>
          <w:ilvl w:val="0"/>
          <w:numId w:val="42"/>
        </w:numPr>
        <w:tabs>
          <w:tab w:val="left" w:pos="2058"/>
          <w:tab w:val="left" w:pos="2059"/>
        </w:tabs>
        <w:spacing w:before="100" w:after="0" w:line="240" w:lineRule="auto"/>
        <w:ind w:left="2058" w:right="0" w:hanging="1081"/>
        <w:jc w:val="left"/>
        <w:rPr>
          <w:sz w:val="36"/>
        </w:rPr>
      </w:pPr>
      <w:r>
        <w:rPr>
          <w:sz w:val="36"/>
        </w:rPr>
        <w:t>系统安全运行性；</w:t>
      </w:r>
    </w:p>
    <w:p>
      <w:pPr>
        <w:pStyle w:val="BodyText"/>
        <w:spacing w:before="11"/>
        <w:rPr>
          <w:sz w:val="24"/>
        </w:rPr>
      </w:pPr>
    </w:p>
    <w:p>
      <w:pPr>
        <w:pStyle w:val="ListParagraph"/>
        <w:numPr>
          <w:ilvl w:val="0"/>
          <w:numId w:val="42"/>
        </w:numPr>
        <w:tabs>
          <w:tab w:val="left" w:pos="2122"/>
          <w:tab w:val="left" w:pos="2123"/>
        </w:tabs>
        <w:spacing w:before="101" w:after="0" w:line="240" w:lineRule="auto"/>
        <w:ind w:left="2123" w:right="0" w:hanging="1145"/>
        <w:jc w:val="left"/>
        <w:rPr>
          <w:sz w:val="36"/>
        </w:rPr>
      </w:pPr>
      <w:r>
        <w:rPr>
          <w:sz w:val="36"/>
        </w:rPr>
        <w:t>系统的适应性</w:t>
      </w:r>
    </w:p>
    <w:p>
      <w:pPr>
        <w:pStyle w:val="BodyText"/>
        <w:spacing w:before="9"/>
        <w:rPr>
          <w:sz w:val="32"/>
        </w:rPr>
      </w:pPr>
    </w:p>
    <w:p>
      <w:pPr>
        <w:pStyle w:val="ListParagraph"/>
        <w:numPr>
          <w:ilvl w:val="0"/>
          <w:numId w:val="42"/>
        </w:numPr>
        <w:tabs>
          <w:tab w:val="left" w:pos="2122"/>
          <w:tab w:val="left" w:pos="2123"/>
        </w:tabs>
        <w:spacing w:before="0" w:after="0" w:line="240" w:lineRule="auto"/>
        <w:ind w:left="2123" w:right="0" w:hanging="1145"/>
        <w:jc w:val="left"/>
        <w:rPr>
          <w:sz w:val="36"/>
        </w:rPr>
      </w:pPr>
      <w:r>
        <w:rPr>
          <w:sz w:val="36"/>
        </w:rPr>
        <w:t>系统的对周边环境的影响</w:t>
      </w:r>
    </w:p>
    <w:p>
      <w:pPr>
        <w:pStyle w:val="BodyText"/>
        <w:spacing w:before="9"/>
        <w:rPr>
          <w:sz w:val="32"/>
        </w:rPr>
      </w:pPr>
    </w:p>
    <w:p>
      <w:pPr>
        <w:pStyle w:val="ListParagraph"/>
        <w:numPr>
          <w:ilvl w:val="0"/>
          <w:numId w:val="42"/>
        </w:numPr>
        <w:tabs>
          <w:tab w:val="left" w:pos="2122"/>
          <w:tab w:val="left" w:pos="2123"/>
        </w:tabs>
        <w:spacing w:before="0" w:after="0" w:line="240" w:lineRule="auto"/>
        <w:ind w:left="2123" w:right="0" w:hanging="1145"/>
        <w:jc w:val="left"/>
        <w:rPr>
          <w:sz w:val="36"/>
        </w:rPr>
      </w:pPr>
      <w:r>
        <w:rPr>
          <w:sz w:val="36"/>
        </w:rPr>
        <w:t>专业化的服务</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21"/>
        </w:rPr>
      </w:pPr>
    </w:p>
    <w:p>
      <w:pPr>
        <w:pStyle w:val="Heading2"/>
        <w:numPr>
          <w:ilvl w:val="2"/>
          <w:numId w:val="44"/>
        </w:numPr>
        <w:tabs>
          <w:tab w:val="left" w:pos="1583"/>
        </w:tabs>
        <w:spacing w:before="42" w:after="0" w:line="240" w:lineRule="auto"/>
        <w:ind w:left="1583" w:right="0" w:hanging="1275"/>
        <w:jc w:val="left"/>
      </w:pPr>
      <w:r>
        <w:t>厌氧反应器的运行必须可靠</w:t>
      </w:r>
    </w:p>
    <w:p>
      <w:pPr>
        <w:pStyle w:val="BodyText"/>
        <w:spacing w:before="302" w:line="364" w:lineRule="auto"/>
        <w:ind w:left="308" w:right="611" w:firstLine="670"/>
      </w:pPr>
      <w:r>
        <w:rPr>
          <w:spacing w:val="1"/>
        </w:rPr>
        <w:t xml:space="preserve">在本标的的污水处理工艺过程中，在进入好氧处理之前，厌氧反应器将去除可溶 </w:t>
      </w:r>
      <w:r>
        <w:t xml:space="preserve">SCOD </w:t>
      </w:r>
      <w:r>
        <w:rPr>
          <w:spacing w:val="-23"/>
        </w:rPr>
        <w:t xml:space="preserve">负荷的 </w:t>
      </w:r>
      <w:r>
        <w:t>70％</w:t>
      </w:r>
      <w:r>
        <w:rPr>
          <w:spacing w:val="-30"/>
        </w:rPr>
        <w:t xml:space="preserve">和总 </w:t>
      </w:r>
      <w:r>
        <w:t>BOD</w:t>
      </w:r>
      <w:r>
        <w:rPr>
          <w:spacing w:val="-37"/>
        </w:rPr>
        <w:t xml:space="preserve"> 负荷的 </w:t>
      </w:r>
      <w:r>
        <w:t>80％</w:t>
      </w:r>
      <w:r>
        <w:rPr>
          <w:spacing w:val="-1"/>
        </w:rPr>
        <w:t>。如果厌氧处理效果无法保证，对于后续好氧处理系统，无</w:t>
      </w:r>
      <w:r>
        <w:t>论在处理负荷和进水浓度上，都将是灾难性的。厌氧反应器运行不可靠，不仅将无法保证最</w:t>
      </w:r>
    </w:p>
    <w:p>
      <w:pPr>
        <w:spacing w:after="0" w:line="364" w:lineRule="auto"/>
        <w:sectPr>
          <w:pgSz w:w="17870" w:h="25260"/>
          <w:pgMar w:top="1720" w:right="940" w:bottom="280" w:left="1420" w:header="708" w:footer="708"/>
          <w:pgNumType w:start="13"/>
          <w:cols w:space="708"/>
        </w:sectPr>
      </w:pPr>
    </w:p>
    <w:p>
      <w:pPr>
        <w:pStyle w:val="BodyText"/>
        <w:spacing w:before="24" w:line="364" w:lineRule="auto"/>
        <w:ind w:left="308" w:right="793"/>
      </w:pPr>
      <w:r>
        <w:rPr>
          <w:spacing w:val="-1"/>
        </w:rPr>
        <w:t>终出水达标，而且有可能破坏整个后续好氧处理系统的生物环境，导致系统工艺紊乱甚至停</w:t>
      </w:r>
      <w:r>
        <w:t>运。</w:t>
      </w:r>
    </w:p>
    <w:p>
      <w:pPr>
        <w:pStyle w:val="BodyText"/>
        <w:spacing w:before="272" w:line="364" w:lineRule="auto"/>
        <w:ind w:left="308" w:right="792" w:firstLine="670"/>
      </w:pPr>
      <w:r>
        <w:t>厌氧反应器运行不可靠，也将破坏厌氧反应器本身的生物环境，导致系统停运和重新启</w:t>
      </w:r>
      <w:r>
        <w:rPr>
          <w:spacing w:val="-1"/>
        </w:rPr>
        <w:t>动，这就是厌氧反应器酸化。也就是说，当厌氧反应器处理效能达不到要求时，反应器内产甲烷菌无法完全将反应底物－挥发性脂肪酸转化为沼气，导致挥发性脂肪酸在厌氧反应器内</w:t>
      </w:r>
      <w:r>
        <w:rPr>
          <w:spacing w:val="-9"/>
        </w:rPr>
        <w:t xml:space="preserve">的累积，从而反应器内 </w:t>
      </w:r>
      <w:r>
        <w:t>pH</w:t>
      </w:r>
      <w:r>
        <w:rPr>
          <w:spacing w:val="-19"/>
        </w:rPr>
        <w:t xml:space="preserve"> 迅速下降，而下降的 </w:t>
      </w:r>
      <w:r>
        <w:t>pH</w:t>
      </w:r>
      <w:r>
        <w:rPr>
          <w:spacing w:val="-11"/>
        </w:rPr>
        <w:t xml:space="preserve"> 环境将更加影响产甲烷菌的生长和工作， </w:t>
      </w:r>
      <w:r>
        <w:t>最终导致反应器停止，运行失败。产酸阶段的抑制，更严重时，甚至丧失产甲烷反应的能 力。</w:t>
      </w:r>
    </w:p>
    <w:p>
      <w:pPr>
        <w:pStyle w:val="BodyText"/>
        <w:rPr>
          <w:sz w:val="20"/>
        </w:rPr>
      </w:pPr>
    </w:p>
    <w:p>
      <w:pPr>
        <w:pStyle w:val="BodyText"/>
        <w:rPr>
          <w:sz w:val="20"/>
        </w:rPr>
      </w:pPr>
    </w:p>
    <w:p>
      <w:pPr>
        <w:pStyle w:val="BodyText"/>
        <w:rPr>
          <w:sz w:val="20"/>
        </w:rPr>
      </w:pPr>
    </w:p>
    <w:p>
      <w:pPr>
        <w:pStyle w:val="BodyText"/>
        <w:spacing w:before="12"/>
        <w:rPr>
          <w:sz w:val="16"/>
        </w:rPr>
      </w:pPr>
      <w:r>
        <w:pict>
          <v:group id="_x0000_s1056" style="width:7in;height:254pt;margin-top:12.8pt;margin-left:182pt;mso-position-horizontal-relative:page;mso-wrap-distance-left:0;mso-wrap-distance-right:0;position:absolute;z-index:-251649024" coordorigin="3640,256" coordsize="10080,5080">
            <v:shape id="_x0000_s1057" type="#_x0000_t75" style="width:10080;height:5080;left:3640;position:absolute;top:256" stroked="f">
              <v:imagedata r:id="rId14" o:title=""/>
            </v:shape>
            <v:shape id="_x0000_s1058" type="#_x0000_t202" style="width:1820;height:360;left:4763;position:absolute;top:616" filled="f" stroked="f">
              <v:textbox inset="0,0,0,0">
                <w:txbxContent>
                  <w:p>
                    <w:pPr>
                      <w:spacing w:before="0" w:line="360" w:lineRule="exact"/>
                      <w:ind w:left="0" w:right="0" w:firstLine="0"/>
                      <w:jc w:val="left"/>
                      <w:rPr>
                        <w:rFonts w:ascii="宋体" w:eastAsia="宋体" w:hint="eastAsia"/>
                        <w:sz w:val="36"/>
                      </w:rPr>
                    </w:pPr>
                    <w:r>
                      <w:rPr>
                        <w:rFonts w:ascii="宋体" w:eastAsia="宋体" w:hint="eastAsia"/>
                        <w:sz w:val="36"/>
                      </w:rPr>
                      <w:t>厌氧反应器</w:t>
                    </w:r>
                  </w:p>
                </w:txbxContent>
              </v:textbox>
            </v:shape>
            <v:shape id="_x0000_s1059" type="#_x0000_t202" style="width:3260;height:360;left:10067;position:absolute;top:616" filled="f" stroked="f">
              <v:textbox inset="0,0,0,0">
                <w:txbxContent>
                  <w:p>
                    <w:pPr>
                      <w:spacing w:before="0" w:line="360" w:lineRule="exact"/>
                      <w:ind w:left="0" w:right="0" w:firstLine="0"/>
                      <w:jc w:val="left"/>
                      <w:rPr>
                        <w:rFonts w:ascii="宋体" w:eastAsia="宋体" w:hint="eastAsia"/>
                        <w:sz w:val="36"/>
                      </w:rPr>
                    </w:pPr>
                    <w:r>
                      <w:rPr>
                        <w:rFonts w:ascii="宋体" w:eastAsia="宋体" w:hint="eastAsia"/>
                        <w:sz w:val="36"/>
                      </w:rPr>
                      <w:t>产甲烷菌未能消化的</w:t>
                    </w:r>
                  </w:p>
                </w:txbxContent>
              </v:textbox>
            </v:shape>
            <v:shape id="_x0000_s1060" type="#_x0000_t202" style="width:2180;height:360;left:4583;position:absolute;top:1318" filled="f" stroked="f">
              <v:textbox inset="0,0,0,0">
                <w:txbxContent>
                  <w:p>
                    <w:pPr>
                      <w:spacing w:before="0" w:line="360" w:lineRule="exact"/>
                      <w:ind w:left="0" w:right="0" w:firstLine="0"/>
                      <w:jc w:val="left"/>
                      <w:rPr>
                        <w:rFonts w:ascii="宋体" w:eastAsia="宋体" w:hint="eastAsia"/>
                        <w:sz w:val="36"/>
                      </w:rPr>
                    </w:pPr>
                    <w:r>
                      <w:rPr>
                        <w:rFonts w:ascii="宋体" w:eastAsia="宋体" w:hint="eastAsia"/>
                        <w:sz w:val="36"/>
                      </w:rPr>
                      <w:t>处理效能下降</w:t>
                    </w:r>
                  </w:p>
                </w:txbxContent>
              </v:textbox>
            </v:shape>
            <v:shape id="_x0000_s1061" type="#_x0000_t202" style="width:2900;height:360;left:10247;position:absolute;top:1318" filled="f" stroked="f">
              <v:textbox inset="0,0,0,0">
                <w:txbxContent>
                  <w:p>
                    <w:pPr>
                      <w:spacing w:before="0" w:line="360" w:lineRule="exact"/>
                      <w:ind w:left="0" w:right="0" w:firstLine="0"/>
                      <w:jc w:val="left"/>
                      <w:rPr>
                        <w:rFonts w:ascii="宋体" w:eastAsia="宋体" w:hint="eastAsia"/>
                        <w:sz w:val="36"/>
                      </w:rPr>
                    </w:pPr>
                    <w:r>
                      <w:rPr>
                        <w:rFonts w:ascii="宋体" w:eastAsia="宋体" w:hint="eastAsia"/>
                        <w:sz w:val="36"/>
                      </w:rPr>
                      <w:t>挥发性脂肪酸积累</w:t>
                    </w:r>
                  </w:p>
                </w:txbxContent>
              </v:textbox>
            </v:shape>
            <v:shape id="_x0000_s1062" type="#_x0000_t202" style="width:2540;height:360;left:7504;position:absolute;top:2614" filled="f" stroked="f">
              <v:textbox inset="0,0,0,0">
                <w:txbxContent>
                  <w:p>
                    <w:pPr>
                      <w:spacing w:before="0" w:line="360" w:lineRule="exact"/>
                      <w:ind w:left="0" w:right="0" w:firstLine="0"/>
                      <w:jc w:val="left"/>
                      <w:rPr>
                        <w:rFonts w:ascii="宋体" w:eastAsia="宋体" w:hint="eastAsia"/>
                        <w:sz w:val="36"/>
                      </w:rPr>
                    </w:pPr>
                    <w:r>
                      <w:rPr>
                        <w:rFonts w:ascii="宋体" w:eastAsia="宋体" w:hint="eastAsia"/>
                        <w:sz w:val="36"/>
                      </w:rPr>
                      <w:t>厌氧反应器酸化</w:t>
                    </w:r>
                  </w:p>
                </w:txbxContent>
              </v:textbox>
            </v:shape>
            <v:shape id="_x0000_s1063" type="#_x0000_t202" style="width:3502;height:1072;left:3924;position:absolute;top:3671" filled="f" stroked="f">
              <v:textbox inset="0,0,0,0">
                <w:txbxContent>
                  <w:p>
                    <w:pPr>
                      <w:spacing w:before="0" w:line="420" w:lineRule="exact"/>
                      <w:ind w:left="-1" w:right="18" w:firstLine="0"/>
                      <w:jc w:val="center"/>
                      <w:rPr>
                        <w:rFonts w:ascii="宋体" w:eastAsia="宋体" w:hint="eastAsia"/>
                        <w:sz w:val="36"/>
                      </w:rPr>
                    </w:pPr>
                    <w:r>
                      <w:rPr>
                        <w:rFonts w:ascii="宋体" w:eastAsia="宋体" w:hint="eastAsia"/>
                        <w:spacing w:val="-26"/>
                        <w:sz w:val="36"/>
                      </w:rPr>
                      <w:t xml:space="preserve">下降的 </w:t>
                    </w:r>
                    <w:r>
                      <w:rPr>
                        <w:rFonts w:ascii="Arial" w:eastAsia="Arial"/>
                        <w:sz w:val="36"/>
                      </w:rPr>
                      <w:t>pH</w:t>
                    </w:r>
                    <w:r>
                      <w:rPr>
                        <w:rFonts w:ascii="Arial" w:eastAsia="Arial"/>
                        <w:spacing w:val="-37"/>
                        <w:sz w:val="36"/>
                      </w:rPr>
                      <w:t xml:space="preserve"> </w:t>
                    </w:r>
                    <w:r>
                      <w:rPr>
                        <w:rFonts w:ascii="宋体" w:eastAsia="宋体" w:hint="eastAsia"/>
                        <w:spacing w:val="-4"/>
                        <w:sz w:val="36"/>
                      </w:rPr>
                      <w:t>环境影响产</w:t>
                    </w:r>
                  </w:p>
                  <w:p>
                    <w:pPr>
                      <w:spacing w:before="240" w:line="411" w:lineRule="exact"/>
                      <w:ind w:left="280" w:right="302" w:firstLine="0"/>
                      <w:jc w:val="center"/>
                      <w:rPr>
                        <w:rFonts w:ascii="宋体" w:eastAsia="宋体" w:hint="eastAsia"/>
                        <w:sz w:val="36"/>
                      </w:rPr>
                    </w:pPr>
                    <w:r>
                      <w:rPr>
                        <w:rFonts w:ascii="宋体" w:eastAsia="宋体" w:hint="eastAsia"/>
                        <w:sz w:val="36"/>
                      </w:rPr>
                      <w:t>甲烷菌生长和工作</w:t>
                    </w:r>
                  </w:p>
                </w:txbxContent>
              </v:textbox>
            </v:shape>
            <v:shape id="_x0000_s1064" type="#_x0000_t202" style="width:3260;height:360;left:9909;position:absolute;top:3681" filled="f" stroked="f">
              <v:textbox inset="0,0,0,0">
                <w:txbxContent>
                  <w:p>
                    <w:pPr>
                      <w:spacing w:before="0" w:line="360" w:lineRule="exact"/>
                      <w:ind w:left="0" w:right="0" w:firstLine="0"/>
                      <w:jc w:val="left"/>
                      <w:rPr>
                        <w:rFonts w:ascii="宋体" w:eastAsia="宋体" w:hint="eastAsia"/>
                        <w:sz w:val="36"/>
                      </w:rPr>
                    </w:pPr>
                    <w:r>
                      <w:rPr>
                        <w:rFonts w:ascii="宋体" w:eastAsia="宋体" w:hint="eastAsia"/>
                        <w:sz w:val="36"/>
                      </w:rPr>
                      <w:t>积累的挥发性脂肪酸</w:t>
                    </w:r>
                  </w:p>
                </w:txbxContent>
              </v:textbox>
            </v:shape>
            <v:shape id="_x0000_s1065" type="#_x0000_t202" style="width:3503;height:398;left:9909;position:absolute;top:4373" filled="f" stroked="f">
              <v:textbox inset="0,0,0,0">
                <w:txbxContent>
                  <w:p>
                    <w:pPr>
                      <w:spacing w:before="0" w:line="397" w:lineRule="exact"/>
                      <w:ind w:left="0" w:right="0" w:firstLine="0"/>
                      <w:jc w:val="left"/>
                      <w:rPr>
                        <w:rFonts w:ascii="宋体" w:eastAsia="宋体" w:hint="eastAsia"/>
                        <w:sz w:val="36"/>
                      </w:rPr>
                    </w:pPr>
                    <w:r>
                      <w:rPr>
                        <w:rFonts w:ascii="宋体" w:eastAsia="宋体" w:hint="eastAsia"/>
                        <w:spacing w:val="-15"/>
                        <w:sz w:val="36"/>
                      </w:rPr>
                      <w:t xml:space="preserve">导致反应器内 </w:t>
                    </w:r>
                    <w:r>
                      <w:rPr>
                        <w:rFonts w:ascii="Arial" w:eastAsia="Arial"/>
                        <w:sz w:val="36"/>
                      </w:rPr>
                      <w:t>pH</w:t>
                    </w:r>
                    <w:r>
                      <w:rPr>
                        <w:rFonts w:ascii="Arial" w:eastAsia="Arial"/>
                        <w:spacing w:val="-36"/>
                        <w:sz w:val="36"/>
                      </w:rPr>
                      <w:t xml:space="preserve"> </w:t>
                    </w:r>
                    <w:r>
                      <w:rPr>
                        <w:rFonts w:ascii="宋体" w:eastAsia="宋体" w:hint="eastAsia"/>
                        <w:sz w:val="36"/>
                      </w:rPr>
                      <w:t>下降</w:t>
                    </w:r>
                  </w:p>
                </w:txbxContent>
              </v:textbox>
            </v:shape>
            <w10:wrap type="topAndBottom"/>
          </v:group>
        </w:pict>
      </w:r>
    </w:p>
    <w:p>
      <w:pPr>
        <w:pStyle w:val="BodyText"/>
        <w:rPr>
          <w:sz w:val="20"/>
        </w:rPr>
      </w:pPr>
    </w:p>
    <w:p>
      <w:pPr>
        <w:pStyle w:val="BodyText"/>
        <w:rPr>
          <w:sz w:val="20"/>
        </w:rPr>
      </w:pPr>
    </w:p>
    <w:p>
      <w:pPr>
        <w:pStyle w:val="BodyText"/>
        <w:spacing w:before="3"/>
        <w:rPr>
          <w:sz w:val="27"/>
        </w:rPr>
      </w:pPr>
    </w:p>
    <w:p>
      <w:pPr>
        <w:pStyle w:val="BodyText"/>
        <w:spacing w:before="50" w:line="364" w:lineRule="auto"/>
        <w:ind w:left="308" w:right="792" w:firstLine="670"/>
      </w:pPr>
      <w:r>
        <w:t>帕克公司的厌氧系统的设计和制造执行高标准的自控要求，这是帕克公司几十年来的项</w:t>
      </w:r>
      <w:r>
        <w:rPr>
          <w:spacing w:val="-4"/>
        </w:rPr>
        <w:t xml:space="preserve">目设计、运行、维护经验的结晶。帕克公司建议采用 </w:t>
      </w:r>
      <w:r>
        <w:t>DCS</w:t>
      </w:r>
      <w:r>
        <w:rPr>
          <w:spacing w:val="-60"/>
        </w:rPr>
        <w:t xml:space="preserve"> 或 </w:t>
      </w:r>
      <w:r>
        <w:t>PLC</w:t>
      </w:r>
      <w:r>
        <w:rPr>
          <w:spacing w:val="-11"/>
        </w:rPr>
        <w:t xml:space="preserve"> 系统，将厌氧的所有关键的</w:t>
      </w:r>
      <w:r>
        <w:t>因素、关键的设施全部都监控，并连锁，这将有利于避免人为事故及系统酸化等故障的发 生。</w:t>
      </w:r>
    </w:p>
    <w:p>
      <w:pPr>
        <w:pStyle w:val="BodyText"/>
        <w:spacing w:before="184" w:line="364" w:lineRule="auto"/>
        <w:ind w:left="308" w:right="792" w:firstLine="670"/>
        <w:jc w:val="both"/>
      </w:pPr>
      <w:r>
        <w:t>制浆造纸废水完全不同于其它的食品淀粉废水，供应商是否有处理此类废水的设计及工</w:t>
      </w:r>
      <w:r>
        <w:rPr>
          <w:spacing w:val="-1"/>
        </w:rPr>
        <w:t>程经验，将对于项目的实施非常重要。因此，厌氧反应器设计和运行必须可靠。帕克公司在</w:t>
      </w:r>
      <w:r>
        <w:rPr>
          <w:spacing w:val="-15"/>
        </w:rPr>
        <w:t xml:space="preserve">全球建设的 </w:t>
      </w:r>
      <w:r>
        <w:t>400</w:t>
      </w:r>
      <w:r>
        <w:rPr>
          <w:spacing w:val="-11"/>
        </w:rPr>
        <w:t xml:space="preserve"> 多项工业规模厌氧处理工程严格遵循这一宗旨，获得了用户的满意和同行的</w:t>
      </w:r>
      <w:r>
        <w:t>尊重，成为全球厌氧处理领域的知名品牌之一。</w:t>
      </w:r>
    </w:p>
    <w:p>
      <w:pPr>
        <w:spacing w:after="0" w:line="364" w:lineRule="auto"/>
        <w:jc w:val="both"/>
        <w:sectPr>
          <w:pgSz w:w="17870" w:h="25260"/>
          <w:pgMar w:top="1820" w:right="940" w:bottom="280" w:left="1420" w:header="708" w:footer="708"/>
          <w:pgNumType w:start="14"/>
          <w:cols w:space="708"/>
        </w:sectPr>
      </w:pPr>
    </w:p>
    <w:p>
      <w:pPr>
        <w:pStyle w:val="Heading2"/>
        <w:numPr>
          <w:ilvl w:val="2"/>
          <w:numId w:val="44"/>
        </w:numPr>
        <w:tabs>
          <w:tab w:val="left" w:pos="2008"/>
        </w:tabs>
        <w:spacing w:before="16" w:after="0" w:line="240" w:lineRule="auto"/>
        <w:ind w:left="2007" w:right="0" w:hanging="1700"/>
        <w:jc w:val="both"/>
      </w:pPr>
      <w:r>
        <w:t>厌氧反应器的工艺必须是成熟的</w:t>
      </w:r>
    </w:p>
    <w:p>
      <w:pPr>
        <w:pStyle w:val="BodyText"/>
        <w:spacing w:before="151" w:line="364" w:lineRule="auto"/>
        <w:ind w:left="308" w:right="610" w:firstLine="670"/>
        <w:jc w:val="both"/>
      </w:pPr>
      <w:r>
        <w:t>相对于好氧处理工艺，厌氧处理是新兴的有机工业废水处理工艺，直到二十世纪七十年代，荷兰瓦格宁根（Wageningen）大学莱廷格（Lettinga）教授发明以颗粒污泥为特征的高</w:t>
      </w:r>
      <w:r>
        <w:rPr>
          <w:spacing w:val="-13"/>
        </w:rPr>
        <w:t xml:space="preserve">效厌氧反应器 </w:t>
      </w:r>
      <w:r>
        <w:t>UASB（上流式厌氧污泥床）技术，厌氧处理有机工艺废水才推入大规模的工业</w:t>
      </w:r>
      <w:r>
        <w:rPr>
          <w:spacing w:val="-3"/>
        </w:rPr>
        <w:t xml:space="preserve">应用。而世界上第一台高负荷的厌氧反应器，是我们帕克荷兰总部，在 </w:t>
      </w:r>
      <w:r>
        <w:t>1983</w:t>
      </w:r>
      <w:r>
        <w:rPr>
          <w:spacing w:val="-15"/>
        </w:rPr>
        <w:t xml:space="preserve"> 年才开始推广至</w:t>
      </w:r>
      <w:r>
        <w:t>制浆造纸行业（</w:t>
      </w:r>
      <w:r>
        <w:rPr>
          <w:spacing w:val="-23"/>
        </w:rPr>
        <w:t xml:space="preserve">荷兰的 </w:t>
      </w:r>
      <w:r>
        <w:t>Ronermond 纸厂）。</w:t>
      </w:r>
    </w:p>
    <w:p>
      <w:pPr>
        <w:pStyle w:val="BodyText"/>
        <w:spacing w:before="184" w:line="364" w:lineRule="auto"/>
        <w:ind w:left="308" w:right="793" w:firstLine="670"/>
        <w:jc w:val="both"/>
      </w:pPr>
      <w:r>
        <w:t>厌氧处理工艺以其处理效能高，占地面积省，运行成本低而受到广大工业用户的欢迎。但是厌氧反应器设计复杂，在工艺控制、防腐蚀、和沼气安全等方面，要求很高，导致真正能掌握和运行厌氧工艺的环保公司远远少于以好氧处理为特征的环保公司。</w:t>
      </w:r>
    </w:p>
    <w:p>
      <w:pPr>
        <w:pStyle w:val="BodyText"/>
        <w:spacing w:before="184" w:line="364" w:lineRule="auto"/>
        <w:ind w:left="308" w:right="754" w:firstLine="670"/>
        <w:jc w:val="both"/>
      </w:pPr>
      <w:r>
        <w:t>在中国，UASB</w:t>
      </w:r>
      <w:r>
        <w:rPr>
          <w:spacing w:val="-12"/>
        </w:rPr>
        <w:t xml:space="preserve"> 厌氧反应器设备国产化列入国家“九五”科技攻关项目中，受到国内业界</w:t>
      </w:r>
      <w:r>
        <w:t>的重视和发展。</w:t>
      </w:r>
    </w:p>
    <w:p>
      <w:pPr>
        <w:pStyle w:val="BodyText"/>
        <w:spacing w:before="182" w:line="364" w:lineRule="auto"/>
        <w:ind w:left="308" w:right="792" w:firstLine="670"/>
        <w:jc w:val="both"/>
      </w:pPr>
      <w:r>
        <w:rPr>
          <w:spacing w:val="-31"/>
        </w:rPr>
        <w:t xml:space="preserve">早在 </w:t>
      </w:r>
      <w:r>
        <w:t>80</w:t>
      </w:r>
      <w:r>
        <w:rPr>
          <w:spacing w:val="-10"/>
        </w:rPr>
        <w:t xml:space="preserve"> 年代初，帕克公司就与莱廷格</w:t>
      </w:r>
      <w:r>
        <w:t>（Lettinga）</w:t>
      </w:r>
      <w:r>
        <w:rPr>
          <w:spacing w:val="-12"/>
        </w:rPr>
        <w:t xml:space="preserve">教授合作致力于 </w:t>
      </w:r>
      <w:r>
        <w:t>USAB</w:t>
      </w:r>
      <w:r>
        <w:rPr>
          <w:spacing w:val="-14"/>
        </w:rPr>
        <w:t xml:space="preserve"> 反应器的工业</w:t>
      </w:r>
      <w:r>
        <w:rPr>
          <w:spacing w:val="-27"/>
        </w:rPr>
        <w:t xml:space="preserve">化应用，其 </w:t>
      </w:r>
      <w:r>
        <w:t>BIOPAQ UASB</w:t>
      </w:r>
      <w:r>
        <w:rPr>
          <w:spacing w:val="-16"/>
        </w:rPr>
        <w:t xml:space="preserve"> 反应器在世界上已应用于近 </w:t>
      </w:r>
      <w:r>
        <w:t>300</w:t>
      </w:r>
      <w:r>
        <w:rPr>
          <w:spacing w:val="-11"/>
        </w:rPr>
        <w:t xml:space="preserve"> 多办个工业项目，是世界上最成熟</w:t>
      </w:r>
      <w:r>
        <w:t>和成功的厌氧反应器。</w:t>
      </w:r>
    </w:p>
    <w:p>
      <w:pPr>
        <w:pStyle w:val="BodyText"/>
        <w:spacing w:before="183" w:line="364" w:lineRule="auto"/>
        <w:ind w:left="308" w:right="700" w:firstLine="670"/>
      </w:pPr>
      <w:r>
        <w:rPr>
          <w:spacing w:val="-12"/>
        </w:rPr>
        <w:t xml:space="preserve">帕克公司虽然在 </w:t>
      </w:r>
      <w:r>
        <w:t>1986</w:t>
      </w:r>
      <w:r>
        <w:rPr>
          <w:spacing w:val="-27"/>
        </w:rPr>
        <w:t xml:space="preserve"> 年首次应用 </w:t>
      </w:r>
      <w:r>
        <w:t>IC</w:t>
      </w:r>
      <w:r>
        <w:rPr>
          <w:spacing w:val="-10"/>
        </w:rPr>
        <w:t xml:space="preserve"> 内循环厌氧反应器，但任何新的技术的推广都是需</w:t>
      </w:r>
      <w:r>
        <w:rPr>
          <w:spacing w:val="-15"/>
        </w:rPr>
        <w:t xml:space="preserve">要一个长期的研究及实践过程，又经过 </w:t>
      </w:r>
      <w:r>
        <w:t>10</w:t>
      </w:r>
      <w:r>
        <w:rPr>
          <w:spacing w:val="-10"/>
        </w:rPr>
        <w:t xml:space="preserve"> 年的改进及进一步的研究，</w:t>
      </w:r>
      <w:r>
        <w:t>IC</w:t>
      </w:r>
      <w:r>
        <w:rPr>
          <w:spacing w:val="-45"/>
        </w:rPr>
        <w:t xml:space="preserve"> 直到 </w:t>
      </w:r>
      <w:r>
        <w:t>1994</w:t>
      </w:r>
      <w:r>
        <w:rPr>
          <w:spacing w:val="-22"/>
        </w:rPr>
        <w:t xml:space="preserve"> 年才开始</w:t>
      </w:r>
      <w:r>
        <w:rPr>
          <w:spacing w:val="-4"/>
        </w:rPr>
        <w:t xml:space="preserve">在全球大规模的应用，世界上造纸行业的第一台 </w:t>
      </w:r>
      <w:r>
        <w:t>IC</w:t>
      </w:r>
      <w:r>
        <w:rPr>
          <w:spacing w:val="-31"/>
        </w:rPr>
        <w:t xml:space="preserve"> 反应器于 </w:t>
      </w:r>
      <w:r>
        <w:t>1996</w:t>
      </w:r>
      <w:r>
        <w:rPr>
          <w:spacing w:val="-27"/>
        </w:rPr>
        <w:t xml:space="preserve"> 年在法国的 </w:t>
      </w:r>
      <w:r>
        <w:t>Sical</w:t>
      </w:r>
      <w:r>
        <w:rPr>
          <w:spacing w:val="-23"/>
        </w:rPr>
        <w:t xml:space="preserve"> 纸厂建</w:t>
      </w:r>
      <w:r>
        <w:rPr>
          <w:spacing w:val="-37"/>
        </w:rPr>
        <w:t xml:space="preserve">成。现在 </w:t>
      </w:r>
      <w:r>
        <w:t>IC</w:t>
      </w:r>
      <w:r>
        <w:rPr>
          <w:spacing w:val="-14"/>
        </w:rPr>
        <w:t xml:space="preserve"> 内循环厌氧反应器已经完全取代了常规的 </w:t>
      </w:r>
      <w:r>
        <w:t>UASB，成为目前世界上最成功的新型</w:t>
      </w:r>
      <w:r>
        <w:rPr>
          <w:spacing w:val="-8"/>
        </w:rPr>
        <w:t xml:space="preserve">厌氧反应器，帕克公司的 </w:t>
      </w:r>
      <w:r>
        <w:t>UASB</w:t>
      </w:r>
      <w:r>
        <w:rPr>
          <w:spacing w:val="-60"/>
        </w:rPr>
        <w:t xml:space="preserve"> 及 </w:t>
      </w:r>
      <w:r>
        <w:t>IC</w:t>
      </w:r>
      <w:r>
        <w:rPr>
          <w:spacing w:val="-10"/>
        </w:rPr>
        <w:t xml:space="preserve"> 在造纸行业的应用数量请参见下表：</w:t>
      </w:r>
    </w:p>
    <w:p>
      <w:pPr>
        <w:spacing w:after="0" w:line="364" w:lineRule="auto"/>
        <w:sectPr>
          <w:pgSz w:w="17870" w:h="25260"/>
          <w:pgMar w:top="1780" w:right="940" w:bottom="280" w:left="1420" w:header="708" w:footer="708"/>
          <w:pgNumType w:start="15"/>
          <w:cols w:space="708"/>
        </w:sectPr>
      </w:pPr>
    </w:p>
    <w:p>
      <w:pPr>
        <w:spacing w:before="95"/>
        <w:ind w:left="0" w:right="14752" w:firstLine="0"/>
        <w:jc w:val="right"/>
        <w:rPr>
          <w:rFonts w:ascii="Arial"/>
          <w:b/>
          <w:sz w:val="41"/>
        </w:rPr>
      </w:pPr>
      <w:r>
        <w:pict>
          <v:group id="_x0000_s1066" style="width:642pt;height:310pt;margin-top:3.89pt;margin-left:117pt;mso-position-horizontal-relative:page;position:absolute;z-index:251668480" coordorigin="2340,78" coordsize="12840,6200">
            <v:shape id="_x0000_s1067" type="#_x0000_t75" style="width:12840;height:6200;left:2340;position:absolute;top:77" stroked="f">
              <v:imagedata r:id="rId15" o:title=""/>
            </v:shape>
            <v:shape id="_x0000_s1068" type="#_x0000_t202" style="width:1186;height:1012;left:5183;position:absolute;top:903" filled="f" stroked="f">
              <v:textbox inset="0,0,0,0">
                <w:txbxContent>
                  <w:p>
                    <w:pPr>
                      <w:spacing w:before="14"/>
                      <w:ind w:left="0" w:right="0" w:firstLine="0"/>
                      <w:jc w:val="left"/>
                      <w:rPr>
                        <w:rFonts w:ascii="Arial"/>
                        <w:b/>
                        <w:sz w:val="41"/>
                      </w:rPr>
                    </w:pPr>
                    <w:r>
                      <w:rPr>
                        <w:rFonts w:ascii="Arial"/>
                        <w:b/>
                        <w:sz w:val="41"/>
                      </w:rPr>
                      <w:t>IC</w:t>
                    </w:r>
                  </w:p>
                  <w:p>
                    <w:pPr>
                      <w:spacing w:before="128" w:line="397" w:lineRule="exact"/>
                      <w:ind w:left="0" w:right="0" w:firstLine="0"/>
                      <w:jc w:val="left"/>
                      <w:rPr>
                        <w:rFonts w:ascii="Arial"/>
                        <w:b/>
                        <w:sz w:val="41"/>
                      </w:rPr>
                    </w:pPr>
                    <w:r>
                      <w:rPr>
                        <w:rFonts w:ascii="Arial"/>
                        <w:b/>
                        <w:sz w:val="41"/>
                      </w:rPr>
                      <w:t>UASB</w:t>
                    </w:r>
                  </w:p>
                </w:txbxContent>
              </v:textbox>
            </v:shape>
          </v:group>
        </w:pict>
      </w:r>
      <w:r>
        <w:rPr>
          <w:rFonts w:ascii="Arial"/>
          <w:b/>
          <w:sz w:val="41"/>
        </w:rPr>
        <w:t>12</w:t>
      </w:r>
    </w:p>
    <w:p>
      <w:pPr>
        <w:pStyle w:val="BodyText"/>
        <w:spacing w:before="5"/>
        <w:rPr>
          <w:rFonts w:ascii="Arial"/>
          <w:b/>
          <w:sz w:val="42"/>
        </w:rPr>
      </w:pPr>
    </w:p>
    <w:p>
      <w:pPr>
        <w:spacing w:before="1"/>
        <w:ind w:left="0" w:right="14752" w:firstLine="0"/>
        <w:jc w:val="right"/>
        <w:rPr>
          <w:rFonts w:ascii="Arial"/>
          <w:b/>
          <w:sz w:val="41"/>
        </w:rPr>
      </w:pPr>
      <w:r>
        <w:rPr>
          <w:rFonts w:ascii="Arial"/>
          <w:b/>
          <w:sz w:val="41"/>
        </w:rPr>
        <w:t>10</w:t>
      </w:r>
    </w:p>
    <w:p>
      <w:pPr>
        <w:pStyle w:val="BodyText"/>
        <w:spacing w:before="5"/>
        <w:rPr>
          <w:rFonts w:ascii="Arial"/>
          <w:b/>
          <w:sz w:val="42"/>
        </w:rPr>
      </w:pPr>
    </w:p>
    <w:p>
      <w:pPr>
        <w:spacing w:before="0"/>
        <w:ind w:left="0" w:right="14717" w:firstLine="0"/>
        <w:jc w:val="right"/>
        <w:rPr>
          <w:rFonts w:ascii="Arial"/>
          <w:b/>
          <w:sz w:val="41"/>
        </w:rPr>
      </w:pPr>
      <w:r>
        <w:rPr>
          <w:rFonts w:ascii="Arial"/>
          <w:b/>
          <w:w w:val="100"/>
          <w:sz w:val="41"/>
        </w:rPr>
        <w:t>8</w:t>
      </w:r>
    </w:p>
    <w:p>
      <w:pPr>
        <w:pStyle w:val="BodyText"/>
        <w:spacing w:before="11"/>
        <w:rPr>
          <w:rFonts w:ascii="Arial"/>
          <w:b/>
          <w:sz w:val="43"/>
        </w:rPr>
      </w:pPr>
    </w:p>
    <w:p>
      <w:pPr>
        <w:spacing w:before="0"/>
        <w:ind w:left="0" w:right="14717" w:firstLine="0"/>
        <w:jc w:val="right"/>
        <w:rPr>
          <w:rFonts w:ascii="Arial"/>
          <w:b/>
          <w:sz w:val="41"/>
        </w:rPr>
      </w:pPr>
      <w:r>
        <w:rPr>
          <w:rFonts w:ascii="Arial"/>
          <w:b/>
          <w:w w:val="100"/>
          <w:sz w:val="41"/>
        </w:rPr>
        <w:t>6</w:t>
      </w:r>
    </w:p>
    <w:p>
      <w:pPr>
        <w:pStyle w:val="BodyText"/>
        <w:spacing w:before="5"/>
        <w:rPr>
          <w:rFonts w:ascii="Arial"/>
          <w:b/>
          <w:sz w:val="42"/>
        </w:rPr>
      </w:pPr>
    </w:p>
    <w:p>
      <w:pPr>
        <w:spacing w:before="0"/>
        <w:ind w:left="0" w:right="14717" w:firstLine="0"/>
        <w:jc w:val="right"/>
        <w:rPr>
          <w:rFonts w:ascii="Arial"/>
          <w:b/>
          <w:sz w:val="41"/>
        </w:rPr>
      </w:pPr>
      <w:r>
        <w:rPr>
          <w:rFonts w:ascii="Arial"/>
          <w:b/>
          <w:w w:val="100"/>
          <w:sz w:val="41"/>
        </w:rPr>
        <w:t>4</w:t>
      </w:r>
    </w:p>
    <w:p>
      <w:pPr>
        <w:pStyle w:val="BodyText"/>
        <w:spacing w:before="6"/>
        <w:rPr>
          <w:rFonts w:ascii="Arial"/>
          <w:b/>
          <w:sz w:val="42"/>
        </w:rPr>
      </w:pPr>
    </w:p>
    <w:p>
      <w:pPr>
        <w:spacing w:before="0"/>
        <w:ind w:left="0" w:right="14717" w:firstLine="0"/>
        <w:jc w:val="right"/>
        <w:rPr>
          <w:rFonts w:ascii="Arial"/>
          <w:b/>
          <w:sz w:val="41"/>
        </w:rPr>
      </w:pPr>
      <w:r>
        <w:rPr>
          <w:rFonts w:ascii="Arial"/>
          <w:b/>
          <w:w w:val="100"/>
          <w:sz w:val="41"/>
        </w:rPr>
        <w:t>2</w:t>
      </w:r>
    </w:p>
    <w:p>
      <w:pPr>
        <w:pStyle w:val="BodyText"/>
        <w:rPr>
          <w:rFonts w:ascii="Arial"/>
          <w:b/>
          <w:sz w:val="20"/>
        </w:rPr>
      </w:pPr>
    </w:p>
    <w:p>
      <w:pPr>
        <w:spacing w:after="0"/>
        <w:rPr>
          <w:rFonts w:ascii="Arial"/>
          <w:sz w:val="20"/>
        </w:rPr>
        <w:sectPr>
          <w:pgSz w:w="17870" w:h="25260"/>
          <w:pgMar w:top="2160" w:right="940" w:bottom="280" w:left="1420" w:header="708" w:footer="708"/>
          <w:pgNumType w:start="16"/>
          <w:cols w:space="708"/>
        </w:sectPr>
      </w:pPr>
    </w:p>
    <w:p>
      <w:pPr>
        <w:spacing w:before="259" w:line="463" w:lineRule="exact"/>
        <w:ind w:left="555" w:right="0" w:firstLine="0"/>
        <w:jc w:val="left"/>
        <w:rPr>
          <w:rFonts w:ascii="Arial"/>
          <w:b/>
          <w:sz w:val="41"/>
        </w:rPr>
      </w:pPr>
      <w:r>
        <w:rPr>
          <w:rFonts w:ascii="Arial"/>
          <w:b/>
          <w:w w:val="100"/>
          <w:sz w:val="41"/>
        </w:rPr>
        <w:t>0</w:t>
      </w:r>
    </w:p>
    <w:p>
      <w:pPr>
        <w:tabs>
          <w:tab w:val="left" w:pos="1871"/>
        </w:tabs>
        <w:spacing w:before="12" w:line="199" w:lineRule="auto"/>
        <w:ind w:left="1201" w:right="0" w:firstLine="0"/>
        <w:jc w:val="left"/>
        <w:rPr>
          <w:rFonts w:ascii="Arial"/>
          <w:sz w:val="26"/>
        </w:rPr>
      </w:pPr>
      <w:r>
        <w:pict>
          <v:shape id="_x0000_s1069" type="#_x0000_t202" style="width:0.1pt;height:13.25pt;margin-top:10.87pt;margin-left:131.07pt;mso-position-horizontal-relative:page;position:absolute;z-index:251669504" filled="f" stroked="f">
            <v:textbox inset="0,0,0,0">
              <w:txbxContent>
                <w:p>
                  <w:pPr>
                    <w:spacing w:before="14" w:line="250" w:lineRule="exact"/>
                    <w:ind w:left="0" w:right="0" w:firstLine="0"/>
                    <w:jc w:val="left"/>
                    <w:rPr>
                      <w:rFonts w:ascii="Arial"/>
                      <w:sz w:val="26"/>
                    </w:rPr>
                  </w:pPr>
                  <w:r>
                    <w:rPr>
                      <w:rFonts w:ascii="Arial"/>
                      <w:spacing w:val="-147"/>
                      <w:w w:val="101"/>
                      <w:sz w:val="26"/>
                    </w:rPr>
                    <w:t>9</w:t>
                  </w:r>
                </w:p>
              </w:txbxContent>
            </v:textbox>
          </v:shape>
        </w:pict>
      </w:r>
      <w:r>
        <w:pict>
          <v:shape id="_x0000_s1070" type="#_x0000_t202" style="width:0.1pt;height:13.25pt;margin-top:10.87pt;margin-left:164.58pt;mso-position-horizontal-relative:page;position:absolute;z-index:-251638784" filled="f" stroked="f">
            <v:textbox inset="0,0,0,0">
              <w:txbxContent>
                <w:p>
                  <w:pPr>
                    <w:spacing w:before="14" w:line="250" w:lineRule="exact"/>
                    <w:ind w:left="0" w:right="0" w:firstLine="0"/>
                    <w:jc w:val="left"/>
                    <w:rPr>
                      <w:rFonts w:ascii="Arial"/>
                      <w:sz w:val="26"/>
                    </w:rPr>
                  </w:pPr>
                  <w:r>
                    <w:rPr>
                      <w:rFonts w:ascii="Arial"/>
                      <w:spacing w:val="-147"/>
                      <w:w w:val="101"/>
                      <w:sz w:val="26"/>
                    </w:rPr>
                    <w:t>9</w:t>
                  </w:r>
                </w:p>
              </w:txbxContent>
            </v:textbox>
          </v:shape>
        </w:pict>
      </w:r>
      <w:r>
        <w:rPr>
          <w:rFonts w:ascii="Arial"/>
          <w:spacing w:val="-147"/>
          <w:w w:val="101"/>
          <w:position w:val="-11"/>
          <w:sz w:val="26"/>
        </w:rPr>
        <w:t>8</w:t>
      </w:r>
      <w:r>
        <w:rPr>
          <w:rFonts w:ascii="Arial"/>
          <w:w w:val="101"/>
          <w:sz w:val="26"/>
        </w:rPr>
        <w:t>3</w:t>
      </w:r>
      <w:r>
        <w:rPr>
          <w:rFonts w:ascii="Arial"/>
          <w:sz w:val="26"/>
        </w:rPr>
        <w:tab/>
      </w:r>
      <w:r>
        <w:rPr>
          <w:rFonts w:ascii="Arial"/>
          <w:spacing w:val="-157"/>
          <w:w w:val="101"/>
          <w:sz w:val="26"/>
        </w:rPr>
        <w:t>4</w:t>
      </w:r>
      <w:r>
        <w:rPr>
          <w:rFonts w:ascii="Arial"/>
          <w:spacing w:val="-10"/>
          <w:w w:val="101"/>
          <w:position w:val="-11"/>
          <w:sz w:val="26"/>
        </w:rPr>
        <w:t>8</w:t>
      </w:r>
    </w:p>
    <w:p>
      <w:pPr>
        <w:tabs>
          <w:tab w:val="left" w:pos="1871"/>
        </w:tabs>
        <w:spacing w:before="0" w:line="270" w:lineRule="exact"/>
        <w:ind w:left="1201" w:right="0" w:firstLine="0"/>
        <w:jc w:val="left"/>
        <w:rPr>
          <w:rFonts w:ascii="Arial"/>
          <w:sz w:val="26"/>
        </w:rPr>
      </w:pPr>
      <w:r>
        <w:rPr>
          <w:rFonts w:ascii="Arial"/>
          <w:sz w:val="26"/>
        </w:rPr>
        <w:t>1</w:t>
        <w:tab/>
      </w:r>
      <w:r>
        <w:rPr>
          <w:rFonts w:ascii="Arial"/>
          <w:spacing w:val="-20"/>
          <w:sz w:val="26"/>
        </w:rPr>
        <w:t>1</w:t>
      </w:r>
    </w:p>
    <w:p>
      <w:pPr>
        <w:pStyle w:val="BodyText"/>
        <w:rPr>
          <w:rFonts w:ascii="Arial"/>
          <w:sz w:val="38"/>
        </w:rPr>
      </w:pPr>
      <w:r>
        <w:br w:type="column"/>
      </w:r>
    </w:p>
    <w:p>
      <w:pPr>
        <w:tabs>
          <w:tab w:val="left" w:pos="1173"/>
        </w:tabs>
        <w:spacing w:before="298" w:line="199" w:lineRule="auto"/>
        <w:ind w:left="503" w:right="0" w:firstLine="0"/>
        <w:jc w:val="left"/>
        <w:rPr>
          <w:rFonts w:ascii="Arial"/>
          <w:sz w:val="26"/>
        </w:rPr>
      </w:pPr>
      <w:r>
        <w:rPr>
          <w:rFonts w:ascii="Arial"/>
          <w:spacing w:val="-147"/>
          <w:w w:val="101"/>
          <w:position w:val="-11"/>
          <w:sz w:val="26"/>
        </w:rPr>
        <w:t>8</w:t>
      </w:r>
      <w:r>
        <w:rPr>
          <w:rFonts w:ascii="Arial"/>
          <w:w w:val="101"/>
          <w:sz w:val="26"/>
        </w:rPr>
        <w:t>5</w:t>
      </w:r>
      <w:r>
        <w:rPr>
          <w:rFonts w:ascii="Arial"/>
          <w:sz w:val="26"/>
        </w:rPr>
        <w:tab/>
      </w:r>
      <w:r>
        <w:rPr>
          <w:rFonts w:ascii="Arial"/>
          <w:spacing w:val="-157"/>
          <w:w w:val="101"/>
          <w:sz w:val="26"/>
        </w:rPr>
        <w:t>6</w:t>
      </w:r>
      <w:r>
        <w:rPr>
          <w:rFonts w:ascii="Arial"/>
          <w:spacing w:val="-10"/>
          <w:w w:val="101"/>
          <w:position w:val="-11"/>
          <w:sz w:val="26"/>
        </w:rPr>
        <w:t>8</w:t>
      </w:r>
    </w:p>
    <w:p>
      <w:pPr>
        <w:tabs>
          <w:tab w:val="left" w:pos="1173"/>
        </w:tabs>
        <w:spacing w:before="0" w:line="270" w:lineRule="exact"/>
        <w:ind w:left="503" w:right="0" w:firstLine="0"/>
        <w:jc w:val="left"/>
        <w:rPr>
          <w:rFonts w:ascii="Arial"/>
          <w:sz w:val="26"/>
        </w:rPr>
      </w:pPr>
      <w:r>
        <w:pict>
          <v:shape id="_x0000_s1071" type="#_x0000_t202" style="width:0.1pt;height:13.25pt;margin-top:-8.14pt;margin-left:199.1pt;mso-position-horizontal-relative:page;position:absolute;z-index:251670528" filled="f" stroked="f">
            <v:textbox inset="0,0,0,0">
              <w:txbxContent>
                <w:p>
                  <w:pPr>
                    <w:spacing w:before="14" w:line="250" w:lineRule="exact"/>
                    <w:ind w:left="0" w:right="0" w:firstLine="0"/>
                    <w:jc w:val="left"/>
                    <w:rPr>
                      <w:rFonts w:ascii="Arial"/>
                      <w:sz w:val="26"/>
                    </w:rPr>
                  </w:pPr>
                  <w:r>
                    <w:rPr>
                      <w:rFonts w:ascii="Arial"/>
                      <w:spacing w:val="-147"/>
                      <w:w w:val="101"/>
                      <w:sz w:val="26"/>
                    </w:rPr>
                    <w:t>9</w:t>
                  </w:r>
                </w:p>
              </w:txbxContent>
            </v:textbox>
          </v:shape>
        </w:pict>
      </w:r>
      <w:r>
        <w:pict>
          <v:shape id="_x0000_s1072" type="#_x0000_t202" style="width:0.1pt;height:13.25pt;margin-top:-8.14pt;margin-left:232.61pt;mso-position-horizontal-relative:page;position:absolute;z-index:-251637760" filled="f" stroked="f">
            <v:textbox inset="0,0,0,0">
              <w:txbxContent>
                <w:p>
                  <w:pPr>
                    <w:spacing w:before="14" w:line="250" w:lineRule="exact"/>
                    <w:ind w:left="0" w:right="0" w:firstLine="0"/>
                    <w:jc w:val="left"/>
                    <w:rPr>
                      <w:rFonts w:ascii="Arial"/>
                      <w:sz w:val="26"/>
                    </w:rPr>
                  </w:pPr>
                  <w:r>
                    <w:rPr>
                      <w:rFonts w:ascii="Arial"/>
                      <w:spacing w:val="-147"/>
                      <w:w w:val="101"/>
                      <w:sz w:val="26"/>
                    </w:rPr>
                    <w:t>9</w:t>
                  </w:r>
                </w:p>
              </w:txbxContent>
            </v:textbox>
          </v:shape>
        </w:pict>
      </w:r>
      <w:r>
        <w:rPr>
          <w:rFonts w:ascii="Arial"/>
          <w:sz w:val="26"/>
        </w:rPr>
        <w:t>1</w:t>
        <w:tab/>
      </w:r>
      <w:r>
        <w:rPr>
          <w:rFonts w:ascii="Arial"/>
          <w:spacing w:val="-20"/>
          <w:sz w:val="26"/>
        </w:rPr>
        <w:t>1</w:t>
      </w:r>
    </w:p>
    <w:p>
      <w:pPr>
        <w:pStyle w:val="BodyText"/>
        <w:rPr>
          <w:rFonts w:ascii="Arial"/>
          <w:sz w:val="38"/>
        </w:rPr>
      </w:pPr>
      <w:r>
        <w:br w:type="column"/>
      </w:r>
    </w:p>
    <w:p>
      <w:pPr>
        <w:tabs>
          <w:tab w:val="left" w:pos="1172"/>
        </w:tabs>
        <w:spacing w:before="340" w:line="117" w:lineRule="auto"/>
        <w:ind w:left="503" w:right="0" w:firstLine="0"/>
        <w:jc w:val="left"/>
        <w:rPr>
          <w:rFonts w:ascii="Arial"/>
          <w:b/>
          <w:sz w:val="26"/>
        </w:rPr>
      </w:pPr>
      <w:r>
        <w:rPr>
          <w:rFonts w:ascii="Arial"/>
          <w:spacing w:val="-147"/>
          <w:w w:val="101"/>
          <w:position w:val="-11"/>
          <w:sz w:val="26"/>
        </w:rPr>
        <w:t>8</w:t>
      </w:r>
      <w:r>
        <w:rPr>
          <w:rFonts w:ascii="Arial"/>
          <w:w w:val="101"/>
          <w:sz w:val="26"/>
        </w:rPr>
        <w:t>7</w:t>
      </w:r>
      <w:r>
        <w:rPr>
          <w:rFonts w:ascii="Arial"/>
          <w:sz w:val="26"/>
        </w:rPr>
        <w:tab/>
      </w:r>
      <w:r>
        <w:rPr>
          <w:rFonts w:ascii="Arial"/>
          <w:b/>
          <w:spacing w:val="-20"/>
          <w:w w:val="101"/>
          <w:sz w:val="26"/>
        </w:rPr>
        <w:t>8</w:t>
      </w:r>
    </w:p>
    <w:p>
      <w:pPr>
        <w:tabs>
          <w:tab w:val="left" w:pos="1172"/>
        </w:tabs>
        <w:spacing w:before="0" w:line="330" w:lineRule="exact"/>
        <w:ind w:left="503" w:right="0" w:firstLine="0"/>
        <w:jc w:val="left"/>
        <w:rPr>
          <w:rFonts w:ascii="Arial"/>
          <w:sz w:val="26"/>
        </w:rPr>
      </w:pPr>
      <w:r>
        <w:pict>
          <v:shape id="_x0000_s1073" type="#_x0000_t202" style="width:0.1pt;height:13.25pt;margin-top:-5.16pt;margin-left:267.13pt;mso-position-horizontal-relative:page;position:absolute;z-index:251671552" filled="f" stroked="f">
            <v:textbox inset="0,0,0,0">
              <w:txbxContent>
                <w:p>
                  <w:pPr>
                    <w:spacing w:before="14" w:line="250" w:lineRule="exact"/>
                    <w:ind w:left="0" w:right="0" w:firstLine="0"/>
                    <w:jc w:val="left"/>
                    <w:rPr>
                      <w:rFonts w:ascii="Arial"/>
                      <w:sz w:val="26"/>
                    </w:rPr>
                  </w:pPr>
                  <w:r>
                    <w:rPr>
                      <w:rFonts w:ascii="Arial"/>
                      <w:spacing w:val="-147"/>
                      <w:w w:val="101"/>
                      <w:sz w:val="26"/>
                    </w:rPr>
                    <w:t>9</w:t>
                  </w:r>
                </w:p>
              </w:txbxContent>
            </v:textbox>
          </v:shape>
        </w:pict>
      </w:r>
      <w:r>
        <w:rPr>
          <w:rFonts w:ascii="Arial"/>
          <w:w w:val="101"/>
          <w:sz w:val="26"/>
        </w:rPr>
        <w:t>1</w:t>
      </w:r>
      <w:r>
        <w:rPr>
          <w:rFonts w:ascii="Arial"/>
          <w:sz w:val="26"/>
        </w:rPr>
        <w:tab/>
      </w:r>
      <w:r>
        <w:rPr>
          <w:rFonts w:ascii="Arial"/>
          <w:spacing w:val="-157"/>
          <w:w w:val="101"/>
          <w:position w:val="12"/>
          <w:sz w:val="26"/>
        </w:rPr>
        <w:t>9</w:t>
      </w:r>
      <w:r>
        <w:rPr>
          <w:rFonts w:ascii="Arial"/>
          <w:spacing w:val="-10"/>
          <w:w w:val="101"/>
          <w:sz w:val="26"/>
        </w:rPr>
        <w:t>1</w:t>
      </w:r>
    </w:p>
    <w:p>
      <w:pPr>
        <w:pStyle w:val="BodyText"/>
        <w:rPr>
          <w:rFonts w:ascii="Arial"/>
          <w:sz w:val="38"/>
        </w:rPr>
      </w:pPr>
      <w:r>
        <w:br w:type="column"/>
      </w:r>
    </w:p>
    <w:p>
      <w:pPr>
        <w:tabs>
          <w:tab w:val="left" w:pos="1173"/>
        </w:tabs>
        <w:spacing w:before="298" w:line="199" w:lineRule="auto"/>
        <w:ind w:left="504" w:right="0" w:firstLine="0"/>
        <w:jc w:val="left"/>
        <w:rPr>
          <w:rFonts w:ascii="Arial"/>
          <w:sz w:val="26"/>
        </w:rPr>
      </w:pPr>
      <w:r>
        <w:rPr>
          <w:rFonts w:ascii="Arial"/>
          <w:spacing w:val="-147"/>
          <w:w w:val="101"/>
          <w:position w:val="-11"/>
          <w:sz w:val="26"/>
        </w:rPr>
        <w:t>8</w:t>
      </w:r>
      <w:r>
        <w:rPr>
          <w:rFonts w:ascii="Arial"/>
          <w:w w:val="101"/>
          <w:sz w:val="26"/>
        </w:rPr>
        <w:t>9</w:t>
      </w:r>
      <w:r>
        <w:rPr>
          <w:rFonts w:ascii="Arial"/>
          <w:sz w:val="26"/>
        </w:rPr>
        <w:tab/>
      </w:r>
      <w:r>
        <w:rPr>
          <w:rFonts w:ascii="Arial"/>
          <w:spacing w:val="-157"/>
          <w:w w:val="101"/>
          <w:sz w:val="26"/>
        </w:rPr>
        <w:t>0</w:t>
      </w:r>
      <w:r>
        <w:rPr>
          <w:rFonts w:ascii="Arial"/>
          <w:spacing w:val="-10"/>
          <w:w w:val="101"/>
          <w:position w:val="-11"/>
          <w:sz w:val="26"/>
        </w:rPr>
        <w:t>9</w:t>
      </w:r>
    </w:p>
    <w:p>
      <w:pPr>
        <w:tabs>
          <w:tab w:val="left" w:pos="1173"/>
        </w:tabs>
        <w:spacing w:before="0" w:line="270" w:lineRule="exact"/>
        <w:ind w:left="504" w:right="0" w:firstLine="0"/>
        <w:jc w:val="left"/>
        <w:rPr>
          <w:rFonts w:ascii="Arial"/>
          <w:sz w:val="26"/>
        </w:rPr>
      </w:pPr>
      <w:r>
        <w:pict>
          <v:shape id="_x0000_s1074" type="#_x0000_t202" style="width:0.1pt;height:13.25pt;margin-top:-8.14pt;margin-left:335.15pt;mso-position-horizontal-relative:page;position:absolute;z-index:251672576" filled="f" stroked="f">
            <v:textbox inset="0,0,0,0">
              <w:txbxContent>
                <w:p>
                  <w:pPr>
                    <w:spacing w:before="14" w:line="250" w:lineRule="exact"/>
                    <w:ind w:left="0" w:right="0" w:firstLine="0"/>
                    <w:jc w:val="left"/>
                    <w:rPr>
                      <w:rFonts w:ascii="Arial"/>
                      <w:sz w:val="26"/>
                    </w:rPr>
                  </w:pPr>
                  <w:r>
                    <w:rPr>
                      <w:rFonts w:ascii="Arial"/>
                      <w:spacing w:val="-147"/>
                      <w:w w:val="101"/>
                      <w:sz w:val="26"/>
                    </w:rPr>
                    <w:t>9</w:t>
                  </w:r>
                </w:p>
              </w:txbxContent>
            </v:textbox>
          </v:shape>
        </w:pict>
      </w:r>
      <w:r>
        <w:pict>
          <v:shape id="_x0000_s1075" type="#_x0000_t202" style="width:0.1pt;height:13.25pt;margin-top:-8.14pt;margin-left:368.62pt;mso-position-horizontal-relative:page;position:absolute;z-index:-251636736" filled="f" stroked="f">
            <v:textbox inset="0,0,0,0">
              <w:txbxContent>
                <w:p>
                  <w:pPr>
                    <w:spacing w:before="14" w:line="250" w:lineRule="exact"/>
                    <w:ind w:left="0" w:right="0" w:firstLine="0"/>
                    <w:jc w:val="left"/>
                    <w:rPr>
                      <w:rFonts w:ascii="Arial"/>
                      <w:sz w:val="26"/>
                    </w:rPr>
                  </w:pPr>
                  <w:r>
                    <w:rPr>
                      <w:rFonts w:ascii="Arial"/>
                      <w:spacing w:val="-147"/>
                      <w:w w:val="101"/>
                      <w:sz w:val="26"/>
                    </w:rPr>
                    <w:t>9</w:t>
                  </w:r>
                </w:p>
              </w:txbxContent>
            </v:textbox>
          </v:shape>
        </w:pict>
      </w:r>
      <w:r>
        <w:rPr>
          <w:rFonts w:ascii="Arial"/>
          <w:sz w:val="26"/>
        </w:rPr>
        <w:t>1</w:t>
        <w:tab/>
      </w:r>
      <w:r>
        <w:rPr>
          <w:rFonts w:ascii="Arial"/>
          <w:spacing w:val="-20"/>
          <w:sz w:val="26"/>
        </w:rPr>
        <w:t>1</w:t>
      </w:r>
    </w:p>
    <w:p>
      <w:pPr>
        <w:pStyle w:val="BodyText"/>
        <w:rPr>
          <w:rFonts w:ascii="Arial"/>
          <w:sz w:val="38"/>
        </w:rPr>
      </w:pPr>
      <w:r>
        <w:br w:type="column"/>
      </w:r>
    </w:p>
    <w:p>
      <w:pPr>
        <w:tabs>
          <w:tab w:val="left" w:pos="1173"/>
        </w:tabs>
        <w:spacing w:before="298" w:line="199" w:lineRule="auto"/>
        <w:ind w:left="503" w:right="0" w:firstLine="0"/>
        <w:jc w:val="left"/>
        <w:rPr>
          <w:rFonts w:ascii="Arial"/>
          <w:sz w:val="26"/>
        </w:rPr>
      </w:pPr>
      <w:r>
        <w:rPr>
          <w:rFonts w:ascii="Arial"/>
          <w:spacing w:val="-147"/>
          <w:w w:val="101"/>
          <w:position w:val="-11"/>
          <w:sz w:val="26"/>
        </w:rPr>
        <w:t>9</w:t>
      </w:r>
      <w:r>
        <w:rPr>
          <w:rFonts w:ascii="Arial"/>
          <w:w w:val="101"/>
          <w:sz w:val="26"/>
        </w:rPr>
        <w:t>1</w:t>
      </w:r>
      <w:r>
        <w:rPr>
          <w:rFonts w:ascii="Arial"/>
          <w:sz w:val="26"/>
        </w:rPr>
        <w:tab/>
      </w:r>
      <w:r>
        <w:rPr>
          <w:rFonts w:ascii="Arial"/>
          <w:spacing w:val="-157"/>
          <w:w w:val="101"/>
          <w:sz w:val="26"/>
        </w:rPr>
        <w:t>2</w:t>
      </w:r>
      <w:r>
        <w:rPr>
          <w:rFonts w:ascii="Arial"/>
          <w:spacing w:val="-10"/>
          <w:w w:val="101"/>
          <w:position w:val="-11"/>
          <w:sz w:val="26"/>
        </w:rPr>
        <w:t>9</w:t>
      </w:r>
    </w:p>
    <w:p>
      <w:pPr>
        <w:tabs>
          <w:tab w:val="left" w:pos="1173"/>
        </w:tabs>
        <w:spacing w:before="0" w:line="270" w:lineRule="exact"/>
        <w:ind w:left="503" w:right="0" w:firstLine="0"/>
        <w:jc w:val="left"/>
        <w:rPr>
          <w:rFonts w:ascii="Arial"/>
          <w:sz w:val="26"/>
        </w:rPr>
      </w:pPr>
      <w:r>
        <w:pict>
          <v:shape id="_x0000_s1076" type="#_x0000_t202" style="width:0.1pt;height:13.25pt;margin-top:-8.14pt;margin-left:403.14pt;mso-position-horizontal-relative:page;position:absolute;z-index:251673600" filled="f" stroked="f">
            <v:textbox inset="0,0,0,0">
              <w:txbxContent>
                <w:p>
                  <w:pPr>
                    <w:spacing w:before="14" w:line="250" w:lineRule="exact"/>
                    <w:ind w:left="0" w:right="0" w:firstLine="0"/>
                    <w:jc w:val="left"/>
                    <w:rPr>
                      <w:rFonts w:ascii="Arial"/>
                      <w:sz w:val="26"/>
                    </w:rPr>
                  </w:pPr>
                  <w:r>
                    <w:rPr>
                      <w:rFonts w:ascii="Arial"/>
                      <w:spacing w:val="-147"/>
                      <w:w w:val="101"/>
                      <w:sz w:val="26"/>
                    </w:rPr>
                    <w:t>9</w:t>
                  </w:r>
                </w:p>
              </w:txbxContent>
            </v:textbox>
          </v:shape>
        </w:pict>
      </w:r>
      <w:r>
        <w:pict>
          <v:shape id="_x0000_s1077" type="#_x0000_t202" style="width:0.1pt;height:13.25pt;margin-top:-8.14pt;margin-left:436.66pt;mso-position-horizontal-relative:page;position:absolute;z-index:-251635712" filled="f" stroked="f">
            <v:textbox inset="0,0,0,0">
              <w:txbxContent>
                <w:p>
                  <w:pPr>
                    <w:spacing w:before="14" w:line="250" w:lineRule="exact"/>
                    <w:ind w:left="0" w:right="0" w:firstLine="0"/>
                    <w:jc w:val="left"/>
                    <w:rPr>
                      <w:rFonts w:ascii="Arial"/>
                      <w:sz w:val="26"/>
                    </w:rPr>
                  </w:pPr>
                  <w:r>
                    <w:rPr>
                      <w:rFonts w:ascii="Arial"/>
                      <w:spacing w:val="-147"/>
                      <w:w w:val="101"/>
                      <w:sz w:val="26"/>
                    </w:rPr>
                    <w:t>9</w:t>
                  </w:r>
                </w:p>
              </w:txbxContent>
            </v:textbox>
          </v:shape>
        </w:pict>
      </w:r>
      <w:r>
        <w:rPr>
          <w:rFonts w:ascii="Arial"/>
          <w:sz w:val="26"/>
        </w:rPr>
        <w:t>1</w:t>
        <w:tab/>
      </w:r>
      <w:r>
        <w:rPr>
          <w:rFonts w:ascii="Arial"/>
          <w:spacing w:val="-20"/>
          <w:sz w:val="26"/>
        </w:rPr>
        <w:t>1</w:t>
      </w:r>
    </w:p>
    <w:p>
      <w:pPr>
        <w:pStyle w:val="BodyText"/>
        <w:rPr>
          <w:rFonts w:ascii="Arial"/>
          <w:sz w:val="38"/>
        </w:rPr>
      </w:pPr>
      <w:r>
        <w:br w:type="column"/>
      </w:r>
    </w:p>
    <w:p>
      <w:pPr>
        <w:tabs>
          <w:tab w:val="left" w:pos="1173"/>
        </w:tabs>
        <w:spacing w:before="298" w:line="199" w:lineRule="auto"/>
        <w:ind w:left="503" w:right="0" w:firstLine="0"/>
        <w:jc w:val="left"/>
        <w:rPr>
          <w:rFonts w:ascii="Arial"/>
          <w:sz w:val="26"/>
        </w:rPr>
      </w:pPr>
      <w:r>
        <w:rPr>
          <w:rFonts w:ascii="Arial"/>
          <w:spacing w:val="-147"/>
          <w:w w:val="101"/>
          <w:position w:val="-11"/>
          <w:sz w:val="26"/>
        </w:rPr>
        <w:t>9</w:t>
      </w:r>
      <w:r>
        <w:rPr>
          <w:rFonts w:ascii="Arial"/>
          <w:w w:val="101"/>
          <w:sz w:val="26"/>
        </w:rPr>
        <w:t>3</w:t>
      </w:r>
      <w:r>
        <w:rPr>
          <w:rFonts w:ascii="Arial"/>
          <w:sz w:val="26"/>
        </w:rPr>
        <w:tab/>
      </w:r>
      <w:r>
        <w:rPr>
          <w:rFonts w:ascii="Arial"/>
          <w:spacing w:val="-157"/>
          <w:w w:val="101"/>
          <w:sz w:val="26"/>
        </w:rPr>
        <w:t>4</w:t>
      </w:r>
      <w:r>
        <w:rPr>
          <w:rFonts w:ascii="Arial"/>
          <w:spacing w:val="-10"/>
          <w:w w:val="101"/>
          <w:position w:val="-11"/>
          <w:sz w:val="26"/>
        </w:rPr>
        <w:t>9</w:t>
      </w:r>
    </w:p>
    <w:p>
      <w:pPr>
        <w:tabs>
          <w:tab w:val="left" w:pos="1173"/>
        </w:tabs>
        <w:spacing w:before="0" w:line="270" w:lineRule="exact"/>
        <w:ind w:left="503" w:right="0" w:firstLine="0"/>
        <w:jc w:val="left"/>
        <w:rPr>
          <w:rFonts w:ascii="Arial"/>
          <w:sz w:val="26"/>
        </w:rPr>
      </w:pPr>
      <w:r>
        <w:pict>
          <v:shape id="_x0000_s1078" type="#_x0000_t202" style="width:0.1pt;height:13.25pt;margin-top:-8.14pt;margin-left:471.17pt;mso-position-horizontal-relative:page;position:absolute;z-index:251674624" filled="f" stroked="f">
            <v:textbox inset="0,0,0,0">
              <w:txbxContent>
                <w:p>
                  <w:pPr>
                    <w:spacing w:before="14" w:line="250" w:lineRule="exact"/>
                    <w:ind w:left="0" w:right="0" w:firstLine="0"/>
                    <w:jc w:val="left"/>
                    <w:rPr>
                      <w:rFonts w:ascii="Arial"/>
                      <w:sz w:val="26"/>
                    </w:rPr>
                  </w:pPr>
                  <w:r>
                    <w:rPr>
                      <w:rFonts w:ascii="Arial"/>
                      <w:spacing w:val="-147"/>
                      <w:w w:val="101"/>
                      <w:sz w:val="26"/>
                    </w:rPr>
                    <w:t>9</w:t>
                  </w:r>
                </w:p>
              </w:txbxContent>
            </v:textbox>
          </v:shape>
        </w:pict>
      </w:r>
      <w:r>
        <w:pict>
          <v:shape id="_x0000_s1079" type="#_x0000_t202" style="width:0.1pt;height:13.25pt;margin-top:-8.14pt;margin-left:504.69pt;mso-position-horizontal-relative:page;position:absolute;z-index:-251634688" filled="f" stroked="f">
            <v:textbox inset="0,0,0,0">
              <w:txbxContent>
                <w:p>
                  <w:pPr>
                    <w:spacing w:before="14" w:line="250" w:lineRule="exact"/>
                    <w:ind w:left="0" w:right="0" w:firstLine="0"/>
                    <w:jc w:val="left"/>
                    <w:rPr>
                      <w:rFonts w:ascii="Arial"/>
                      <w:sz w:val="26"/>
                    </w:rPr>
                  </w:pPr>
                  <w:r>
                    <w:rPr>
                      <w:rFonts w:ascii="Arial"/>
                      <w:spacing w:val="-147"/>
                      <w:w w:val="101"/>
                      <w:sz w:val="26"/>
                    </w:rPr>
                    <w:t>9</w:t>
                  </w:r>
                </w:p>
              </w:txbxContent>
            </v:textbox>
          </v:shape>
        </w:pict>
      </w:r>
      <w:r>
        <w:rPr>
          <w:rFonts w:ascii="Arial"/>
          <w:sz w:val="26"/>
        </w:rPr>
        <w:t>1</w:t>
        <w:tab/>
      </w:r>
      <w:r>
        <w:rPr>
          <w:rFonts w:ascii="Arial"/>
          <w:spacing w:val="-20"/>
          <w:sz w:val="26"/>
        </w:rPr>
        <w:t>1</w:t>
      </w:r>
    </w:p>
    <w:p>
      <w:pPr>
        <w:pStyle w:val="BodyText"/>
        <w:rPr>
          <w:rFonts w:ascii="Arial"/>
          <w:sz w:val="38"/>
        </w:rPr>
      </w:pPr>
      <w:r>
        <w:br w:type="column"/>
      </w:r>
    </w:p>
    <w:p>
      <w:pPr>
        <w:tabs>
          <w:tab w:val="left" w:pos="1173"/>
        </w:tabs>
        <w:spacing w:before="298" w:line="199" w:lineRule="auto"/>
        <w:ind w:left="503" w:right="0" w:firstLine="0"/>
        <w:jc w:val="left"/>
        <w:rPr>
          <w:rFonts w:ascii="Arial"/>
          <w:sz w:val="26"/>
        </w:rPr>
      </w:pPr>
      <w:r>
        <w:rPr>
          <w:rFonts w:ascii="Arial"/>
          <w:spacing w:val="-147"/>
          <w:w w:val="101"/>
          <w:position w:val="-11"/>
          <w:sz w:val="26"/>
        </w:rPr>
        <w:t>9</w:t>
      </w:r>
      <w:r>
        <w:rPr>
          <w:rFonts w:ascii="Arial"/>
          <w:w w:val="101"/>
          <w:sz w:val="26"/>
        </w:rPr>
        <w:t>5</w:t>
      </w:r>
      <w:r>
        <w:rPr>
          <w:rFonts w:ascii="Arial"/>
          <w:sz w:val="26"/>
        </w:rPr>
        <w:tab/>
      </w:r>
      <w:r>
        <w:rPr>
          <w:rFonts w:ascii="Arial"/>
          <w:spacing w:val="-157"/>
          <w:w w:val="101"/>
          <w:sz w:val="26"/>
        </w:rPr>
        <w:t>6</w:t>
      </w:r>
      <w:r>
        <w:rPr>
          <w:rFonts w:ascii="Arial"/>
          <w:spacing w:val="-10"/>
          <w:w w:val="101"/>
          <w:position w:val="-11"/>
          <w:sz w:val="26"/>
        </w:rPr>
        <w:t>9</w:t>
      </w:r>
    </w:p>
    <w:p>
      <w:pPr>
        <w:tabs>
          <w:tab w:val="left" w:pos="1173"/>
        </w:tabs>
        <w:spacing w:before="0" w:line="270" w:lineRule="exact"/>
        <w:ind w:left="503" w:right="0" w:firstLine="0"/>
        <w:jc w:val="left"/>
        <w:rPr>
          <w:rFonts w:ascii="Arial"/>
          <w:sz w:val="26"/>
        </w:rPr>
      </w:pPr>
      <w:r>
        <w:pict>
          <v:shape id="_x0000_s1080" type="#_x0000_t202" style="width:0.1pt;height:13.25pt;margin-top:-8.14pt;margin-left:539.19pt;mso-position-horizontal-relative:page;position:absolute;z-index:251675648" filled="f" stroked="f">
            <v:textbox inset="0,0,0,0">
              <w:txbxContent>
                <w:p>
                  <w:pPr>
                    <w:spacing w:before="14" w:line="250" w:lineRule="exact"/>
                    <w:ind w:left="0" w:right="0" w:firstLine="0"/>
                    <w:jc w:val="left"/>
                    <w:rPr>
                      <w:rFonts w:ascii="Arial"/>
                      <w:sz w:val="26"/>
                    </w:rPr>
                  </w:pPr>
                  <w:r>
                    <w:rPr>
                      <w:rFonts w:ascii="Arial"/>
                      <w:spacing w:val="-147"/>
                      <w:w w:val="101"/>
                      <w:sz w:val="26"/>
                    </w:rPr>
                    <w:t>9</w:t>
                  </w:r>
                </w:p>
              </w:txbxContent>
            </v:textbox>
          </v:shape>
        </w:pict>
      </w:r>
      <w:r>
        <w:pict>
          <v:shape id="_x0000_s1081" type="#_x0000_t202" style="width:0.1pt;height:13.25pt;margin-top:-8.14pt;margin-left:572.71pt;mso-position-horizontal-relative:page;position:absolute;z-index:-251633664" filled="f" stroked="f">
            <v:textbox inset="0,0,0,0">
              <w:txbxContent>
                <w:p>
                  <w:pPr>
                    <w:spacing w:before="14" w:line="250" w:lineRule="exact"/>
                    <w:ind w:left="0" w:right="0" w:firstLine="0"/>
                    <w:jc w:val="left"/>
                    <w:rPr>
                      <w:rFonts w:ascii="Arial"/>
                      <w:sz w:val="26"/>
                    </w:rPr>
                  </w:pPr>
                  <w:r>
                    <w:rPr>
                      <w:rFonts w:ascii="Arial"/>
                      <w:spacing w:val="-147"/>
                      <w:w w:val="101"/>
                      <w:sz w:val="26"/>
                    </w:rPr>
                    <w:t>9</w:t>
                  </w:r>
                </w:p>
              </w:txbxContent>
            </v:textbox>
          </v:shape>
        </w:pict>
      </w:r>
      <w:r>
        <w:rPr>
          <w:rFonts w:ascii="Arial"/>
          <w:sz w:val="26"/>
        </w:rPr>
        <w:t>1</w:t>
        <w:tab/>
      </w:r>
      <w:r>
        <w:rPr>
          <w:rFonts w:ascii="Arial"/>
          <w:spacing w:val="-20"/>
          <w:sz w:val="26"/>
        </w:rPr>
        <w:t>1</w:t>
      </w:r>
    </w:p>
    <w:p>
      <w:pPr>
        <w:pStyle w:val="BodyText"/>
        <w:rPr>
          <w:rFonts w:ascii="Arial"/>
          <w:sz w:val="38"/>
        </w:rPr>
      </w:pPr>
      <w:r>
        <w:br w:type="column"/>
      </w:r>
    </w:p>
    <w:p>
      <w:pPr>
        <w:tabs>
          <w:tab w:val="left" w:pos="1173"/>
        </w:tabs>
        <w:spacing w:before="298" w:line="199" w:lineRule="auto"/>
        <w:ind w:left="503" w:right="0" w:firstLine="0"/>
        <w:jc w:val="left"/>
        <w:rPr>
          <w:rFonts w:ascii="Arial"/>
          <w:sz w:val="26"/>
        </w:rPr>
      </w:pPr>
      <w:r>
        <w:rPr>
          <w:rFonts w:ascii="Arial"/>
          <w:spacing w:val="-147"/>
          <w:w w:val="101"/>
          <w:position w:val="-11"/>
          <w:sz w:val="26"/>
        </w:rPr>
        <w:t>9</w:t>
      </w:r>
      <w:r>
        <w:rPr>
          <w:rFonts w:ascii="Arial"/>
          <w:w w:val="101"/>
          <w:sz w:val="26"/>
        </w:rPr>
        <w:t>7</w:t>
      </w:r>
      <w:r>
        <w:rPr>
          <w:rFonts w:ascii="Arial"/>
          <w:sz w:val="26"/>
        </w:rPr>
        <w:tab/>
      </w:r>
      <w:r>
        <w:rPr>
          <w:rFonts w:ascii="Arial"/>
          <w:spacing w:val="-157"/>
          <w:w w:val="101"/>
          <w:sz w:val="26"/>
        </w:rPr>
        <w:t>8</w:t>
      </w:r>
      <w:r>
        <w:rPr>
          <w:rFonts w:ascii="Arial"/>
          <w:spacing w:val="-10"/>
          <w:w w:val="101"/>
          <w:position w:val="-11"/>
          <w:sz w:val="26"/>
        </w:rPr>
        <w:t>9</w:t>
      </w:r>
    </w:p>
    <w:p>
      <w:pPr>
        <w:tabs>
          <w:tab w:val="left" w:pos="1173"/>
        </w:tabs>
        <w:spacing w:before="0" w:line="270" w:lineRule="exact"/>
        <w:ind w:left="503" w:right="0" w:firstLine="0"/>
        <w:jc w:val="left"/>
        <w:rPr>
          <w:rFonts w:ascii="Arial"/>
          <w:sz w:val="26"/>
        </w:rPr>
      </w:pPr>
      <w:r>
        <w:pict>
          <v:shape id="_x0000_s1082" type="#_x0000_t202" style="width:0.1pt;height:13.25pt;margin-top:-8.14pt;margin-left:607.23pt;mso-position-horizontal-relative:page;position:absolute;z-index:251676672" filled="f" stroked="f">
            <v:textbox inset="0,0,0,0">
              <w:txbxContent>
                <w:p>
                  <w:pPr>
                    <w:spacing w:before="14" w:line="250" w:lineRule="exact"/>
                    <w:ind w:left="0" w:right="0" w:firstLine="0"/>
                    <w:jc w:val="left"/>
                    <w:rPr>
                      <w:rFonts w:ascii="Arial"/>
                      <w:sz w:val="26"/>
                    </w:rPr>
                  </w:pPr>
                  <w:r>
                    <w:rPr>
                      <w:rFonts w:ascii="Arial"/>
                      <w:spacing w:val="-147"/>
                      <w:w w:val="101"/>
                      <w:sz w:val="26"/>
                    </w:rPr>
                    <w:t>9</w:t>
                  </w:r>
                </w:p>
              </w:txbxContent>
            </v:textbox>
          </v:shape>
        </w:pict>
      </w:r>
      <w:r>
        <w:pict>
          <v:shape id="_x0000_s1083" type="#_x0000_t202" style="width:0.1pt;height:13.25pt;margin-top:-8.14pt;margin-left:640.74pt;mso-position-horizontal-relative:page;position:absolute;z-index:-251632640" filled="f" stroked="f">
            <v:textbox inset="0,0,0,0">
              <w:txbxContent>
                <w:p>
                  <w:pPr>
                    <w:spacing w:before="14" w:line="250" w:lineRule="exact"/>
                    <w:ind w:left="0" w:right="0" w:firstLine="0"/>
                    <w:jc w:val="left"/>
                    <w:rPr>
                      <w:rFonts w:ascii="Arial"/>
                      <w:sz w:val="26"/>
                    </w:rPr>
                  </w:pPr>
                  <w:r>
                    <w:rPr>
                      <w:rFonts w:ascii="Arial"/>
                      <w:spacing w:val="-147"/>
                      <w:w w:val="101"/>
                      <w:sz w:val="26"/>
                    </w:rPr>
                    <w:t>9</w:t>
                  </w:r>
                </w:p>
              </w:txbxContent>
            </v:textbox>
          </v:shape>
        </w:pict>
      </w:r>
      <w:r>
        <w:rPr>
          <w:rFonts w:ascii="Arial"/>
          <w:sz w:val="26"/>
        </w:rPr>
        <w:t>1</w:t>
        <w:tab/>
      </w:r>
      <w:r>
        <w:rPr>
          <w:rFonts w:ascii="Arial"/>
          <w:spacing w:val="-20"/>
          <w:sz w:val="26"/>
        </w:rPr>
        <w:t>1</w:t>
      </w:r>
    </w:p>
    <w:p>
      <w:pPr>
        <w:pStyle w:val="BodyText"/>
        <w:rPr>
          <w:rFonts w:ascii="Arial"/>
          <w:sz w:val="26"/>
        </w:rPr>
      </w:pPr>
      <w:r>
        <w:br w:type="column"/>
      </w:r>
    </w:p>
    <w:p>
      <w:pPr>
        <w:pStyle w:val="BodyText"/>
        <w:rPr>
          <w:rFonts w:ascii="Arial"/>
        </w:rPr>
      </w:pPr>
    </w:p>
    <w:p>
      <w:pPr>
        <w:tabs>
          <w:tab w:val="left" w:pos="1173"/>
        </w:tabs>
        <w:spacing w:before="1" w:line="270" w:lineRule="exact"/>
        <w:ind w:left="503" w:right="0" w:firstLine="0"/>
        <w:jc w:val="left"/>
        <w:rPr>
          <w:rFonts w:ascii="Arial"/>
          <w:b/>
          <w:sz w:val="26"/>
        </w:rPr>
      </w:pPr>
      <w:r>
        <w:rPr>
          <w:rFonts w:ascii="Arial"/>
          <w:b/>
          <w:sz w:val="26"/>
        </w:rPr>
        <w:t>9</w:t>
        <w:tab/>
        <w:t>0</w:t>
      </w:r>
    </w:p>
    <w:p>
      <w:pPr>
        <w:tabs>
          <w:tab w:val="left" w:pos="1173"/>
        </w:tabs>
        <w:spacing w:before="0" w:line="211" w:lineRule="auto"/>
        <w:ind w:left="503" w:right="0" w:firstLine="0"/>
        <w:jc w:val="left"/>
        <w:rPr>
          <w:rFonts w:ascii="Arial"/>
          <w:sz w:val="26"/>
        </w:rPr>
      </w:pPr>
      <w:r>
        <w:rPr>
          <w:rFonts w:ascii="Arial"/>
          <w:spacing w:val="-147"/>
          <w:w w:val="101"/>
          <w:position w:val="-11"/>
          <w:sz w:val="26"/>
        </w:rPr>
        <w:t>1</w:t>
      </w:r>
      <w:r>
        <w:rPr>
          <w:rFonts w:ascii="Arial"/>
          <w:w w:val="101"/>
          <w:sz w:val="26"/>
        </w:rPr>
        <w:t>9</w:t>
      </w:r>
      <w:r>
        <w:rPr>
          <w:rFonts w:ascii="Arial"/>
          <w:sz w:val="26"/>
        </w:rPr>
        <w:tab/>
      </w:r>
      <w:r>
        <w:rPr>
          <w:rFonts w:ascii="Arial"/>
          <w:spacing w:val="-147"/>
          <w:w w:val="101"/>
          <w:sz w:val="26"/>
        </w:rPr>
        <w:t>0</w:t>
      </w:r>
      <w:r>
        <w:rPr>
          <w:rFonts w:ascii="Arial"/>
          <w:w w:val="101"/>
          <w:position w:val="-11"/>
          <w:sz w:val="26"/>
        </w:rPr>
        <w:t>2</w:t>
      </w:r>
    </w:p>
    <w:p>
      <w:pPr>
        <w:spacing w:after="0" w:line="211" w:lineRule="auto"/>
        <w:jc w:val="left"/>
        <w:rPr>
          <w:rFonts w:ascii="Arial"/>
          <w:sz w:val="26"/>
        </w:rPr>
        <w:sectPr>
          <w:type w:val="continuous"/>
          <w:pgSz w:w="17870" w:h="25260"/>
          <w:pgMar w:top="1720" w:right="940" w:bottom="280" w:left="1420" w:header="708" w:footer="708"/>
          <w:pgNumType w:start="17"/>
          <w:cols w:num="9" w:space="708" w:equalWidth="0">
            <w:col w:w="2019" w:space="40"/>
            <w:col w:w="1321" w:space="39"/>
            <w:col w:w="1320" w:space="40"/>
            <w:col w:w="1321" w:space="39"/>
            <w:col w:w="1321" w:space="40"/>
            <w:col w:w="1321" w:space="40"/>
            <w:col w:w="1321" w:space="39"/>
            <w:col w:w="1321" w:space="40"/>
            <w:col w:w="3928" w:space="0"/>
          </w:cols>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1"/>
        <w:rPr>
          <w:rFonts w:ascii="Arial"/>
          <w:sz w:val="27"/>
        </w:rPr>
      </w:pPr>
    </w:p>
    <w:p>
      <w:pPr>
        <w:pStyle w:val="BodyText"/>
        <w:spacing w:before="49" w:line="364" w:lineRule="auto"/>
        <w:ind w:left="308" w:right="612" w:firstLine="670"/>
      </w:pPr>
      <w:r>
        <w:rPr>
          <w:spacing w:val="-5"/>
        </w:rPr>
        <w:t xml:space="preserve">在帕克公司从事厌氧反应器工业化应用的 </w:t>
      </w:r>
      <w:r>
        <w:t>20</w:t>
      </w:r>
      <w:r>
        <w:rPr>
          <w:spacing w:val="-27"/>
        </w:rPr>
        <w:t xml:space="preserve"> 多年所建设 </w:t>
      </w:r>
      <w:r>
        <w:t>450</w:t>
      </w:r>
      <w:r>
        <w:rPr>
          <w:spacing w:val="-10"/>
        </w:rPr>
        <w:t xml:space="preserve"> 多项工业业绩中，帕克公司将以颗粒污泥为特征的高效厌氧反应器（UASB</w:t>
      </w:r>
      <w:r>
        <w:rPr>
          <w:spacing w:val="-60"/>
        </w:rPr>
        <w:t xml:space="preserve"> 和 </w:t>
      </w:r>
      <w:r>
        <w:t>IC）</w:t>
      </w:r>
      <w:r>
        <w:rPr>
          <w:spacing w:val="-2"/>
        </w:rPr>
        <w:t>技术不断发展和完善到世界最高水平。</w:t>
      </w:r>
      <w:r>
        <w:t>在此过程中，帕克公司以向工业用户提供先进、成熟的厌氧技术为宗旨，专著于厌氧反应器的开发应用和提供专业化的服务。</w:t>
      </w:r>
    </w:p>
    <w:p>
      <w:pPr>
        <w:pStyle w:val="BodyText"/>
        <w:spacing w:before="9"/>
        <w:rPr>
          <w:sz w:val="31"/>
        </w:rPr>
      </w:pPr>
    </w:p>
    <w:p>
      <w:pPr>
        <w:pStyle w:val="Heading2"/>
        <w:numPr>
          <w:ilvl w:val="2"/>
          <w:numId w:val="44"/>
        </w:numPr>
        <w:tabs>
          <w:tab w:val="left" w:pos="2007"/>
          <w:tab w:val="left" w:pos="2008"/>
        </w:tabs>
        <w:spacing w:before="0" w:after="0" w:line="240" w:lineRule="auto"/>
        <w:ind w:left="2007" w:right="0" w:hanging="1700"/>
        <w:jc w:val="left"/>
      </w:pPr>
      <w:r>
        <w:t>厌氧反应器的工艺应是先进的、高质量的</w:t>
      </w:r>
    </w:p>
    <w:p>
      <w:pPr>
        <w:pStyle w:val="BodyText"/>
        <w:spacing w:before="151" w:line="364" w:lineRule="auto"/>
        <w:ind w:left="308" w:right="702" w:firstLine="670"/>
      </w:pPr>
      <w:r>
        <w:t>XXXX</w:t>
      </w:r>
      <w:r>
        <w:rPr>
          <w:spacing w:val="-14"/>
        </w:rPr>
        <w:t xml:space="preserve"> 项目是国内的重要的林纸一体化项目之一，是目前全国最大的杨木 </w:t>
      </w:r>
      <w:r>
        <w:t>APMP</w:t>
      </w:r>
      <w:r>
        <w:rPr>
          <w:spacing w:val="-19"/>
        </w:rPr>
        <w:t xml:space="preserve"> 项目，其APMP</w:t>
      </w:r>
      <w:r>
        <w:rPr>
          <w:spacing w:val="-11"/>
        </w:rPr>
        <w:t xml:space="preserve"> 生产工艺和质量要求代表了当今世界的最高水平。我们相信，帕克公司能在污水处理场</w:t>
      </w:r>
      <w:r>
        <w:t>工程上完全满足这一要求。</w:t>
      </w:r>
    </w:p>
    <w:p>
      <w:pPr>
        <w:pStyle w:val="BodyText"/>
        <w:spacing w:before="184"/>
        <w:ind w:left="978"/>
      </w:pPr>
      <w:r>
        <w:t>首先，帕克公司提供了当今世界最先进的 BIOPAQIC 内循环厌氧反应器技术：</w:t>
      </w:r>
    </w:p>
    <w:p>
      <w:pPr>
        <w:pStyle w:val="BodyText"/>
        <w:spacing w:before="8"/>
        <w:rPr>
          <w:sz w:val="32"/>
        </w:rPr>
      </w:pPr>
    </w:p>
    <w:p>
      <w:pPr>
        <w:pStyle w:val="ListParagraph"/>
        <w:numPr>
          <w:ilvl w:val="0"/>
          <w:numId w:val="1"/>
        </w:numPr>
        <w:tabs>
          <w:tab w:val="left" w:pos="1582"/>
          <w:tab w:val="left" w:pos="1583"/>
        </w:tabs>
        <w:spacing w:before="0" w:after="0" w:line="364" w:lineRule="auto"/>
        <w:ind w:left="1701" w:right="597" w:hanging="540"/>
        <w:jc w:val="left"/>
        <w:rPr>
          <w:sz w:val="36"/>
        </w:rPr>
      </w:pPr>
      <w:r>
        <w:rPr>
          <w:spacing w:val="-13"/>
          <w:sz w:val="36"/>
        </w:rPr>
        <w:t xml:space="preserve">容积负荷达到 </w:t>
      </w:r>
      <w:r>
        <w:rPr>
          <w:sz w:val="36"/>
        </w:rPr>
        <w:t>20－30KgCOD/m</w:t>
      </w:r>
      <w:r>
        <w:rPr>
          <w:position w:val="3"/>
          <w:sz w:val="18"/>
        </w:rPr>
        <w:t>3</w:t>
      </w:r>
      <w:r>
        <w:rPr>
          <w:sz w:val="36"/>
        </w:rPr>
        <w:t>/d，</w:t>
      </w:r>
      <w:r>
        <w:rPr>
          <w:spacing w:val="-1"/>
          <w:sz w:val="36"/>
        </w:rPr>
        <w:t>是同类产品中最高的；因又是细高的塔式结构，占</w:t>
      </w:r>
      <w:r>
        <w:rPr>
          <w:sz w:val="36"/>
        </w:rPr>
        <w:t>地面积更省；</w:t>
      </w:r>
    </w:p>
    <w:p>
      <w:pPr>
        <w:pStyle w:val="ListParagraph"/>
        <w:numPr>
          <w:ilvl w:val="0"/>
          <w:numId w:val="1"/>
        </w:numPr>
        <w:tabs>
          <w:tab w:val="left" w:pos="1582"/>
          <w:tab w:val="left" w:pos="1583"/>
        </w:tabs>
        <w:spacing w:before="180" w:after="0" w:line="240" w:lineRule="auto"/>
        <w:ind w:left="1583" w:right="0" w:hanging="422"/>
        <w:jc w:val="left"/>
        <w:rPr>
          <w:sz w:val="36"/>
        </w:rPr>
      </w:pPr>
      <w:r>
        <w:rPr>
          <w:sz w:val="36"/>
        </w:rPr>
        <w:t>独特的内循环机理，抗冲击负荷等运行性能大大改善；</w:t>
      </w:r>
    </w:p>
    <w:p>
      <w:pPr>
        <w:pStyle w:val="BodyText"/>
        <w:spacing w:before="9"/>
        <w:rPr>
          <w:sz w:val="32"/>
        </w:rPr>
      </w:pPr>
    </w:p>
    <w:p>
      <w:pPr>
        <w:pStyle w:val="ListParagraph"/>
        <w:numPr>
          <w:ilvl w:val="0"/>
          <w:numId w:val="1"/>
        </w:numPr>
        <w:tabs>
          <w:tab w:val="left" w:pos="1582"/>
          <w:tab w:val="left" w:pos="1583"/>
        </w:tabs>
        <w:spacing w:before="0" w:after="0" w:line="364" w:lineRule="auto"/>
        <w:ind w:left="1701" w:right="775" w:hanging="540"/>
        <w:jc w:val="left"/>
        <w:rPr>
          <w:sz w:val="36"/>
        </w:rPr>
      </w:pPr>
      <w:r>
        <w:rPr>
          <w:spacing w:val="-10"/>
          <w:sz w:val="36"/>
        </w:rPr>
        <w:t xml:space="preserve">上流速度快，能将 </w:t>
      </w:r>
      <w:r>
        <w:rPr>
          <w:sz w:val="36"/>
        </w:rPr>
        <w:t>SS</w:t>
      </w:r>
      <w:r>
        <w:rPr>
          <w:spacing w:val="-45"/>
          <w:sz w:val="36"/>
        </w:rPr>
        <w:t xml:space="preserve"> 冲出 </w:t>
      </w:r>
      <w:r>
        <w:rPr>
          <w:sz w:val="36"/>
        </w:rPr>
        <w:t>IC</w:t>
      </w:r>
      <w:r>
        <w:rPr>
          <w:spacing w:val="-12"/>
          <w:sz w:val="36"/>
        </w:rPr>
        <w:t xml:space="preserve"> 厌氧反应器，因而</w:t>
      </w:r>
      <w:r>
        <w:rPr>
          <w:sz w:val="36"/>
        </w:rPr>
        <w:t>，SS</w:t>
      </w:r>
      <w:r>
        <w:rPr>
          <w:spacing w:val="-16"/>
          <w:sz w:val="36"/>
        </w:rPr>
        <w:t xml:space="preserve"> 不易在反应器积累，系统抗 </w:t>
      </w:r>
      <w:r>
        <w:rPr>
          <w:spacing w:val="-8"/>
          <w:sz w:val="36"/>
        </w:rPr>
        <w:t xml:space="preserve">SS </w:t>
      </w:r>
      <w:r>
        <w:rPr>
          <w:sz w:val="36"/>
        </w:rPr>
        <w:t>的能力强；</w:t>
      </w:r>
    </w:p>
    <w:p>
      <w:pPr>
        <w:pStyle w:val="ListParagraph"/>
        <w:numPr>
          <w:ilvl w:val="0"/>
          <w:numId w:val="1"/>
        </w:numPr>
        <w:tabs>
          <w:tab w:val="left" w:pos="1582"/>
          <w:tab w:val="left" w:pos="1583"/>
        </w:tabs>
        <w:spacing w:before="181" w:after="0" w:line="458" w:lineRule="auto"/>
        <w:ind w:left="978" w:right="5458" w:firstLine="183"/>
        <w:jc w:val="left"/>
        <w:rPr>
          <w:sz w:val="36"/>
        </w:rPr>
      </w:pPr>
      <w:r>
        <w:rPr>
          <w:spacing w:val="-30"/>
          <w:sz w:val="36"/>
        </w:rPr>
        <w:t xml:space="preserve">整个 </w:t>
      </w:r>
      <w:r>
        <w:rPr>
          <w:sz w:val="36"/>
        </w:rPr>
        <w:t>IC</w:t>
      </w:r>
      <w:r>
        <w:rPr>
          <w:spacing w:val="-11"/>
          <w:sz w:val="36"/>
        </w:rPr>
        <w:t xml:space="preserve"> 反应器内无任何的运动部件，维护成本极低； </w:t>
      </w:r>
      <w:r>
        <w:rPr>
          <w:sz w:val="36"/>
        </w:rPr>
        <w:t>同时，帕克公司非常注重厌氧反应器的产品高质量。</w:t>
      </w:r>
    </w:p>
    <w:p>
      <w:pPr>
        <w:spacing w:after="0" w:line="458" w:lineRule="auto"/>
        <w:jc w:val="left"/>
        <w:rPr>
          <w:sz w:val="36"/>
        </w:rPr>
        <w:sectPr>
          <w:type w:val="continuous"/>
          <w:pgSz w:w="17870" w:h="25260"/>
          <w:pgMar w:top="1720" w:right="940" w:bottom="280" w:left="1420" w:header="708" w:footer="708"/>
          <w:pgNumType w:start="18"/>
          <w:cols w:space="708"/>
        </w:sectPr>
      </w:pPr>
    </w:p>
    <w:p>
      <w:pPr>
        <w:pStyle w:val="BodyText"/>
        <w:spacing w:before="24"/>
        <w:ind w:left="978"/>
      </w:pPr>
      <w:r>
        <w:t>厌氧环境是一个强烈的腐蚀环境，其腐蚀主要涉及到以下几个方面：</w:t>
      </w:r>
    </w:p>
    <w:p>
      <w:pPr>
        <w:pStyle w:val="BodyText"/>
        <w:spacing w:before="10"/>
        <w:rPr>
          <w:sz w:val="46"/>
        </w:rPr>
      </w:pPr>
    </w:p>
    <w:p>
      <w:pPr>
        <w:pStyle w:val="ListParagraph"/>
        <w:numPr>
          <w:ilvl w:val="0"/>
          <w:numId w:val="48"/>
        </w:numPr>
        <w:tabs>
          <w:tab w:val="left" w:pos="1519"/>
        </w:tabs>
        <w:spacing w:before="0" w:after="0" w:line="407" w:lineRule="exact"/>
        <w:ind w:left="1518" w:right="0" w:hanging="358"/>
        <w:jc w:val="left"/>
        <w:rPr>
          <w:sz w:val="36"/>
        </w:rPr>
      </w:pPr>
      <w:r>
        <w:rPr>
          <w:sz w:val="36"/>
        </w:rPr>
        <w:t>H</w:t>
      </w:r>
      <w:r>
        <w:rPr>
          <w:spacing w:val="-91"/>
          <w:sz w:val="36"/>
        </w:rPr>
        <w:t xml:space="preserve"> </w:t>
      </w:r>
      <w:r>
        <w:rPr>
          <w:sz w:val="36"/>
        </w:rPr>
        <w:t>S</w:t>
      </w:r>
      <w:r>
        <w:rPr>
          <w:spacing w:val="-22"/>
          <w:sz w:val="36"/>
        </w:rPr>
        <w:t xml:space="preserve"> 腐蚀：废水中的 </w:t>
      </w:r>
      <w:r>
        <w:rPr>
          <w:sz w:val="36"/>
        </w:rPr>
        <w:t>S</w:t>
      </w:r>
      <w:r>
        <w:rPr>
          <w:spacing w:val="-17"/>
          <w:sz w:val="36"/>
        </w:rPr>
        <w:t xml:space="preserve"> 会在厌氧环境中还原为 </w:t>
      </w:r>
      <w:r>
        <w:rPr>
          <w:sz w:val="36"/>
        </w:rPr>
        <w:t>H</w:t>
      </w:r>
      <w:r>
        <w:rPr>
          <w:spacing w:val="-90"/>
          <w:sz w:val="36"/>
        </w:rPr>
        <w:t xml:space="preserve"> </w:t>
      </w:r>
      <w:r>
        <w:rPr>
          <w:sz w:val="36"/>
        </w:rPr>
        <w:t>S，不仅会对于厌氧菌有毒害左右，而</w:t>
      </w:r>
    </w:p>
    <w:p>
      <w:pPr>
        <w:tabs>
          <w:tab w:val="left" w:pos="8809"/>
        </w:tabs>
        <w:spacing w:before="0" w:line="175" w:lineRule="exact"/>
        <w:ind w:left="1698" w:right="0" w:firstLine="0"/>
        <w:jc w:val="left"/>
        <w:rPr>
          <w:sz w:val="18"/>
        </w:rPr>
      </w:pPr>
      <w:r>
        <w:rPr>
          <w:sz w:val="18"/>
        </w:rPr>
        <w:t>2</w:t>
        <w:tab/>
        <w:t>2</w:t>
      </w:r>
    </w:p>
    <w:p>
      <w:pPr>
        <w:pStyle w:val="BodyText"/>
        <w:spacing w:before="122"/>
        <w:ind w:left="1701"/>
      </w:pPr>
      <w:r>
        <w:t>且具有强烈的腐蚀性；</w:t>
      </w:r>
    </w:p>
    <w:p>
      <w:pPr>
        <w:pStyle w:val="BodyText"/>
        <w:spacing w:before="9"/>
        <w:rPr>
          <w:sz w:val="46"/>
        </w:rPr>
      </w:pPr>
    </w:p>
    <w:p>
      <w:pPr>
        <w:pStyle w:val="ListParagraph"/>
        <w:numPr>
          <w:ilvl w:val="0"/>
          <w:numId w:val="48"/>
        </w:numPr>
        <w:tabs>
          <w:tab w:val="left" w:pos="1582"/>
          <w:tab w:val="left" w:pos="1583"/>
        </w:tabs>
        <w:spacing w:before="1" w:after="0" w:line="364" w:lineRule="auto"/>
        <w:ind w:left="1701" w:right="686" w:hanging="540"/>
        <w:jc w:val="left"/>
        <w:rPr>
          <w:sz w:val="36"/>
        </w:rPr>
      </w:pPr>
      <w:r>
        <w:rPr>
          <w:sz w:val="36"/>
        </w:rPr>
        <w:t>电化学腐蚀：在气液的分界面，存在者－400mv</w:t>
      </w:r>
      <w:r>
        <w:rPr>
          <w:spacing w:val="-12"/>
          <w:sz w:val="36"/>
        </w:rPr>
        <w:t xml:space="preserve"> 的氧化还原电位，这是最重要的腐蚀</w:t>
      </w:r>
      <w:r>
        <w:rPr>
          <w:sz w:val="36"/>
        </w:rPr>
        <w:t>源，无论是水泥或是钢材在此处均被腐蚀；</w:t>
      </w:r>
    </w:p>
    <w:p>
      <w:pPr>
        <w:pStyle w:val="BodyText"/>
        <w:spacing w:before="1"/>
        <w:rPr>
          <w:sz w:val="28"/>
        </w:rPr>
      </w:pPr>
    </w:p>
    <w:p>
      <w:pPr>
        <w:pStyle w:val="ListParagraph"/>
        <w:numPr>
          <w:ilvl w:val="0"/>
          <w:numId w:val="48"/>
        </w:numPr>
        <w:tabs>
          <w:tab w:val="left" w:pos="1582"/>
          <w:tab w:val="left" w:pos="1583"/>
        </w:tabs>
        <w:spacing w:before="0" w:after="0" w:line="407" w:lineRule="exact"/>
        <w:ind w:left="1583" w:right="0" w:hanging="422"/>
        <w:jc w:val="left"/>
        <w:rPr>
          <w:sz w:val="36"/>
        </w:rPr>
      </w:pPr>
      <w:r>
        <w:rPr>
          <w:spacing w:val="-7"/>
          <w:sz w:val="36"/>
        </w:rPr>
        <w:t xml:space="preserve">碳酸的腐蚀：厌氧所产生的 </w:t>
      </w:r>
      <w:r>
        <w:rPr>
          <w:sz w:val="36"/>
        </w:rPr>
        <w:t>CO</w:t>
      </w:r>
      <w:r>
        <w:rPr>
          <w:spacing w:val="-15"/>
          <w:sz w:val="36"/>
        </w:rPr>
        <w:t xml:space="preserve"> ，溶解在水中形成碳酸，水泥中的 </w:t>
      </w:r>
      <w:r>
        <w:rPr>
          <w:sz w:val="36"/>
        </w:rPr>
        <w:t>CaO</w:t>
      </w:r>
      <w:r>
        <w:rPr>
          <w:spacing w:val="-14"/>
          <w:sz w:val="36"/>
        </w:rPr>
        <w:t xml:space="preserve"> 会因为碳酸的</w:t>
      </w:r>
    </w:p>
    <w:p>
      <w:pPr>
        <w:spacing w:before="0" w:line="174" w:lineRule="exact"/>
        <w:ind w:left="0" w:right="2703" w:firstLine="0"/>
        <w:jc w:val="center"/>
        <w:rPr>
          <w:sz w:val="18"/>
        </w:rPr>
      </w:pPr>
      <w:r>
        <w:rPr>
          <w:sz w:val="18"/>
        </w:rPr>
        <w:t>2</w:t>
      </w:r>
    </w:p>
    <w:p>
      <w:pPr>
        <w:pStyle w:val="BodyText"/>
        <w:spacing w:before="123"/>
        <w:ind w:left="1701"/>
      </w:pPr>
      <w:r>
        <w:t>存在而溶解；</w:t>
      </w:r>
    </w:p>
    <w:p>
      <w:pPr>
        <w:pStyle w:val="BodyText"/>
        <w:spacing w:before="10"/>
        <w:rPr>
          <w:sz w:val="25"/>
        </w:rPr>
      </w:pPr>
    </w:p>
    <w:p>
      <w:pPr>
        <w:pStyle w:val="BodyText"/>
        <w:spacing w:line="364" w:lineRule="auto"/>
        <w:ind w:left="308" w:right="612" w:firstLine="670"/>
      </w:pPr>
      <w:r>
        <w:t>为了防止腐蚀问题的发生，特别对于厌氧反应器的防腐，帕克公司在几十年的厌氧工程项目中，尝试过碳钢、碳钢涂加防腐层、铝合金、不锈钢、工程塑料等等，目前，帕克公司</w:t>
      </w:r>
      <w:r>
        <w:rPr>
          <w:spacing w:val="-45"/>
        </w:rPr>
        <w:t xml:space="preserve">的 </w:t>
      </w:r>
      <w:r>
        <w:t>IC</w:t>
      </w:r>
      <w:r>
        <w:rPr>
          <w:spacing w:val="-12"/>
        </w:rPr>
        <w:t xml:space="preserve"> 的主要部件，采用抗老化的工程塑料，彻底避免了反应器腐蚀问题，到现在为止，帕克</w:t>
      </w:r>
      <w:r>
        <w:rPr>
          <w:spacing w:val="-13"/>
        </w:rPr>
        <w:t xml:space="preserve">公司的第一台 </w:t>
      </w:r>
      <w:r>
        <w:t>IC</w:t>
      </w:r>
      <w:r>
        <w:rPr>
          <w:spacing w:val="-15"/>
        </w:rPr>
        <w:t xml:space="preserve"> 厌氧反应器，目前已经成功的运行了 </w:t>
      </w:r>
      <w:r>
        <w:t>16</w:t>
      </w:r>
      <w:r>
        <w:rPr>
          <w:spacing w:val="-10"/>
        </w:rPr>
        <w:t xml:space="preserve"> 年，到现在为止，帕克公司提供的</w:t>
      </w:r>
      <w:r>
        <w:rPr>
          <w:spacing w:val="-30"/>
        </w:rPr>
        <w:t xml:space="preserve">所有的 </w:t>
      </w:r>
      <w:r>
        <w:t>IC</w:t>
      </w:r>
      <w:r>
        <w:rPr>
          <w:spacing w:val="-10"/>
        </w:rPr>
        <w:t xml:space="preserve"> 反应器在运行期间都没有任何的维修及材料的更换。</w:t>
      </w:r>
    </w:p>
    <w:p>
      <w:pPr>
        <w:pStyle w:val="BodyText"/>
        <w:spacing w:before="185" w:line="364" w:lineRule="auto"/>
        <w:ind w:left="308" w:right="842" w:firstLine="670"/>
      </w:pPr>
      <w:r>
        <w:t>在厌氧反应器的运行和控制上，帕克公司遵循以人为本的理念，在确保厌氧工艺运行的前提下，高度的自动化控制为用户的使用和维护提供最大的便利。</w:t>
      </w:r>
    </w:p>
    <w:p>
      <w:pPr>
        <w:pStyle w:val="BodyText"/>
        <w:spacing w:before="7"/>
        <w:rPr>
          <w:sz w:val="31"/>
        </w:rPr>
      </w:pPr>
    </w:p>
    <w:p>
      <w:pPr>
        <w:pStyle w:val="Heading2"/>
        <w:numPr>
          <w:ilvl w:val="2"/>
          <w:numId w:val="44"/>
        </w:numPr>
        <w:tabs>
          <w:tab w:val="left" w:pos="2007"/>
          <w:tab w:val="left" w:pos="2008"/>
        </w:tabs>
        <w:spacing w:before="0" w:after="0" w:line="240" w:lineRule="auto"/>
        <w:ind w:left="2007" w:right="0" w:hanging="1490"/>
        <w:jc w:val="left"/>
      </w:pPr>
      <w:r>
        <w:t>安全运行是制浆造纸生产厂的首要需求</w:t>
      </w:r>
    </w:p>
    <w:p>
      <w:pPr>
        <w:pStyle w:val="BodyText"/>
        <w:spacing w:before="10"/>
        <w:rPr>
          <w:b/>
          <w:sz w:val="32"/>
        </w:rPr>
      </w:pPr>
    </w:p>
    <w:p>
      <w:pPr>
        <w:pStyle w:val="BodyText"/>
        <w:spacing w:before="1"/>
        <w:ind w:left="978"/>
      </w:pPr>
      <w:r>
        <w:t>废水水中的有机污染物将在厌氧环境中被最终转化为沼气。沼气是一种多组分的混合气</w:t>
      </w:r>
    </w:p>
    <w:p>
      <w:pPr>
        <w:pStyle w:val="BodyText"/>
        <w:spacing w:before="11"/>
        <w:rPr>
          <w:sz w:val="14"/>
        </w:rPr>
      </w:pPr>
    </w:p>
    <w:p>
      <w:pPr>
        <w:spacing w:after="0"/>
        <w:rPr>
          <w:sz w:val="14"/>
        </w:rPr>
        <w:sectPr>
          <w:pgSz w:w="17870" w:h="25260"/>
          <w:pgMar w:top="1820" w:right="940" w:bottom="280" w:left="1420" w:header="708" w:footer="708"/>
          <w:pgNumType w:start="19"/>
          <w:cols w:space="708"/>
        </w:sectPr>
      </w:pPr>
    </w:p>
    <w:p>
      <w:pPr>
        <w:pStyle w:val="BodyText"/>
        <w:spacing w:before="50" w:line="405" w:lineRule="exact"/>
        <w:ind w:left="308"/>
      </w:pPr>
      <w:r>
        <w:t>体，主要成分是 CH</w:t>
      </w:r>
    </w:p>
    <w:p>
      <w:pPr>
        <w:spacing w:before="0" w:line="175" w:lineRule="exact"/>
        <w:ind w:left="0" w:right="0" w:firstLine="0"/>
        <w:jc w:val="right"/>
        <w:rPr>
          <w:sz w:val="18"/>
        </w:rPr>
      </w:pPr>
      <w:r>
        <w:rPr>
          <w:sz w:val="18"/>
        </w:rPr>
        <w:t>4</w:t>
      </w:r>
    </w:p>
    <w:p>
      <w:pPr>
        <w:pStyle w:val="BodyText"/>
        <w:spacing w:before="50" w:line="405" w:lineRule="exact"/>
        <w:ind w:left="3"/>
      </w:pPr>
      <w:r>
        <w:br w:type="column"/>
      </w:r>
      <w:r>
        <w:rPr>
          <w:spacing w:val="-45"/>
        </w:rPr>
        <w:t xml:space="preserve">和 </w:t>
      </w:r>
      <w:r>
        <w:t>CO</w:t>
      </w:r>
      <w:r>
        <w:rPr>
          <w:spacing w:val="-19"/>
        </w:rPr>
        <w:t xml:space="preserve"> ，此外还含有少量的 </w:t>
      </w:r>
      <w:r>
        <w:rPr>
          <w:spacing w:val="-20"/>
        </w:rPr>
        <w:t>H</w:t>
      </w:r>
    </w:p>
    <w:p>
      <w:pPr>
        <w:spacing w:before="0" w:line="175" w:lineRule="exact"/>
        <w:ind w:left="814" w:right="0" w:firstLine="0"/>
        <w:jc w:val="left"/>
        <w:rPr>
          <w:sz w:val="18"/>
        </w:rPr>
      </w:pPr>
      <w:r>
        <w:rPr>
          <w:sz w:val="18"/>
        </w:rPr>
        <w:t>2</w:t>
      </w:r>
    </w:p>
    <w:p>
      <w:pPr>
        <w:pStyle w:val="BodyText"/>
        <w:spacing w:before="50" w:line="405" w:lineRule="exact"/>
        <w:ind w:left="107"/>
      </w:pPr>
      <w:r>
        <w:br w:type="column"/>
      </w:r>
      <w:r>
        <w:t>S 及 CO 等气体，易燃易爆，不允许直接</w:t>
      </w:r>
    </w:p>
    <w:p>
      <w:pPr>
        <w:spacing w:before="0" w:line="175" w:lineRule="exact"/>
        <w:ind w:left="-12" w:right="0" w:firstLine="0"/>
        <w:jc w:val="left"/>
        <w:rPr>
          <w:sz w:val="18"/>
        </w:rPr>
      </w:pPr>
      <w:r>
        <w:rPr>
          <w:sz w:val="18"/>
        </w:rPr>
        <w:t>2</w:t>
      </w:r>
    </w:p>
    <w:p>
      <w:pPr>
        <w:spacing w:after="0" w:line="175" w:lineRule="exact"/>
        <w:jc w:val="left"/>
        <w:rPr>
          <w:sz w:val="18"/>
        </w:rPr>
        <w:sectPr>
          <w:type w:val="continuous"/>
          <w:pgSz w:w="17870" w:h="25260"/>
          <w:pgMar w:top="1720" w:right="940" w:bottom="280" w:left="1420" w:header="708" w:footer="708"/>
          <w:pgNumType w:start="20"/>
          <w:cols w:num="3" w:space="708" w:equalWidth="0">
            <w:col w:w="3369" w:space="40"/>
            <w:col w:w="4415" w:space="39"/>
            <w:col w:w="7647" w:space="0"/>
          </w:cols>
        </w:sectPr>
      </w:pPr>
    </w:p>
    <w:p>
      <w:pPr>
        <w:pStyle w:val="BodyText"/>
        <w:spacing w:before="122" w:line="364" w:lineRule="auto"/>
        <w:ind w:left="308" w:right="1153"/>
      </w:pPr>
      <w:r>
        <w:t>排放大气。特别对于制浆造纸厂，是完全不同于啤酒、食品淀粉加工厂，其防火要求非常高，完全禁止烟火，这样对于沼气处理的要求也非常高：</w:t>
      </w:r>
    </w:p>
    <w:p>
      <w:pPr>
        <w:pStyle w:val="BodyText"/>
        <w:spacing w:before="2"/>
        <w:rPr>
          <w:sz w:val="28"/>
        </w:rPr>
      </w:pPr>
    </w:p>
    <w:p>
      <w:pPr>
        <w:pStyle w:val="ListParagraph"/>
        <w:numPr>
          <w:ilvl w:val="0"/>
          <w:numId w:val="41"/>
        </w:numPr>
        <w:tabs>
          <w:tab w:val="left" w:pos="1518"/>
          <w:tab w:val="left" w:pos="1519"/>
        </w:tabs>
        <w:spacing w:before="1" w:after="0" w:line="240" w:lineRule="auto"/>
        <w:ind w:left="1518" w:right="0" w:hanging="541"/>
        <w:jc w:val="left"/>
        <w:rPr>
          <w:sz w:val="36"/>
        </w:rPr>
      </w:pPr>
      <w:r>
        <w:rPr>
          <w:sz w:val="36"/>
        </w:rPr>
        <w:t>首先是否有大量的相似的造纸厂厌氧工程成功运行业绩；</w:t>
      </w:r>
    </w:p>
    <w:p>
      <w:pPr>
        <w:pStyle w:val="BodyText"/>
        <w:spacing w:before="9"/>
        <w:rPr>
          <w:sz w:val="46"/>
        </w:rPr>
      </w:pPr>
    </w:p>
    <w:p>
      <w:pPr>
        <w:pStyle w:val="ListParagraph"/>
        <w:numPr>
          <w:ilvl w:val="0"/>
          <w:numId w:val="41"/>
        </w:numPr>
        <w:tabs>
          <w:tab w:val="left" w:pos="1518"/>
          <w:tab w:val="left" w:pos="1519"/>
        </w:tabs>
        <w:spacing w:before="0" w:after="0" w:line="240" w:lineRule="auto"/>
        <w:ind w:left="1518" w:right="0" w:hanging="541"/>
        <w:jc w:val="left"/>
        <w:rPr>
          <w:sz w:val="36"/>
        </w:rPr>
      </w:pPr>
      <w:r>
        <w:rPr>
          <w:sz w:val="36"/>
        </w:rPr>
        <w:t>提供的沼气处理设备是否执行严格的设计/制造/施工标准。</w:t>
      </w:r>
    </w:p>
    <w:p>
      <w:pPr>
        <w:pStyle w:val="BodyText"/>
        <w:spacing w:before="331" w:line="364" w:lineRule="auto"/>
        <w:ind w:left="308" w:right="701" w:firstLine="670"/>
      </w:pPr>
      <w:r>
        <w:t>帕克公司厌氧处理系统，在全世界已经成功处理过许多种类的制浆造纸废水，到目前为</w:t>
      </w:r>
      <w:r>
        <w:rPr>
          <w:spacing w:val="-15"/>
        </w:rPr>
        <w:t xml:space="preserve">止，已经有 </w:t>
      </w:r>
      <w:r>
        <w:t>100</w:t>
      </w:r>
      <w:r>
        <w:rPr>
          <w:spacing w:val="-15"/>
        </w:rPr>
        <w:t xml:space="preserve"> 多个造纸项目，占整个全球市场的 </w:t>
      </w:r>
      <w:r>
        <w:t>60％左右的份额；对于污水处理厂的设计，不仅要求关键防火设施需要一定的安全距离，而且对于关键的沼气系统，采用的是严格的环保、防火安全及设计制造标准，无明火，大小两个火头，全部采用自动控制系统，沼气火炬与沼气缓冲罐、IC</w:t>
      </w:r>
      <w:r>
        <w:rPr>
          <w:spacing w:val="-11"/>
        </w:rPr>
        <w:t xml:space="preserve"> 反应器、循环罐完全连锁，电子自动点火，彻底杜绝任何工艺及操作</w:t>
      </w:r>
    </w:p>
    <w:p>
      <w:pPr>
        <w:spacing w:after="0" w:line="364" w:lineRule="auto"/>
        <w:sectPr>
          <w:type w:val="continuous"/>
          <w:pgSz w:w="17870" w:h="25260"/>
          <w:pgMar w:top="1720" w:right="940" w:bottom="280" w:left="1420" w:header="708" w:footer="708"/>
          <w:pgNumType w:start="21"/>
          <w:cols w:space="708"/>
        </w:sectPr>
      </w:pPr>
    </w:p>
    <w:p>
      <w:pPr>
        <w:pStyle w:val="BodyText"/>
        <w:tabs>
          <w:tab w:val="left" w:pos="13630"/>
        </w:tabs>
        <w:spacing w:before="24" w:line="364" w:lineRule="auto"/>
        <w:ind w:left="308" w:right="610"/>
      </w:pPr>
      <w:r>
        <w:drawing>
          <wp:anchor distT="0" distB="0" distL="0" distR="0" simplePos="0" relativeHeight="251684864" behindDoc="1" locked="0" layoutInCell="1" allowOverlap="1">
            <wp:simplePos x="0" y="0"/>
            <wp:positionH relativeFrom="page">
              <wp:posOffset>0</wp:posOffset>
            </wp:positionH>
            <wp:positionV relativeFrom="page">
              <wp:posOffset>0</wp:posOffset>
            </wp:positionV>
            <wp:extent cx="11343131" cy="15852394"/>
            <wp:effectExtent l="0" t="0" r="0" b="0"/>
            <wp:wrapNone/>
            <wp:docPr id="13"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3.png"/>
                    <pic:cNvPicPr/>
                  </pic:nvPicPr>
                  <pic:blipFill>
                    <a:blip xmlns:r="http://schemas.openxmlformats.org/officeDocument/2006/relationships" r:embed="rId16" cstate="print"/>
                    <a:stretch>
                      <a:fillRect/>
                    </a:stretch>
                  </pic:blipFill>
                  <pic:spPr>
                    <a:xfrm>
                      <a:off x="0" y="0"/>
                      <a:ext cx="11343131" cy="15852394"/>
                    </a:xfrm>
                    <a:prstGeom prst="rect">
                      <a:avLst/>
                    </a:prstGeom>
                  </pic:spPr>
                </pic:pic>
              </a:graphicData>
            </a:graphic>
          </wp:anchor>
        </w:drawing>
      </w:r>
      <w:r>
        <w:t>风险。帕克公司的产品的质量管理及安全保证系统，均获得</w:t>
      </w:r>
      <w:r>
        <w:rPr>
          <w:spacing w:val="2"/>
        </w:rPr>
        <w:t xml:space="preserve"> </w:t>
      </w:r>
      <w:r>
        <w:t>Lloyd’s Register</w:t>
        <w:tab/>
        <w:t>(劳埃</w:t>
      </w:r>
      <w:r>
        <w:rPr>
          <w:spacing w:val="-17"/>
        </w:rPr>
        <w:t>德</w:t>
      </w:r>
      <w:r>
        <w:t>船级社）颁发的认证（参见附录）</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5"/>
        <w:rPr>
          <w:sz w:val="49"/>
        </w:rPr>
      </w:pPr>
    </w:p>
    <w:p>
      <w:pPr>
        <w:pStyle w:val="BodyText"/>
        <w:spacing w:line="364" w:lineRule="auto"/>
        <w:ind w:left="308" w:right="792" w:firstLine="670"/>
        <w:jc w:val="both"/>
      </w:pPr>
      <w:r>
        <w:rPr>
          <w:spacing w:val="-4"/>
        </w:rPr>
        <w:t xml:space="preserve">上图为世界上的第一家制浆造纸厂实现废水零排放的比利时的 </w:t>
      </w:r>
      <w:r>
        <w:t>OudergemVPK</w:t>
      </w:r>
      <w:r>
        <w:rPr>
          <w:spacing w:val="-30"/>
        </w:rPr>
        <w:t xml:space="preserve"> 纸厂</w:t>
      </w:r>
      <w:r>
        <w:t>（新华社记者驻欧洲资深记者卢苏燕女士曾经在&lt;&lt;中国环境报&gt;&gt;上发表过专题介绍文章）</w:t>
      </w:r>
      <w:r>
        <w:rPr>
          <w:spacing w:val="-5"/>
        </w:rPr>
        <w:t>的厌氧污</w:t>
      </w:r>
      <w:r>
        <w:rPr>
          <w:spacing w:val="-1"/>
        </w:rPr>
        <w:t>水处理厂火炬的安装情况，其紧紧挨着废纸原料厂，其质量及安全完全符合严格的欧洲的环</w:t>
      </w:r>
      <w:r>
        <w:t>保安全标准。</w:t>
      </w:r>
    </w:p>
    <w:p>
      <w:pPr>
        <w:pStyle w:val="BodyText"/>
        <w:spacing w:before="8"/>
        <w:rPr>
          <w:sz w:val="31"/>
        </w:rPr>
      </w:pPr>
    </w:p>
    <w:p>
      <w:pPr>
        <w:pStyle w:val="Heading2"/>
        <w:numPr>
          <w:ilvl w:val="2"/>
          <w:numId w:val="44"/>
        </w:numPr>
        <w:tabs>
          <w:tab w:val="left" w:pos="2007"/>
          <w:tab w:val="left" w:pos="2008"/>
        </w:tabs>
        <w:spacing w:before="0" w:after="0" w:line="240" w:lineRule="auto"/>
        <w:ind w:left="2007" w:right="0" w:hanging="1700"/>
        <w:jc w:val="left"/>
      </w:pPr>
      <w:r>
        <w:t>系统的适应性</w:t>
      </w:r>
    </w:p>
    <w:p>
      <w:pPr>
        <w:pStyle w:val="BodyText"/>
        <w:spacing w:before="242" w:line="364" w:lineRule="auto"/>
        <w:ind w:left="308" w:right="610" w:firstLine="670"/>
      </w:pPr>
      <w:r>
        <w:rPr>
          <w:spacing w:val="-16"/>
        </w:rPr>
        <w:t xml:space="preserve">帕克公司的 </w:t>
      </w:r>
      <w:r>
        <w:t>IC</w:t>
      </w:r>
      <w:r>
        <w:rPr>
          <w:spacing w:val="-10"/>
        </w:rPr>
        <w:t xml:space="preserve"> 内循环厌氧反应器不仅具有强烈的抗冲击负荷的能力，而且整个厌氧系统也具有良好的适应性能。帕克公司的厌氧系统的是按照最大的负荷量来设计，IC</w:t>
      </w:r>
      <w:r>
        <w:rPr>
          <w:spacing w:val="-16"/>
        </w:rPr>
        <w:t xml:space="preserve"> 厌氧反应器是根据容积负荷来设计，并且厌氧反应器前设立循环罐，在生产系统排出水量产生波动时， </w:t>
      </w:r>
      <w:r>
        <w:rPr>
          <w:spacing w:val="-29"/>
        </w:rPr>
        <w:t xml:space="preserve">均能保证进 </w:t>
      </w:r>
      <w:r>
        <w:t>IC</w:t>
      </w:r>
      <w:r>
        <w:rPr>
          <w:spacing w:val="-13"/>
        </w:rPr>
        <w:t xml:space="preserve"> 的水量维持恒定，给系统的正常运行创造有利条件。这样无论 </w:t>
      </w:r>
      <w:r>
        <w:t>APMP</w:t>
      </w:r>
      <w:r>
        <w:rPr>
          <w:spacing w:val="-19"/>
        </w:rPr>
        <w:t xml:space="preserve"> 生产如何</w:t>
      </w:r>
      <w:r>
        <w:rPr>
          <w:spacing w:val="-24"/>
        </w:rPr>
        <w:t xml:space="preserve">改变、废水水量是高还是低；废水为 </w:t>
      </w:r>
      <w:r>
        <w:t>LWC</w:t>
      </w:r>
      <w:r>
        <w:rPr>
          <w:spacing w:val="-60"/>
        </w:rPr>
        <w:t xml:space="preserve"> 的 </w:t>
      </w:r>
      <w:r>
        <w:t>APMP</w:t>
      </w:r>
      <w:r>
        <w:rPr>
          <w:spacing w:val="-27"/>
        </w:rPr>
        <w:t xml:space="preserve"> 废水，还是 </w:t>
      </w:r>
      <w:r>
        <w:t>ArtPaper</w:t>
      </w:r>
      <w:r>
        <w:rPr>
          <w:spacing w:val="-60"/>
        </w:rPr>
        <w:t xml:space="preserve"> 的 </w:t>
      </w:r>
      <w:r>
        <w:t>APMP</w:t>
      </w:r>
      <w:r>
        <w:rPr>
          <w:spacing w:val="-16"/>
        </w:rPr>
        <w:t xml:space="preserve"> 废水，反应器</w:t>
      </w:r>
      <w:r>
        <w:t>均能正常运行。</w:t>
      </w:r>
    </w:p>
    <w:p>
      <w:pPr>
        <w:pStyle w:val="Heading2"/>
        <w:numPr>
          <w:ilvl w:val="2"/>
          <w:numId w:val="44"/>
        </w:numPr>
        <w:tabs>
          <w:tab w:val="left" w:pos="2007"/>
          <w:tab w:val="left" w:pos="2008"/>
        </w:tabs>
        <w:spacing w:before="318" w:after="0" w:line="240" w:lineRule="auto"/>
        <w:ind w:left="2007" w:right="0" w:hanging="1700"/>
        <w:jc w:val="left"/>
      </w:pPr>
      <w:r>
        <w:t>对周边环境的影响</w:t>
      </w:r>
    </w:p>
    <w:p>
      <w:pPr>
        <w:pStyle w:val="BodyText"/>
        <w:spacing w:before="151" w:line="364" w:lineRule="auto"/>
        <w:ind w:left="308" w:right="793" w:firstLine="670"/>
      </w:pPr>
      <w:r>
        <w:t xml:space="preserve">帕克公司设计的厌氧系统，不仅仅是一个单纯的污水系统，而且对于其它可能有损生 </w:t>
      </w:r>
      <w:r>
        <w:rPr>
          <w:spacing w:val="-1"/>
        </w:rPr>
        <w:t>产、操作或安全的方面的因素都作了考虑。特别对于厌氧过程所产生的臭气的处理，其主要</w:t>
      </w:r>
    </w:p>
    <w:p>
      <w:pPr>
        <w:spacing w:after="0" w:line="364" w:lineRule="auto"/>
        <w:sectPr>
          <w:pgSz w:w="17870" w:h="25260"/>
          <w:pgMar w:top="1820" w:right="940" w:bottom="280" w:left="1420" w:header="708" w:footer="708"/>
          <w:pgNumType w:start="22"/>
          <w:cols w:space="708"/>
        </w:sectPr>
      </w:pPr>
    </w:p>
    <w:p>
      <w:pPr>
        <w:pStyle w:val="BodyText"/>
        <w:spacing w:before="24" w:line="350" w:lineRule="exact"/>
        <w:ind w:left="308"/>
        <w:jc w:val="both"/>
      </w:pPr>
      <w:r>
        <w:rPr>
          <w:spacing w:val="-23"/>
        </w:rPr>
        <w:t xml:space="preserve">成分是 </w:t>
      </w:r>
      <w:r>
        <w:t>H</w:t>
      </w:r>
      <w:r>
        <w:rPr>
          <w:spacing w:val="-90"/>
        </w:rPr>
        <w:t xml:space="preserve"> </w:t>
      </w:r>
      <w:r>
        <w:t>S</w:t>
      </w:r>
      <w:r>
        <w:rPr>
          <w:spacing w:val="-10"/>
        </w:rPr>
        <w:t xml:space="preserve"> 气体。为了避免臭气污染操作环境，必须采用涤气处理：将产生臭气的环境封闭</w:t>
      </w:r>
    </w:p>
    <w:p>
      <w:pPr>
        <w:spacing w:before="0" w:line="260" w:lineRule="exact"/>
        <w:ind w:left="1658" w:right="0" w:firstLine="0"/>
        <w:jc w:val="left"/>
        <w:rPr>
          <w:sz w:val="29"/>
        </w:rPr>
      </w:pPr>
      <w:r>
        <w:rPr>
          <w:sz w:val="29"/>
        </w:rPr>
        <w:t>2</w:t>
      </w:r>
    </w:p>
    <w:p>
      <w:pPr>
        <w:pStyle w:val="BodyText"/>
        <w:spacing w:before="92" w:line="364" w:lineRule="auto"/>
        <w:ind w:left="308" w:right="793"/>
        <w:jc w:val="both"/>
      </w:pPr>
      <w:r>
        <w:t>起来，并用抽风机将臭气强制抽出至涤气塔处理。同时，从安全的角度来讲，抽风机的风量将保证足够多的空气将臭气稀释至臭气爆炸范围的之外，从而可以完全保证整个系统的安全运行。</w:t>
      </w:r>
    </w:p>
    <w:p>
      <w:pPr>
        <w:pStyle w:val="BodyText"/>
        <w:spacing w:before="7"/>
        <w:rPr>
          <w:sz w:val="31"/>
        </w:rPr>
      </w:pPr>
    </w:p>
    <w:p>
      <w:pPr>
        <w:pStyle w:val="Heading2"/>
        <w:numPr>
          <w:ilvl w:val="2"/>
          <w:numId w:val="49"/>
        </w:numPr>
        <w:tabs>
          <w:tab w:val="left" w:pos="2008"/>
        </w:tabs>
        <w:spacing w:before="0" w:after="0" w:line="240" w:lineRule="auto"/>
        <w:ind w:left="2007" w:right="0" w:hanging="1490"/>
        <w:jc w:val="both"/>
      </w:pPr>
      <w:r>
        <w:t>帕克公司提供完善的专业化技术服务</w:t>
      </w:r>
    </w:p>
    <w:p>
      <w:pPr>
        <w:pStyle w:val="BodyText"/>
        <w:spacing w:before="151" w:line="364" w:lineRule="auto"/>
        <w:ind w:left="308" w:right="842" w:firstLine="670"/>
        <w:jc w:val="both"/>
      </w:pPr>
      <w:r>
        <w:rPr>
          <w:spacing w:val="-1"/>
        </w:rPr>
        <w:t>帕克公司非常重视向用户提供专业化、完善和便利的技术服务。在荷兰帕克总部的指导</w:t>
      </w:r>
      <w:r>
        <w:t>下，XXXX</w:t>
      </w:r>
      <w:r>
        <w:rPr>
          <w:spacing w:val="-32"/>
        </w:rPr>
        <w:t xml:space="preserve"> 环保技术 </w:t>
      </w:r>
      <w:r>
        <w:t>XXXX</w:t>
      </w:r>
      <w:r>
        <w:rPr>
          <w:spacing w:val="-10"/>
        </w:rPr>
        <w:t xml:space="preserve"> 环保技术有限公司的工程技术人员均接受过专业化的培训和国内三十多项工程的实践锻炼，在国内工程设计、建设管理方面积累了丰富的经验。</w:t>
      </w:r>
    </w:p>
    <w:p>
      <w:pPr>
        <w:pStyle w:val="BodyText"/>
        <w:spacing w:before="183" w:line="364" w:lineRule="auto"/>
        <w:ind w:left="308" w:right="793" w:firstLine="670"/>
        <w:jc w:val="both"/>
      </w:pPr>
      <w:r>
        <w:t>随着帕克上海的不断成长和壮大，帕克公司特别针对国内废水处理的运行管理特点，建立了一整套完善的售后服务系统，持续地为客户提供对处理工艺的诊断，优化运行参数，降低运行费用和减少风险的服务，它们包括：</w:t>
      </w:r>
    </w:p>
    <w:p>
      <w:pPr>
        <w:pStyle w:val="ListParagraph"/>
        <w:numPr>
          <w:ilvl w:val="0"/>
          <w:numId w:val="40"/>
        </w:numPr>
        <w:tabs>
          <w:tab w:val="left" w:pos="848"/>
          <w:tab w:val="left" w:pos="849"/>
        </w:tabs>
        <w:spacing w:before="273" w:after="0" w:line="357" w:lineRule="auto"/>
        <w:ind w:left="848" w:right="972" w:hanging="541"/>
        <w:jc w:val="left"/>
        <w:rPr>
          <w:rFonts w:ascii="Symbol" w:eastAsia="Symbol" w:hAnsi="Symbol"/>
          <w:sz w:val="30"/>
        </w:rPr>
      </w:pPr>
      <w:r>
        <w:rPr>
          <w:spacing w:val="-1"/>
          <w:sz w:val="36"/>
        </w:rPr>
        <w:t>工艺管理服务：对已交付使用的客户，经常收集运行数据，通过分析提出运行建议和管</w:t>
      </w:r>
      <w:r>
        <w:rPr>
          <w:sz w:val="36"/>
        </w:rPr>
        <w:t>理。建立长期监控系统，保证运行的稳定，安全，和最低的运行成本。</w:t>
      </w:r>
    </w:p>
    <w:p>
      <w:pPr>
        <w:pStyle w:val="ListParagraph"/>
        <w:numPr>
          <w:ilvl w:val="0"/>
          <w:numId w:val="40"/>
        </w:numPr>
        <w:tabs>
          <w:tab w:val="left" w:pos="848"/>
          <w:tab w:val="left" w:pos="849"/>
        </w:tabs>
        <w:spacing w:before="196" w:after="0" w:line="362" w:lineRule="auto"/>
        <w:ind w:left="848" w:right="972" w:hanging="541"/>
        <w:jc w:val="left"/>
        <w:rPr>
          <w:rFonts w:ascii="Symbol" w:eastAsia="Symbol" w:hAnsi="Symbol"/>
          <w:sz w:val="30"/>
        </w:rPr>
      </w:pPr>
      <w:r>
        <w:rPr>
          <w:spacing w:val="-3"/>
          <w:sz w:val="36"/>
        </w:rPr>
        <w:t xml:space="preserve">再培训活动：通过“用户大会“形式，帕克集中对运行厂的主管人员提供一次 </w:t>
      </w:r>
      <w:r>
        <w:rPr>
          <w:sz w:val="36"/>
        </w:rPr>
        <w:t>2～3</w:t>
      </w:r>
      <w:r>
        <w:rPr>
          <w:spacing w:val="-45"/>
          <w:sz w:val="36"/>
        </w:rPr>
        <w:t xml:space="preserve"> 天免费的再培训活动。同时，通过用户间相互交流的方式，取长补短，全面提高各污水处</w:t>
      </w:r>
      <w:r>
        <w:rPr>
          <w:sz w:val="36"/>
        </w:rPr>
        <w:t>理厂运行人员的业务水平。</w:t>
      </w:r>
    </w:p>
    <w:p>
      <w:pPr>
        <w:pStyle w:val="ListParagraph"/>
        <w:numPr>
          <w:ilvl w:val="0"/>
          <w:numId w:val="40"/>
        </w:numPr>
        <w:tabs>
          <w:tab w:val="left" w:pos="848"/>
          <w:tab w:val="left" w:pos="849"/>
        </w:tabs>
        <w:spacing w:before="181" w:after="0" w:line="357" w:lineRule="auto"/>
        <w:ind w:left="848" w:right="971" w:hanging="541"/>
        <w:jc w:val="left"/>
        <w:rPr>
          <w:rFonts w:ascii="Symbol" w:eastAsia="Symbol" w:hAnsi="Symbol"/>
          <w:sz w:val="30"/>
        </w:rPr>
      </w:pPr>
      <w:r>
        <w:rPr>
          <w:spacing w:val="-7"/>
          <w:sz w:val="36"/>
        </w:rPr>
        <w:t xml:space="preserve">故障处理系统：帕克公司有着 </w:t>
      </w:r>
      <w:r>
        <w:rPr>
          <w:sz w:val="36"/>
        </w:rPr>
        <w:t>400</w:t>
      </w:r>
      <w:r>
        <w:rPr>
          <w:spacing w:val="-11"/>
          <w:sz w:val="36"/>
        </w:rPr>
        <w:t xml:space="preserve"> 多家厌氧废水处理厂的运行经验，对运行中的故障处</w:t>
      </w:r>
      <w:r>
        <w:rPr>
          <w:sz w:val="36"/>
        </w:rPr>
        <w:t>理有丰富的经验，可通过电话或传真为客户提供迅捷的“热线服务”。</w:t>
      </w:r>
    </w:p>
    <w:p>
      <w:pPr>
        <w:pStyle w:val="ListParagraph"/>
        <w:numPr>
          <w:ilvl w:val="0"/>
          <w:numId w:val="40"/>
        </w:numPr>
        <w:tabs>
          <w:tab w:val="left" w:pos="849"/>
        </w:tabs>
        <w:spacing w:before="196" w:after="0" w:line="362" w:lineRule="auto"/>
        <w:ind w:left="848" w:right="972" w:hanging="541"/>
        <w:jc w:val="both"/>
        <w:rPr>
          <w:rFonts w:ascii="Symbol" w:eastAsia="Symbol" w:hAnsi="Symbol"/>
          <w:sz w:val="30"/>
        </w:rPr>
      </w:pPr>
      <w:r>
        <w:rPr>
          <w:spacing w:val="-1"/>
          <w:sz w:val="36"/>
        </w:rPr>
        <w:t xml:space="preserve">技术服务：由高品质的专业技术人员，随时给出对治理技术和工艺本质的分析，以保证运行厂总处在最佳的状态。同时，帕克公司还具有精通发酵和生化等技术的专业人才， </w:t>
      </w:r>
      <w:r>
        <w:rPr>
          <w:sz w:val="36"/>
        </w:rPr>
        <w:t>技术服务组可以给出用户最快，最准确的适合清洁生产的技术咨询。</w:t>
      </w:r>
    </w:p>
    <w:p>
      <w:pPr>
        <w:pStyle w:val="BodyText"/>
        <w:spacing w:before="92" w:line="364" w:lineRule="auto"/>
        <w:ind w:left="308" w:right="842" w:firstLine="670"/>
      </w:pPr>
      <w:r>
        <w:t>根据我们的经验，供应商完备的、专业化的技术服务是使用户成功运行厌氧反应装置的必要保障，帕克公司能很好地提供这一条件。</w:t>
      </w:r>
    </w:p>
    <w:p>
      <w:pPr>
        <w:pStyle w:val="BodyText"/>
        <w:spacing w:before="2"/>
        <w:rPr>
          <w:sz w:val="27"/>
        </w:rPr>
      </w:pPr>
    </w:p>
    <w:p>
      <w:pPr>
        <w:pStyle w:val="Heading1"/>
        <w:numPr>
          <w:ilvl w:val="1"/>
          <w:numId w:val="49"/>
        </w:numPr>
        <w:tabs>
          <w:tab w:val="left" w:pos="1582"/>
          <w:tab w:val="left" w:pos="1583"/>
        </w:tabs>
        <w:spacing w:before="1" w:after="0" w:line="240" w:lineRule="auto"/>
        <w:ind w:left="1583" w:right="0" w:hanging="1279"/>
        <w:jc w:val="left"/>
      </w:pPr>
      <w:r>
        <w:t>合适的厌氧和好氧工艺的选择</w:t>
      </w:r>
    </w:p>
    <w:p>
      <w:pPr>
        <w:pStyle w:val="BodyText"/>
        <w:rPr>
          <w:b/>
          <w:sz w:val="20"/>
        </w:rPr>
      </w:pPr>
    </w:p>
    <w:p>
      <w:pPr>
        <w:pStyle w:val="BodyText"/>
        <w:spacing w:before="12"/>
        <w:rPr>
          <w:b/>
          <w:sz w:val="19"/>
        </w:rPr>
      </w:pPr>
    </w:p>
    <w:p>
      <w:pPr>
        <w:spacing w:after="0"/>
        <w:rPr>
          <w:sz w:val="19"/>
        </w:rPr>
        <w:sectPr>
          <w:pgSz w:w="17870" w:h="25260"/>
          <w:pgMar w:top="1820" w:right="940" w:bottom="280" w:left="1420" w:header="708" w:footer="708"/>
          <w:pgNumType w:start="23"/>
          <w:cols w:space="708"/>
        </w:sectPr>
      </w:pPr>
    </w:p>
    <w:p>
      <w:pPr>
        <w:pStyle w:val="BodyText"/>
        <w:spacing w:before="50" w:line="364" w:lineRule="auto"/>
        <w:ind w:left="308" w:firstLine="670"/>
      </w:pPr>
      <w:r>
        <w:rPr>
          <w:spacing w:val="-3"/>
        </w:rPr>
        <w:t xml:space="preserve">本部分分析和比较了制浆造纸行业可用的厌氧和好氧工艺技术, 结论是 </w:t>
      </w:r>
      <w:r>
        <w:rPr>
          <w:spacing w:val="-4"/>
        </w:rPr>
        <w:t xml:space="preserve">BIOPAQ </w:t>
      </w:r>
      <w:r>
        <w:t>应器和活性污泥 系统结合是最为合适的组合。</w:t>
      </w:r>
    </w:p>
    <w:p>
      <w:pPr>
        <w:pStyle w:val="BodyText"/>
        <w:spacing w:before="50"/>
        <w:ind w:left="307"/>
      </w:pPr>
      <w:r>
        <w:br w:type="column"/>
      </w:r>
      <w:r>
        <w:t>IC 反</w:t>
      </w:r>
    </w:p>
    <w:p>
      <w:pPr>
        <w:spacing w:after="0"/>
        <w:sectPr>
          <w:type w:val="continuous"/>
          <w:pgSz w:w="17870" w:h="25260"/>
          <w:pgMar w:top="1720" w:right="940" w:bottom="280" w:left="1420" w:header="708" w:footer="708"/>
          <w:pgNumType w:start="24"/>
          <w:cols w:num="2" w:space="708" w:equalWidth="0">
            <w:col w:w="13311" w:space="51"/>
            <w:col w:w="2148" w:space="0"/>
          </w:cols>
        </w:sectPr>
      </w:pPr>
    </w:p>
    <w:p>
      <w:pPr>
        <w:pStyle w:val="Heading2"/>
        <w:numPr>
          <w:ilvl w:val="2"/>
          <w:numId w:val="44"/>
        </w:numPr>
        <w:tabs>
          <w:tab w:val="left" w:pos="1568"/>
        </w:tabs>
        <w:spacing w:before="16" w:after="0" w:line="240" w:lineRule="auto"/>
        <w:ind w:left="1568" w:right="0" w:hanging="1264"/>
        <w:jc w:val="left"/>
      </w:pPr>
      <w:r>
        <w:t>IC</w:t>
      </w:r>
      <w:r>
        <w:rPr>
          <w:spacing w:val="-10"/>
        </w:rPr>
        <w:t xml:space="preserve"> 反应器运行机理的描述</w:t>
      </w:r>
    </w:p>
    <w:p>
      <w:pPr>
        <w:pStyle w:val="BodyText"/>
        <w:rPr>
          <w:b/>
          <w:sz w:val="42"/>
        </w:rPr>
      </w:pPr>
    </w:p>
    <w:p>
      <w:pPr>
        <w:pStyle w:val="BodyText"/>
        <w:spacing w:before="5"/>
        <w:rPr>
          <w:b/>
          <w:sz w:val="34"/>
        </w:rPr>
      </w:pPr>
    </w:p>
    <w:p>
      <w:pPr>
        <w:pStyle w:val="BodyText"/>
        <w:spacing w:line="364" w:lineRule="auto"/>
        <w:ind w:left="308" w:right="931" w:firstLine="670"/>
      </w:pPr>
      <w:r>
        <w:rPr>
          <w:spacing w:val="-13"/>
        </w:rPr>
        <w:t xml:space="preserve">通过以下针对 </w:t>
      </w:r>
      <w:r>
        <w:t>BIOPAQ IC</w:t>
      </w:r>
      <w:r>
        <w:rPr>
          <w:spacing w:val="-6"/>
        </w:rPr>
        <w:t xml:space="preserve"> 反应器详细的介绍，可以了解到 </w:t>
      </w:r>
      <w:r>
        <w:t>IC</w:t>
      </w:r>
      <w:r>
        <w:rPr>
          <w:spacing w:val="-11"/>
        </w:rPr>
        <w:t xml:space="preserve"> 内循环厌氧反应器的各项</w:t>
      </w:r>
      <w:r>
        <w:t>优点。</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spacing w:after="0"/>
        <w:rPr>
          <w:sz w:val="20"/>
        </w:rPr>
        <w:sectPr>
          <w:pgSz w:w="17870" w:h="25260"/>
          <w:pgMar w:top="1780" w:right="940" w:bottom="280" w:left="1420" w:header="708" w:footer="708"/>
          <w:pgNumType w:start="25"/>
          <w:cols w:space="708"/>
        </w:sectPr>
      </w:pPr>
    </w:p>
    <w:p>
      <w:pPr>
        <w:pStyle w:val="BodyText"/>
        <w:rPr>
          <w:sz w:val="30"/>
        </w:rPr>
      </w:pPr>
    </w:p>
    <w:p>
      <w:pPr>
        <w:pStyle w:val="BodyText"/>
        <w:spacing w:before="7"/>
        <w:rPr>
          <w:sz w:val="23"/>
        </w:rPr>
      </w:pPr>
    </w:p>
    <w:p>
      <w:pPr>
        <w:spacing w:before="1"/>
        <w:ind w:left="0" w:right="38" w:firstLine="0"/>
        <w:jc w:val="right"/>
        <w:rPr>
          <w:rFonts w:ascii="宋体" w:eastAsia="宋体" w:hint="eastAsia"/>
          <w:sz w:val="24"/>
        </w:rPr>
      </w:pPr>
      <w:r>
        <w:rPr>
          <w:rFonts w:ascii="Tahoma" w:eastAsia="Tahoma"/>
          <w:w w:val="105"/>
          <w:sz w:val="24"/>
        </w:rPr>
        <w:t xml:space="preserve">(9) </w:t>
      </w:r>
      <w:r>
        <w:rPr>
          <w:rFonts w:ascii="宋体" w:eastAsia="宋体" w:hint="eastAsia"/>
          <w:w w:val="105"/>
          <w:sz w:val="24"/>
        </w:rPr>
        <w:t>集气管</w:t>
      </w:r>
    </w:p>
    <w:p>
      <w:pPr>
        <w:pStyle w:val="ListParagraph"/>
        <w:numPr>
          <w:ilvl w:val="0"/>
          <w:numId w:val="39"/>
        </w:numPr>
        <w:tabs>
          <w:tab w:val="left" w:pos="699"/>
          <w:tab w:val="left" w:pos="700"/>
        </w:tabs>
        <w:spacing w:before="159" w:after="0" w:line="240" w:lineRule="auto"/>
        <w:ind w:left="4532" w:right="107" w:hanging="4533"/>
        <w:jc w:val="right"/>
        <w:rPr>
          <w:rFonts w:ascii="宋体" w:eastAsia="宋体" w:hint="eastAsia"/>
          <w:sz w:val="24"/>
        </w:rPr>
      </w:pPr>
      <w:r>
        <w:rPr>
          <w:rFonts w:ascii="宋体" w:eastAsia="宋体" w:hint="eastAsia"/>
          <w:sz w:val="24"/>
        </w:rPr>
        <w:t>出水</w:t>
      </w:r>
    </w:p>
    <w:p>
      <w:pPr>
        <w:pStyle w:val="ListParagraph"/>
        <w:numPr>
          <w:ilvl w:val="0"/>
          <w:numId w:val="39"/>
        </w:numPr>
        <w:tabs>
          <w:tab w:val="left" w:pos="5111"/>
          <w:tab w:val="left" w:pos="5112"/>
        </w:tabs>
        <w:spacing w:before="264" w:after="0" w:line="240" w:lineRule="auto"/>
        <w:ind w:left="5112" w:right="0" w:hanging="699"/>
        <w:jc w:val="left"/>
        <w:rPr>
          <w:rFonts w:ascii="宋体" w:eastAsia="宋体" w:hint="eastAsia"/>
          <w:sz w:val="24"/>
        </w:rPr>
      </w:pPr>
      <w:r>
        <w:rPr>
          <w:rFonts w:ascii="宋体" w:eastAsia="宋体" w:hint="eastAsia"/>
          <w:w w:val="102"/>
          <w:sz w:val="24"/>
        </w:rPr>
        <w:br w:type="column"/>
      </w:r>
      <w:r>
        <w:rPr>
          <w:rFonts w:ascii="宋体" w:eastAsia="宋体" w:hint="eastAsia"/>
          <w:w w:val="105"/>
          <w:sz w:val="24"/>
        </w:rPr>
        <w:t>沼气收集</w:t>
      </w:r>
    </w:p>
    <w:p>
      <w:pPr>
        <w:pStyle w:val="ListParagraph"/>
        <w:numPr>
          <w:ilvl w:val="0"/>
          <w:numId w:val="38"/>
        </w:numPr>
        <w:tabs>
          <w:tab w:val="left" w:pos="4532"/>
          <w:tab w:val="left" w:pos="4533"/>
        </w:tabs>
        <w:spacing w:before="152" w:after="0" w:line="240" w:lineRule="auto"/>
        <w:ind w:left="4532" w:right="0" w:hanging="700"/>
        <w:jc w:val="left"/>
        <w:rPr>
          <w:rFonts w:ascii="宋体" w:eastAsia="宋体" w:hint="eastAsia"/>
          <w:sz w:val="24"/>
        </w:rPr>
      </w:pPr>
      <w:r>
        <w:drawing>
          <wp:anchor distT="0" distB="0" distL="0" distR="0" simplePos="0" relativeHeight="251685888" behindDoc="1" locked="0" layoutInCell="1" allowOverlap="1">
            <wp:simplePos x="0" y="0"/>
            <wp:positionH relativeFrom="page">
              <wp:posOffset>3924300</wp:posOffset>
            </wp:positionH>
            <wp:positionV relativeFrom="paragraph">
              <wp:posOffset>-443536</wp:posOffset>
            </wp:positionV>
            <wp:extent cx="3378200" cy="5384800"/>
            <wp:effectExtent l="0" t="0" r="0" b="0"/>
            <wp:wrapNone/>
            <wp:docPr id="15"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4.png"/>
                    <pic:cNvPicPr/>
                  </pic:nvPicPr>
                  <pic:blipFill>
                    <a:blip xmlns:r="http://schemas.openxmlformats.org/officeDocument/2006/relationships" r:embed="rId17" cstate="print"/>
                    <a:stretch>
                      <a:fillRect/>
                    </a:stretch>
                  </pic:blipFill>
                  <pic:spPr>
                    <a:xfrm>
                      <a:off x="0" y="0"/>
                      <a:ext cx="3378200" cy="5384800"/>
                    </a:xfrm>
                    <a:prstGeom prst="rect">
                      <a:avLst/>
                    </a:prstGeom>
                  </pic:spPr>
                </pic:pic>
              </a:graphicData>
            </a:graphic>
          </wp:anchor>
        </w:drawing>
      </w:r>
      <w:r>
        <w:rPr>
          <w:rFonts w:ascii="宋体" w:eastAsia="宋体" w:hint="eastAsia"/>
          <w:w w:val="105"/>
          <w:sz w:val="24"/>
        </w:rPr>
        <w:t>旋流气液分离器</w:t>
      </w:r>
    </w:p>
    <w:p>
      <w:pPr>
        <w:spacing w:after="0" w:line="240" w:lineRule="auto"/>
        <w:jc w:val="left"/>
        <w:rPr>
          <w:rFonts w:ascii="宋体" w:eastAsia="宋体" w:hint="eastAsia"/>
          <w:sz w:val="24"/>
        </w:rPr>
        <w:sectPr>
          <w:type w:val="continuous"/>
          <w:pgSz w:w="17870" w:h="25260"/>
          <w:pgMar w:top="1720" w:right="940" w:bottom="280" w:left="1420" w:header="708" w:footer="708"/>
          <w:pgNumType w:start="26"/>
          <w:cols w:num="2" w:space="708" w:equalWidth="0">
            <w:col w:w="5137" w:space="92"/>
            <w:col w:w="10281" w:space="0"/>
          </w:cols>
        </w:sect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spacing w:before="6"/>
        <w:rPr>
          <w:rFonts w:ascii="宋体"/>
          <w:sz w:val="26"/>
        </w:rPr>
      </w:pPr>
    </w:p>
    <w:p>
      <w:pPr>
        <w:spacing w:after="0"/>
        <w:rPr>
          <w:rFonts w:ascii="宋体"/>
          <w:sz w:val="26"/>
        </w:rPr>
        <w:sectPr>
          <w:type w:val="continuous"/>
          <w:pgSz w:w="17870" w:h="25260"/>
          <w:pgMar w:top="1720" w:right="940" w:bottom="280" w:left="1420" w:header="708" w:footer="708"/>
          <w:pgNumType w:start="27"/>
          <w:cols w:space="708"/>
        </w:sectPr>
      </w:pPr>
    </w:p>
    <w:p>
      <w:pPr>
        <w:pStyle w:val="BodyText"/>
        <w:spacing w:before="1"/>
        <w:rPr>
          <w:rFonts w:ascii="宋体"/>
          <w:sz w:val="43"/>
        </w:rPr>
      </w:pPr>
    </w:p>
    <w:p>
      <w:pPr>
        <w:pStyle w:val="ListParagraph"/>
        <w:numPr>
          <w:ilvl w:val="0"/>
          <w:numId w:val="38"/>
        </w:numPr>
        <w:tabs>
          <w:tab w:val="left" w:pos="699"/>
          <w:tab w:val="left" w:pos="700"/>
        </w:tabs>
        <w:spacing w:before="0" w:after="0" w:line="240" w:lineRule="auto"/>
        <w:ind w:left="4532" w:right="38" w:hanging="4533"/>
        <w:jc w:val="right"/>
        <w:rPr>
          <w:rFonts w:ascii="宋体" w:eastAsia="宋体" w:hint="eastAsia"/>
          <w:sz w:val="24"/>
        </w:rPr>
      </w:pPr>
      <w:r>
        <w:rPr>
          <w:rFonts w:ascii="宋体" w:eastAsia="宋体" w:hint="eastAsia"/>
          <w:sz w:val="24"/>
        </w:rPr>
        <w:t>下降管</w:t>
      </w:r>
    </w:p>
    <w:p>
      <w:pPr>
        <w:spacing w:before="107"/>
        <w:ind w:left="3833" w:right="0" w:firstLine="0"/>
        <w:jc w:val="left"/>
        <w:rPr>
          <w:rFonts w:ascii="宋体" w:eastAsia="宋体" w:hint="eastAsia"/>
          <w:sz w:val="24"/>
        </w:rPr>
      </w:pPr>
      <w:r>
        <w:br w:type="column"/>
      </w:r>
      <w:r>
        <w:rPr>
          <w:rFonts w:ascii="Tahoma" w:eastAsia="Tahoma"/>
          <w:w w:val="105"/>
          <w:sz w:val="24"/>
        </w:rPr>
        <w:t>(8</w:t>
      </w:r>
      <w:r>
        <w:rPr>
          <w:rFonts w:ascii="Tahoma" w:eastAsia="Tahoma"/>
          <w:spacing w:val="37"/>
          <w:w w:val="105"/>
          <w:sz w:val="24"/>
        </w:rPr>
        <w:t xml:space="preserve">) </w:t>
      </w:r>
      <w:r>
        <w:rPr>
          <w:rFonts w:ascii="宋体" w:eastAsia="宋体" w:hint="eastAsia"/>
          <w:w w:val="105"/>
          <w:sz w:val="24"/>
        </w:rPr>
        <w:t>二级三相分离器</w:t>
      </w:r>
    </w:p>
    <w:p>
      <w:pPr>
        <w:pStyle w:val="BodyText"/>
        <w:rPr>
          <w:rFonts w:ascii="宋体"/>
          <w:sz w:val="30"/>
        </w:rPr>
      </w:pPr>
    </w:p>
    <w:p>
      <w:pPr>
        <w:pStyle w:val="BodyText"/>
        <w:rPr>
          <w:rFonts w:ascii="宋体"/>
          <w:sz w:val="27"/>
        </w:rPr>
      </w:pPr>
    </w:p>
    <w:p>
      <w:pPr>
        <w:spacing w:before="0"/>
        <w:ind w:left="3833" w:right="0" w:firstLine="0"/>
        <w:jc w:val="left"/>
        <w:rPr>
          <w:rFonts w:ascii="宋体" w:eastAsia="宋体" w:hint="eastAsia"/>
          <w:sz w:val="24"/>
        </w:rPr>
      </w:pPr>
      <w:r>
        <w:rPr>
          <w:rFonts w:ascii="Tahoma" w:eastAsia="Tahoma"/>
          <w:w w:val="105"/>
          <w:sz w:val="24"/>
        </w:rPr>
        <w:t>(7</w:t>
      </w:r>
      <w:r>
        <w:rPr>
          <w:rFonts w:ascii="Tahoma" w:eastAsia="Tahoma"/>
          <w:spacing w:val="37"/>
          <w:w w:val="105"/>
          <w:sz w:val="24"/>
        </w:rPr>
        <w:t xml:space="preserve">) </w:t>
      </w:r>
      <w:r>
        <w:rPr>
          <w:rFonts w:ascii="宋体" w:eastAsia="宋体" w:hint="eastAsia"/>
          <w:w w:val="105"/>
          <w:sz w:val="24"/>
        </w:rPr>
        <w:t>深度净化反应室</w:t>
      </w:r>
    </w:p>
    <w:p>
      <w:pPr>
        <w:spacing w:before="4"/>
        <w:ind w:left="3833" w:right="0" w:firstLine="0"/>
        <w:jc w:val="left"/>
        <w:rPr>
          <w:rFonts w:ascii="宋体" w:eastAsia="宋体" w:hint="eastAsia"/>
          <w:sz w:val="24"/>
        </w:rPr>
      </w:pPr>
      <w:r>
        <w:rPr>
          <w:rFonts w:ascii="Tahoma" w:eastAsia="Tahoma"/>
          <w:w w:val="105"/>
          <w:sz w:val="24"/>
        </w:rPr>
        <w:t xml:space="preserve">(6) </w:t>
      </w:r>
      <w:r>
        <w:rPr>
          <w:rFonts w:ascii="宋体" w:eastAsia="宋体" w:hint="eastAsia"/>
          <w:w w:val="105"/>
          <w:sz w:val="24"/>
        </w:rPr>
        <w:t>上升管</w:t>
      </w:r>
    </w:p>
    <w:p>
      <w:pPr>
        <w:spacing w:before="137"/>
        <w:ind w:left="3833" w:right="0" w:firstLine="0"/>
        <w:jc w:val="left"/>
        <w:rPr>
          <w:rFonts w:ascii="宋体" w:eastAsia="宋体" w:hint="eastAsia"/>
          <w:sz w:val="24"/>
        </w:rPr>
      </w:pPr>
      <w:r>
        <w:rPr>
          <w:rFonts w:ascii="Tahoma" w:eastAsia="Tahoma"/>
          <w:w w:val="105"/>
          <w:sz w:val="24"/>
        </w:rPr>
        <w:t xml:space="preserve">(5) </w:t>
      </w:r>
      <w:r>
        <w:rPr>
          <w:rFonts w:ascii="宋体" w:eastAsia="宋体" w:hint="eastAsia"/>
          <w:w w:val="105"/>
          <w:sz w:val="24"/>
        </w:rPr>
        <w:t>沼气气提</w:t>
      </w:r>
    </w:p>
    <w:p>
      <w:pPr>
        <w:pStyle w:val="BodyText"/>
        <w:rPr>
          <w:rFonts w:ascii="宋体"/>
          <w:sz w:val="30"/>
        </w:rPr>
      </w:pPr>
    </w:p>
    <w:p>
      <w:pPr>
        <w:pStyle w:val="BodyText"/>
        <w:rPr>
          <w:rFonts w:ascii="宋体"/>
          <w:sz w:val="30"/>
        </w:rPr>
      </w:pPr>
    </w:p>
    <w:p>
      <w:pPr>
        <w:pStyle w:val="BodyText"/>
        <w:spacing w:before="1"/>
        <w:rPr>
          <w:rFonts w:ascii="宋体"/>
          <w:sz w:val="42"/>
        </w:rPr>
      </w:pPr>
    </w:p>
    <w:p>
      <w:pPr>
        <w:spacing w:before="0"/>
        <w:ind w:left="3833" w:right="0" w:firstLine="0"/>
        <w:jc w:val="left"/>
        <w:rPr>
          <w:rFonts w:ascii="宋体" w:eastAsia="宋体" w:hint="eastAsia"/>
          <w:sz w:val="24"/>
        </w:rPr>
      </w:pPr>
      <w:r>
        <w:rPr>
          <w:rFonts w:ascii="Tahoma" w:eastAsia="Tahoma"/>
          <w:w w:val="105"/>
          <w:sz w:val="24"/>
        </w:rPr>
        <w:t xml:space="preserve">(4) </w:t>
      </w:r>
      <w:r>
        <w:rPr>
          <w:rFonts w:ascii="宋体" w:eastAsia="宋体" w:hint="eastAsia"/>
          <w:w w:val="105"/>
          <w:sz w:val="24"/>
        </w:rPr>
        <w:t>一级三相分离器</w:t>
      </w:r>
    </w:p>
    <w:p>
      <w:pPr>
        <w:pStyle w:val="ListParagraph"/>
        <w:numPr>
          <w:ilvl w:val="0"/>
          <w:numId w:val="37"/>
        </w:numPr>
        <w:tabs>
          <w:tab w:val="left" w:pos="4366"/>
        </w:tabs>
        <w:spacing w:before="216" w:after="0" w:line="240" w:lineRule="auto"/>
        <w:ind w:left="4365" w:right="0" w:hanging="523"/>
        <w:jc w:val="left"/>
        <w:rPr>
          <w:rFonts w:ascii="宋体" w:eastAsia="宋体" w:hint="eastAsia"/>
          <w:sz w:val="24"/>
        </w:rPr>
      </w:pPr>
      <w:r>
        <w:rPr>
          <w:rFonts w:ascii="宋体" w:eastAsia="宋体" w:hint="eastAsia"/>
          <w:w w:val="105"/>
          <w:sz w:val="24"/>
        </w:rPr>
        <w:t>流化床反应室</w:t>
      </w:r>
    </w:p>
    <w:p>
      <w:pPr>
        <w:spacing w:after="0" w:line="240" w:lineRule="auto"/>
        <w:jc w:val="left"/>
        <w:rPr>
          <w:rFonts w:ascii="宋体" w:eastAsia="宋体" w:hint="eastAsia"/>
          <w:sz w:val="24"/>
        </w:rPr>
        <w:sectPr>
          <w:type w:val="continuous"/>
          <w:pgSz w:w="17870" w:h="25260"/>
          <w:pgMar w:top="1720" w:right="940" w:bottom="280" w:left="1420" w:header="708" w:footer="708"/>
          <w:pgNumType w:start="28"/>
          <w:cols w:num="2" w:space="708" w:equalWidth="0">
            <w:col w:w="5314" w:space="871"/>
            <w:col w:w="9325" w:space="0"/>
          </w:cols>
        </w:sectPr>
      </w:pPr>
    </w:p>
    <w:p>
      <w:pPr>
        <w:pStyle w:val="BodyText"/>
        <w:spacing w:before="4"/>
        <w:rPr>
          <w:rFonts w:ascii="宋体"/>
          <w:sz w:val="19"/>
        </w:rPr>
      </w:pPr>
    </w:p>
    <w:p>
      <w:pPr>
        <w:pStyle w:val="ListParagraph"/>
        <w:numPr>
          <w:ilvl w:val="1"/>
          <w:numId w:val="37"/>
        </w:numPr>
        <w:tabs>
          <w:tab w:val="left" w:pos="4549"/>
        </w:tabs>
        <w:spacing w:before="107" w:after="0" w:line="240" w:lineRule="auto"/>
        <w:ind w:left="4548" w:right="0" w:hanging="523"/>
        <w:jc w:val="left"/>
        <w:rPr>
          <w:rFonts w:ascii="宋体" w:eastAsia="宋体" w:hint="eastAsia"/>
          <w:sz w:val="24"/>
        </w:rPr>
      </w:pPr>
      <w:r>
        <w:rPr>
          <w:rFonts w:ascii="宋体" w:eastAsia="宋体" w:hint="eastAsia"/>
          <w:w w:val="105"/>
          <w:sz w:val="24"/>
        </w:rPr>
        <w:t>进水</w:t>
      </w:r>
    </w:p>
    <w:p>
      <w:pPr>
        <w:pStyle w:val="ListParagraph"/>
        <w:numPr>
          <w:ilvl w:val="1"/>
          <w:numId w:val="37"/>
        </w:numPr>
        <w:tabs>
          <w:tab w:val="left" w:pos="10541"/>
        </w:tabs>
        <w:spacing w:before="4" w:after="0" w:line="240" w:lineRule="auto"/>
        <w:ind w:left="10540" w:right="0" w:hanging="523"/>
        <w:jc w:val="left"/>
        <w:rPr>
          <w:rFonts w:ascii="宋体" w:eastAsia="宋体" w:hint="eastAsia"/>
          <w:sz w:val="24"/>
        </w:rPr>
      </w:pPr>
      <w:r>
        <w:rPr>
          <w:rFonts w:ascii="宋体" w:eastAsia="宋体" w:hint="eastAsia"/>
          <w:w w:val="105"/>
          <w:sz w:val="24"/>
        </w:rPr>
        <w:t>布水器</w:t>
      </w: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4"/>
        </w:rPr>
      </w:pPr>
    </w:p>
    <w:p>
      <w:pPr>
        <w:pStyle w:val="BodyText"/>
        <w:spacing w:before="49"/>
        <w:ind w:left="978"/>
      </w:pPr>
      <w:r>
        <w:t>进水（1）经过布水器（2）输入反应器，与下降管（11）循环来的污泥和水均匀混和</w:t>
      </w:r>
    </w:p>
    <w:p>
      <w:pPr>
        <w:pStyle w:val="BodyText"/>
        <w:spacing w:before="242" w:line="364" w:lineRule="auto"/>
        <w:ind w:left="308" w:right="610"/>
      </w:pPr>
      <w:r>
        <w:t>后，进入第一个反应区，即流化床反应室（3）</w:t>
      </w:r>
      <w:r>
        <w:rPr>
          <w:spacing w:val="-10"/>
        </w:rPr>
        <w:t xml:space="preserve">。在那里，大部分 </w:t>
      </w:r>
      <w:r>
        <w:t>COD</w:t>
      </w:r>
      <w:r>
        <w:rPr>
          <w:spacing w:val="-12"/>
        </w:rPr>
        <w:t xml:space="preserve"> 被降解为沼气，在这个</w:t>
      </w:r>
      <w:r>
        <w:t>反应区产生的沼气由一级三相分离器（</w:t>
      </w:r>
      <w:r>
        <w:rPr>
          <w:spacing w:val="-118"/>
        </w:rPr>
        <w:t xml:space="preserve"> </w:t>
      </w:r>
      <w:r>
        <w:t>4）收集和分离，并产生气体提升（</w:t>
      </w:r>
      <w:r>
        <w:rPr>
          <w:spacing w:val="-124"/>
        </w:rPr>
        <w:t xml:space="preserve"> </w:t>
      </w:r>
      <w:r>
        <w:t>5）。气体被提升的同时，带动水和污泥作向上运动，经过“上升”管（6）达到位于反应器顶部的气体/液体分离器（10），在这里沼气从水和污泥中分离，离开整个反应器（13）。</w:t>
      </w:r>
    </w:p>
    <w:p>
      <w:pPr>
        <w:pStyle w:val="BodyText"/>
        <w:spacing w:before="184" w:line="364" w:lineRule="auto"/>
        <w:ind w:left="308" w:right="550" w:firstLine="670"/>
        <w:jc w:val="both"/>
      </w:pPr>
      <w:r>
        <w:t>水和污泥混和经过同心的“下降”管</w:t>
      </w:r>
      <w:r>
        <w:rPr>
          <w:spacing w:val="-18"/>
        </w:rPr>
        <w:t>（11）</w:t>
      </w:r>
      <w:r>
        <w:rPr>
          <w:spacing w:val="-1"/>
        </w:rPr>
        <w:t>直接滑落到反应器底部形成内部循环流。第一</w:t>
      </w:r>
      <w:r>
        <w:t>级反应区的出水在第二阶段低负荷后处理区（7）内被深度处理，在那里剩余的可厌氧生物降</w:t>
      </w:r>
      <w:r>
        <w:rPr>
          <w:spacing w:val="-30"/>
        </w:rPr>
        <w:t xml:space="preserve">解的 </w:t>
      </w:r>
      <w:r>
        <w:t>COD</w:t>
      </w:r>
      <w:r>
        <w:rPr>
          <w:spacing w:val="-10"/>
        </w:rPr>
        <w:t xml:space="preserve"> 被去除，在上层分离区产生的沼气被顶部的二级三相分离器</w:t>
      </w:r>
      <w:r>
        <w:t>（8）收集，并由“集气</w:t>
      </w:r>
      <w:r>
        <w:rPr>
          <w:spacing w:val="-3"/>
        </w:rPr>
        <w:t>管”</w:t>
      </w:r>
      <w:r>
        <w:rPr>
          <w:spacing w:val="-6"/>
        </w:rPr>
        <w:t>（9），</w:t>
      </w:r>
      <w:r>
        <w:rPr>
          <w:spacing w:val="-9"/>
        </w:rPr>
        <w:t>输送到顶部旋流式气体</w:t>
      </w:r>
      <w:r>
        <w:rPr>
          <w:spacing w:val="-7"/>
        </w:rPr>
        <w:t>/</w:t>
      </w:r>
      <w:r>
        <w:t>液体分离器</w:t>
      </w:r>
      <w:r>
        <w:rPr>
          <w:spacing w:val="-12"/>
        </w:rPr>
        <w:t>（10），</w:t>
      </w:r>
      <w:r>
        <w:t>实现沼气分离和收集。同时，厌氧出水（12）经过出水堰离开反应器自流进入后续处理中。</w:t>
      </w:r>
    </w:p>
    <w:p>
      <w:pPr>
        <w:spacing w:after="0" w:line="364" w:lineRule="auto"/>
        <w:jc w:val="both"/>
        <w:sectPr>
          <w:type w:val="continuous"/>
          <w:pgSz w:w="17870" w:h="25260"/>
          <w:pgMar w:top="1720" w:right="940" w:bottom="280" w:left="1420" w:header="708" w:footer="708"/>
          <w:pgNumType w:start="29"/>
          <w:cols w:space="708"/>
        </w:sectPr>
      </w:pPr>
    </w:p>
    <w:p>
      <w:pPr>
        <w:pStyle w:val="BodyText"/>
        <w:spacing w:before="24"/>
        <w:ind w:left="978"/>
      </w:pPr>
      <w:r>
        <w:t>IC 反应器把四个重要的工艺过程集合在同一个反应器内，这四个工艺过程是：</w:t>
      </w:r>
    </w:p>
    <w:p>
      <w:pPr>
        <w:pStyle w:val="BodyText"/>
        <w:spacing w:before="9"/>
        <w:rPr>
          <w:sz w:val="29"/>
        </w:rPr>
      </w:pPr>
    </w:p>
    <w:p>
      <w:pPr>
        <w:pStyle w:val="ListParagraph"/>
        <w:numPr>
          <w:ilvl w:val="3"/>
          <w:numId w:val="44"/>
        </w:numPr>
        <w:tabs>
          <w:tab w:val="left" w:pos="2122"/>
          <w:tab w:val="left" w:pos="2123"/>
        </w:tabs>
        <w:spacing w:before="100" w:after="0" w:line="240" w:lineRule="auto"/>
        <w:ind w:left="2123" w:right="0" w:hanging="1145"/>
        <w:jc w:val="left"/>
        <w:rPr>
          <w:sz w:val="36"/>
        </w:rPr>
      </w:pPr>
      <w:r>
        <w:drawing>
          <wp:anchor distT="0" distB="0" distL="0" distR="0" simplePos="0" relativeHeight="251686912" behindDoc="1" locked="0" layoutInCell="1" allowOverlap="1">
            <wp:simplePos x="0" y="0"/>
            <wp:positionH relativeFrom="page">
              <wp:posOffset>2247900</wp:posOffset>
            </wp:positionH>
            <wp:positionV relativeFrom="paragraph">
              <wp:posOffset>319870</wp:posOffset>
            </wp:positionV>
            <wp:extent cx="2540000" cy="38100"/>
            <wp:effectExtent l="0" t="0" r="0" b="0"/>
            <wp:wrapNone/>
            <wp:docPr id="17"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5.png"/>
                    <pic:cNvPicPr/>
                  </pic:nvPicPr>
                  <pic:blipFill>
                    <a:blip xmlns:r="http://schemas.openxmlformats.org/officeDocument/2006/relationships" r:embed="rId18" cstate="print"/>
                    <a:stretch>
                      <a:fillRect/>
                    </a:stretch>
                  </pic:blipFill>
                  <pic:spPr>
                    <a:xfrm>
                      <a:off x="0" y="0"/>
                      <a:ext cx="2540000" cy="38100"/>
                    </a:xfrm>
                    <a:prstGeom prst="rect">
                      <a:avLst/>
                    </a:prstGeom>
                  </pic:spPr>
                </pic:pic>
              </a:graphicData>
            </a:graphic>
          </wp:anchor>
        </w:drawing>
      </w:r>
      <w:r>
        <w:rPr>
          <w:sz w:val="36"/>
        </w:rPr>
        <w:t>进液和混合－布水系统；</w:t>
      </w:r>
    </w:p>
    <w:p>
      <w:pPr>
        <w:pStyle w:val="BodyText"/>
        <w:spacing w:before="6"/>
        <w:rPr>
          <w:sz w:val="37"/>
        </w:rPr>
      </w:pPr>
    </w:p>
    <w:p>
      <w:pPr>
        <w:pStyle w:val="ListParagraph"/>
        <w:numPr>
          <w:ilvl w:val="3"/>
          <w:numId w:val="44"/>
        </w:numPr>
        <w:tabs>
          <w:tab w:val="left" w:pos="2122"/>
          <w:tab w:val="left" w:pos="2123"/>
        </w:tabs>
        <w:spacing w:before="0" w:after="0" w:line="240" w:lineRule="auto"/>
        <w:ind w:left="2123" w:right="0" w:hanging="1145"/>
        <w:jc w:val="left"/>
        <w:rPr>
          <w:sz w:val="36"/>
        </w:rPr>
      </w:pPr>
      <w:r>
        <w:drawing>
          <wp:anchor distT="0" distB="0" distL="0" distR="0" simplePos="0" relativeHeight="251687936" behindDoc="1" locked="0" layoutInCell="1" allowOverlap="1">
            <wp:simplePos x="0" y="0"/>
            <wp:positionH relativeFrom="page">
              <wp:posOffset>2247900</wp:posOffset>
            </wp:positionH>
            <wp:positionV relativeFrom="paragraph">
              <wp:posOffset>257513</wp:posOffset>
            </wp:positionV>
            <wp:extent cx="1625600" cy="38100"/>
            <wp:effectExtent l="0" t="0" r="0" b="0"/>
            <wp:wrapNone/>
            <wp:docPr id="1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6.png"/>
                    <pic:cNvPicPr/>
                  </pic:nvPicPr>
                  <pic:blipFill>
                    <a:blip xmlns:r="http://schemas.openxmlformats.org/officeDocument/2006/relationships" r:embed="rId19" cstate="print"/>
                    <a:stretch>
                      <a:fillRect/>
                    </a:stretch>
                  </pic:blipFill>
                  <pic:spPr>
                    <a:xfrm>
                      <a:off x="0" y="0"/>
                      <a:ext cx="1625600" cy="38100"/>
                    </a:xfrm>
                    <a:prstGeom prst="rect">
                      <a:avLst/>
                    </a:prstGeom>
                  </pic:spPr>
                </pic:pic>
              </a:graphicData>
            </a:graphic>
          </wp:anchor>
        </w:drawing>
      </w:r>
      <w:r>
        <w:rPr>
          <w:sz w:val="36"/>
        </w:rPr>
        <w:t>流化床反应室；</w:t>
      </w:r>
    </w:p>
    <w:p>
      <w:pPr>
        <w:pStyle w:val="BodyText"/>
        <w:spacing w:before="5"/>
        <w:rPr>
          <w:sz w:val="37"/>
        </w:rPr>
      </w:pPr>
    </w:p>
    <w:p>
      <w:pPr>
        <w:pStyle w:val="ListParagraph"/>
        <w:numPr>
          <w:ilvl w:val="3"/>
          <w:numId w:val="44"/>
        </w:numPr>
        <w:tabs>
          <w:tab w:val="left" w:pos="2122"/>
          <w:tab w:val="left" w:pos="2123"/>
        </w:tabs>
        <w:spacing w:before="1" w:after="0" w:line="240" w:lineRule="auto"/>
        <w:ind w:left="2123" w:right="0" w:hanging="1145"/>
        <w:jc w:val="left"/>
        <w:rPr>
          <w:sz w:val="36"/>
        </w:rPr>
      </w:pPr>
      <w:r>
        <w:drawing>
          <wp:anchor distT="0" distB="0" distL="0" distR="0" simplePos="0" relativeHeight="251688960" behindDoc="1" locked="0" layoutInCell="1" allowOverlap="1">
            <wp:simplePos x="0" y="0"/>
            <wp:positionH relativeFrom="page">
              <wp:posOffset>2247900</wp:posOffset>
            </wp:positionH>
            <wp:positionV relativeFrom="paragraph">
              <wp:posOffset>265641</wp:posOffset>
            </wp:positionV>
            <wp:extent cx="1397000" cy="38100"/>
            <wp:effectExtent l="0" t="0" r="0" b="0"/>
            <wp:wrapNone/>
            <wp:docPr id="21"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7.png"/>
                    <pic:cNvPicPr/>
                  </pic:nvPicPr>
                  <pic:blipFill>
                    <a:blip xmlns:r="http://schemas.openxmlformats.org/officeDocument/2006/relationships" r:embed="rId20" cstate="print"/>
                    <a:stretch>
                      <a:fillRect/>
                    </a:stretch>
                  </pic:blipFill>
                  <pic:spPr>
                    <a:xfrm>
                      <a:off x="0" y="0"/>
                      <a:ext cx="1397000" cy="38100"/>
                    </a:xfrm>
                    <a:prstGeom prst="rect">
                      <a:avLst/>
                    </a:prstGeom>
                  </pic:spPr>
                </pic:pic>
              </a:graphicData>
            </a:graphic>
          </wp:anchor>
        </w:drawing>
      </w:r>
      <w:r>
        <w:rPr>
          <w:sz w:val="36"/>
        </w:rPr>
        <w:t>内循环系统；</w:t>
      </w:r>
    </w:p>
    <w:p>
      <w:pPr>
        <w:pStyle w:val="BodyText"/>
        <w:spacing w:before="5"/>
        <w:rPr>
          <w:sz w:val="37"/>
        </w:rPr>
      </w:pPr>
    </w:p>
    <w:p>
      <w:pPr>
        <w:pStyle w:val="ListParagraph"/>
        <w:numPr>
          <w:ilvl w:val="3"/>
          <w:numId w:val="44"/>
        </w:numPr>
        <w:tabs>
          <w:tab w:val="left" w:pos="2122"/>
          <w:tab w:val="left" w:pos="2123"/>
        </w:tabs>
        <w:spacing w:before="1" w:after="0" w:line="240" w:lineRule="auto"/>
        <w:ind w:left="2123" w:right="0" w:hanging="1145"/>
        <w:jc w:val="left"/>
        <w:rPr>
          <w:sz w:val="36"/>
        </w:rPr>
      </w:pPr>
      <w:r>
        <w:drawing>
          <wp:anchor distT="0" distB="0" distL="0" distR="0" simplePos="0" relativeHeight="251689984" behindDoc="1" locked="0" layoutInCell="1" allowOverlap="1">
            <wp:simplePos x="0" y="0"/>
            <wp:positionH relativeFrom="page">
              <wp:posOffset>2247900</wp:posOffset>
            </wp:positionH>
            <wp:positionV relativeFrom="paragraph">
              <wp:posOffset>263609</wp:posOffset>
            </wp:positionV>
            <wp:extent cx="1854200" cy="38100"/>
            <wp:effectExtent l="0" t="0" r="0" b="0"/>
            <wp:wrapNone/>
            <wp:docPr id="23"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8.png"/>
                    <pic:cNvPicPr/>
                  </pic:nvPicPr>
                  <pic:blipFill>
                    <a:blip xmlns:r="http://schemas.openxmlformats.org/officeDocument/2006/relationships" r:embed="rId21" cstate="print"/>
                    <a:stretch>
                      <a:fillRect/>
                    </a:stretch>
                  </pic:blipFill>
                  <pic:spPr>
                    <a:xfrm>
                      <a:off x="0" y="0"/>
                      <a:ext cx="1854200" cy="38100"/>
                    </a:xfrm>
                    <a:prstGeom prst="rect">
                      <a:avLst/>
                    </a:prstGeom>
                  </pic:spPr>
                </pic:pic>
              </a:graphicData>
            </a:graphic>
          </wp:anchor>
        </w:drawing>
      </w:r>
      <w:r>
        <w:rPr>
          <w:sz w:val="36"/>
        </w:rPr>
        <w:t>深度净化反应室。</w:t>
      </w:r>
    </w:p>
    <w:p>
      <w:pPr>
        <w:pStyle w:val="BodyText"/>
        <w:rPr>
          <w:sz w:val="29"/>
        </w:rPr>
      </w:pPr>
    </w:p>
    <w:p>
      <w:pPr>
        <w:pStyle w:val="BodyText"/>
        <w:spacing w:before="50" w:line="458" w:lineRule="auto"/>
        <w:ind w:left="978" w:right="10562"/>
      </w:pPr>
      <w:r>
        <w:drawing>
          <wp:anchor distT="0" distB="0" distL="0" distR="0" simplePos="0" relativeHeight="251691008" behindDoc="1" locked="0" layoutInCell="1" allowOverlap="1">
            <wp:simplePos x="0" y="0"/>
            <wp:positionH relativeFrom="page">
              <wp:posOffset>1511300</wp:posOffset>
            </wp:positionH>
            <wp:positionV relativeFrom="paragraph">
              <wp:posOffset>850518</wp:posOffset>
            </wp:positionV>
            <wp:extent cx="2197100" cy="38100"/>
            <wp:effectExtent l="0" t="0" r="0" b="0"/>
            <wp:wrapNone/>
            <wp:docPr id="25"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9.png"/>
                    <pic:cNvPicPr/>
                  </pic:nvPicPr>
                  <pic:blipFill>
                    <a:blip xmlns:r="http://schemas.openxmlformats.org/officeDocument/2006/relationships" r:embed="rId22" cstate="print"/>
                    <a:stretch>
                      <a:fillRect/>
                    </a:stretch>
                  </pic:blipFill>
                  <pic:spPr>
                    <a:xfrm>
                      <a:off x="0" y="0"/>
                      <a:ext cx="2197100" cy="38100"/>
                    </a:xfrm>
                    <a:prstGeom prst="rect">
                      <a:avLst/>
                    </a:prstGeom>
                  </pic:spPr>
                </pic:pic>
              </a:graphicData>
            </a:graphic>
          </wp:anchor>
        </w:drawing>
      </w:r>
      <w:r>
        <w:t>以下对各部分简要介绍。进液和混合-布水系统</w:t>
      </w:r>
    </w:p>
    <w:p>
      <w:pPr>
        <w:pStyle w:val="BodyText"/>
        <w:spacing w:before="2" w:line="364" w:lineRule="auto"/>
        <w:ind w:left="308" w:right="762" w:firstLine="670"/>
        <w:jc w:val="both"/>
      </w:pPr>
      <w:r>
        <w:t>废水通过布水系统泵入反应器内，布水系统使进液与从IC</w:t>
      </w:r>
      <w:r>
        <w:rPr>
          <w:spacing w:val="-12"/>
        </w:rPr>
        <w:t xml:space="preserve"> 反应器上部返回的循环水、反</w:t>
      </w:r>
      <w:r>
        <w:t>应器底部的污泥有效地混合，由此产生对进液的稀释和均质作用。为了进水能够均匀地进入IC</w:t>
      </w:r>
      <w:r>
        <w:rPr>
          <w:spacing w:val="-10"/>
        </w:rPr>
        <w:t xml:space="preserve"> 反应器的流化床反应室，布水系统采用了一个特别的罩子形状的结构设计。</w:t>
      </w:r>
    </w:p>
    <w:p>
      <w:pPr>
        <w:pStyle w:val="BodyText"/>
        <w:spacing w:before="182"/>
        <w:ind w:left="978"/>
      </w:pPr>
      <w:r>
        <w:drawing>
          <wp:anchor distT="0" distB="0" distL="0" distR="0" simplePos="0" relativeHeight="251692032" behindDoc="1" locked="0" layoutInCell="1" allowOverlap="1">
            <wp:simplePos x="0" y="0"/>
            <wp:positionH relativeFrom="page">
              <wp:posOffset>1511300</wp:posOffset>
            </wp:positionH>
            <wp:positionV relativeFrom="paragraph">
              <wp:posOffset>372363</wp:posOffset>
            </wp:positionV>
            <wp:extent cx="1397000" cy="38100"/>
            <wp:effectExtent l="0" t="0" r="0" b="0"/>
            <wp:wrapNone/>
            <wp:docPr id="2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0.png"/>
                    <pic:cNvPicPr/>
                  </pic:nvPicPr>
                  <pic:blipFill>
                    <a:blip xmlns:r="http://schemas.openxmlformats.org/officeDocument/2006/relationships" r:embed="rId23" cstate="print"/>
                    <a:stretch>
                      <a:fillRect/>
                    </a:stretch>
                  </pic:blipFill>
                  <pic:spPr>
                    <a:xfrm>
                      <a:off x="0" y="0"/>
                      <a:ext cx="1397000" cy="38100"/>
                    </a:xfrm>
                    <a:prstGeom prst="rect">
                      <a:avLst/>
                    </a:prstGeom>
                  </pic:spPr>
                </pic:pic>
              </a:graphicData>
            </a:graphic>
          </wp:anchor>
        </w:drawing>
      </w:r>
      <w:r>
        <w:t>流化床反应室</w:t>
      </w:r>
    </w:p>
    <w:p>
      <w:pPr>
        <w:pStyle w:val="BodyText"/>
        <w:spacing w:before="11"/>
        <w:rPr>
          <w:sz w:val="32"/>
        </w:rPr>
      </w:pPr>
    </w:p>
    <w:p>
      <w:pPr>
        <w:pStyle w:val="BodyText"/>
        <w:spacing w:before="1" w:line="364" w:lineRule="auto"/>
        <w:ind w:left="308" w:right="793" w:firstLine="670"/>
        <w:jc w:val="both"/>
      </w:pPr>
      <w:r>
        <w:t>在此部分，废水和颗粒污泥混合物在进水与循环水的共同推动下，迅速进入流化床室。废水和污泥之间产生强烈和有效的接触，这导致很高的污染物向生物物质（即颗粒污泥）的传质速率。在流化床反应室内，废水中的绝大部分可生物降解的污染物被转化为沼气。这些沼气在被一级三相分离器处收集并导入气体上升管，通过这个上升管部分泥水混合物被传送到反应器最上部的气液分离器，气体分离后从反应器导出。</w:t>
      </w:r>
    </w:p>
    <w:p>
      <w:pPr>
        <w:pStyle w:val="BodyText"/>
        <w:spacing w:before="184"/>
        <w:ind w:left="978"/>
      </w:pPr>
      <w:r>
        <w:drawing>
          <wp:anchor distT="0" distB="0" distL="0" distR="0" simplePos="0" relativeHeight="251693056" behindDoc="1" locked="0" layoutInCell="1" allowOverlap="1">
            <wp:simplePos x="0" y="0"/>
            <wp:positionH relativeFrom="page">
              <wp:posOffset>1511300</wp:posOffset>
            </wp:positionH>
            <wp:positionV relativeFrom="paragraph">
              <wp:posOffset>375157</wp:posOffset>
            </wp:positionV>
            <wp:extent cx="1168400" cy="38100"/>
            <wp:effectExtent l="0" t="0" r="0" b="0"/>
            <wp:wrapNone/>
            <wp:docPr id="29"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1.png"/>
                    <pic:cNvPicPr/>
                  </pic:nvPicPr>
                  <pic:blipFill>
                    <a:blip xmlns:r="http://schemas.openxmlformats.org/officeDocument/2006/relationships" r:embed="rId24" cstate="print"/>
                    <a:stretch>
                      <a:fillRect/>
                    </a:stretch>
                  </pic:blipFill>
                  <pic:spPr>
                    <a:xfrm>
                      <a:off x="0" y="0"/>
                      <a:ext cx="1168400" cy="38100"/>
                    </a:xfrm>
                    <a:prstGeom prst="rect">
                      <a:avLst/>
                    </a:prstGeom>
                  </pic:spPr>
                </pic:pic>
              </a:graphicData>
            </a:graphic>
          </wp:anchor>
        </w:drawing>
      </w:r>
      <w:r>
        <w:t>内循环系统</w:t>
      </w:r>
    </w:p>
    <w:p>
      <w:pPr>
        <w:pStyle w:val="BodyText"/>
        <w:spacing w:before="12"/>
        <w:rPr>
          <w:sz w:val="32"/>
        </w:rPr>
      </w:pPr>
    </w:p>
    <w:p>
      <w:pPr>
        <w:pStyle w:val="BodyText"/>
        <w:spacing w:line="364" w:lineRule="auto"/>
        <w:ind w:left="308" w:right="646" w:firstLine="670"/>
      </w:pPr>
      <w:r>
        <w:t>在上升管中，气提原理使气、水、污泥混合物快速上升，气体在反应器顶部分离之后， 剩余的泥水混合物经过一个同心的管道向下流入反应器底部，由此在反应器内形成循环流。气提动力来自于上升的和返回的泥水混合物中气体含量的巨大差别，因此，这个泥水混合物</w:t>
      </w:r>
      <w:r>
        <w:rPr>
          <w:spacing w:val="2"/>
        </w:rPr>
        <w:t>的内循环不需要任何外加动力。有趣的是，这个循环流的流量随着进液中</w:t>
      </w:r>
      <w:r>
        <w:t>COD</w:t>
      </w:r>
      <w:r>
        <w:rPr>
          <w:spacing w:val="-17"/>
        </w:rPr>
        <w:t xml:space="preserve"> 的量的增大而</w:t>
      </w:r>
      <w:r>
        <w:t>增大，因此IC</w:t>
      </w:r>
      <w:r>
        <w:rPr>
          <w:spacing w:val="-12"/>
        </w:rPr>
        <w:t xml:space="preserve"> 反应器具有自我调节的作用，即在高负荷条件下，产生更多的气体，从而也产</w:t>
      </w:r>
      <w:r>
        <w:t>生更多的循环水量，导致更大程度的进水的稀释。这对于稳定的运行意义重大。</w:t>
      </w:r>
    </w:p>
    <w:p>
      <w:pPr>
        <w:pStyle w:val="BodyText"/>
        <w:spacing w:before="185"/>
        <w:ind w:left="978"/>
      </w:pPr>
      <w:r>
        <w:drawing>
          <wp:anchor distT="0" distB="0" distL="0" distR="0" simplePos="0" relativeHeight="251694080" behindDoc="1" locked="0" layoutInCell="1" allowOverlap="1">
            <wp:simplePos x="0" y="0"/>
            <wp:positionH relativeFrom="page">
              <wp:posOffset>1511300</wp:posOffset>
            </wp:positionH>
            <wp:positionV relativeFrom="paragraph">
              <wp:posOffset>378968</wp:posOffset>
            </wp:positionV>
            <wp:extent cx="1168400" cy="38100"/>
            <wp:effectExtent l="0" t="0" r="0" b="0"/>
            <wp:wrapNone/>
            <wp:docPr id="31"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22.png"/>
                    <pic:cNvPicPr/>
                  </pic:nvPicPr>
                  <pic:blipFill>
                    <a:blip xmlns:r="http://schemas.openxmlformats.org/officeDocument/2006/relationships" r:embed="rId25" cstate="print"/>
                    <a:stretch>
                      <a:fillRect/>
                    </a:stretch>
                  </pic:blipFill>
                  <pic:spPr>
                    <a:xfrm>
                      <a:off x="0" y="0"/>
                      <a:ext cx="1168400" cy="38100"/>
                    </a:xfrm>
                    <a:prstGeom prst="rect">
                      <a:avLst/>
                    </a:prstGeom>
                  </pic:spPr>
                </pic:pic>
              </a:graphicData>
            </a:graphic>
          </wp:anchor>
        </w:drawing>
      </w:r>
      <w:r>
        <w:t>深度净化室</w:t>
      </w:r>
    </w:p>
    <w:p>
      <w:pPr>
        <w:pStyle w:val="BodyText"/>
        <w:spacing w:before="11"/>
        <w:rPr>
          <w:sz w:val="32"/>
        </w:rPr>
      </w:pPr>
    </w:p>
    <w:p>
      <w:pPr>
        <w:pStyle w:val="BodyText"/>
        <w:spacing w:before="1" w:line="364" w:lineRule="auto"/>
        <w:ind w:left="308" w:right="792" w:firstLine="670"/>
      </w:pPr>
      <w:r>
        <w:t>经过一级沉降之后，上升水流的主体部分继续向上流入深度净化室，废水中残存的生物</w:t>
      </w:r>
      <w:r>
        <w:rPr>
          <w:spacing w:val="-18"/>
        </w:rPr>
        <w:t xml:space="preserve">可降解的 </w:t>
      </w:r>
      <w:r>
        <w:t>COD</w:t>
      </w:r>
      <w:r>
        <w:rPr>
          <w:spacing w:val="-11"/>
        </w:rPr>
        <w:t xml:space="preserve"> 被进一步降解，因此这个部分等于一个有效的后处理过程。产生的气体在上部</w:t>
      </w:r>
    </w:p>
    <w:p>
      <w:pPr>
        <w:spacing w:after="0" w:line="364" w:lineRule="auto"/>
        <w:sectPr>
          <w:pgSz w:w="17870" w:h="25260"/>
          <w:pgMar w:top="1820" w:right="940" w:bottom="280" w:left="1420" w:header="708" w:footer="708"/>
          <w:pgNumType w:start="30"/>
          <w:cols w:space="708"/>
        </w:sectPr>
      </w:pPr>
    </w:p>
    <w:p>
      <w:pPr>
        <w:pStyle w:val="BodyText"/>
        <w:spacing w:before="24" w:line="364" w:lineRule="auto"/>
        <w:ind w:left="308" w:right="611"/>
      </w:pPr>
      <w:r>
        <w:t xml:space="preserve">三相分离器中收集并导出反应器，由于在深度净化室内的污泥负荷显著较低、相对长的水力停留时间和接近于推流的流动状态，废水在此得到有效处理并避免了污泥的流失。事实上， </w:t>
      </w:r>
      <w:r>
        <w:rPr>
          <w:spacing w:val="-8"/>
        </w:rPr>
        <w:t xml:space="preserve">废水中的可厌氧生物降解 </w:t>
      </w:r>
      <w:r>
        <w:t>COD</w:t>
      </w:r>
      <w:r>
        <w:rPr>
          <w:spacing w:val="-15"/>
        </w:rPr>
        <w:t xml:space="preserve"> 几乎得到完全的去除。由于大量的 </w:t>
      </w:r>
      <w:r>
        <w:t>COD</w:t>
      </w:r>
      <w:r>
        <w:rPr>
          <w:spacing w:val="-10"/>
        </w:rPr>
        <w:t xml:space="preserve"> 已在流化床反应室中去除，在深度净化室的产气量很小，不足以产生很大的流体扰动，加之，内循环流动不通过深度净化室，因此流体的上流速度很小。这两个原因使生物污泥能很好地保留在反应器内，即</w:t>
      </w:r>
      <w:r>
        <w:rPr>
          <w:spacing w:val="-18"/>
        </w:rPr>
        <w:t xml:space="preserve">使反应器负荷数倍于 </w:t>
      </w:r>
      <w:r>
        <w:t>UASB</w:t>
      </w:r>
      <w:r>
        <w:rPr>
          <w:spacing w:val="-11"/>
        </w:rPr>
        <w:t xml:space="preserve"> 时也如此。由于深度净化室的污泥浓度通常较低，有相当大的空间</w:t>
      </w:r>
      <w:r>
        <w:t>允许流化床部分的污泥膨胀进入其中，这就防止了高峰负荷时污泥的流失。</w:t>
      </w:r>
    </w:p>
    <w:p>
      <w:pPr>
        <w:pStyle w:val="Heading2"/>
        <w:numPr>
          <w:ilvl w:val="2"/>
          <w:numId w:val="44"/>
        </w:numPr>
        <w:tabs>
          <w:tab w:val="left" w:pos="1568"/>
        </w:tabs>
        <w:spacing w:before="320" w:after="0" w:line="240" w:lineRule="auto"/>
        <w:ind w:left="1568" w:right="0" w:hanging="1264"/>
        <w:jc w:val="left"/>
      </w:pPr>
      <w:r>
        <w:t>BIOPAQ</w:t>
      </w:r>
      <w:r>
        <w:rPr>
          <w:spacing w:val="-3"/>
        </w:rPr>
        <w:t xml:space="preserve"> </w:t>
      </w:r>
      <w:r>
        <w:t>IC</w:t>
      </w:r>
      <w:r>
        <w:rPr>
          <w:spacing w:val="-7"/>
        </w:rPr>
        <w:t xml:space="preserve"> 是最合适的厌氧技术</w:t>
      </w:r>
    </w:p>
    <w:p>
      <w:pPr>
        <w:pStyle w:val="BodyText"/>
        <w:spacing w:before="7"/>
        <w:rPr>
          <w:b/>
          <w:sz w:val="30"/>
        </w:rPr>
      </w:pPr>
    </w:p>
    <w:p>
      <w:pPr>
        <w:pStyle w:val="BodyText"/>
        <w:ind w:left="978"/>
      </w:pPr>
      <w:r>
        <w:t>厌氧技术可以归结为以下几种:</w:t>
      </w:r>
    </w:p>
    <w:p>
      <w:pPr>
        <w:pStyle w:val="ListParagraph"/>
        <w:numPr>
          <w:ilvl w:val="3"/>
          <w:numId w:val="44"/>
        </w:numPr>
        <w:tabs>
          <w:tab w:val="left" w:pos="1795"/>
          <w:tab w:val="left" w:pos="1796"/>
        </w:tabs>
        <w:spacing w:before="239" w:after="0" w:line="240" w:lineRule="auto"/>
        <w:ind w:left="1795" w:right="0" w:hanging="537"/>
        <w:jc w:val="left"/>
        <w:rPr>
          <w:sz w:val="36"/>
        </w:rPr>
      </w:pPr>
      <w:r>
        <w:rPr>
          <w:sz w:val="36"/>
        </w:rPr>
        <w:t>颗粒污泥技术：UASB，IC</w:t>
      </w:r>
      <w:r>
        <w:rPr>
          <w:spacing w:val="-31"/>
          <w:sz w:val="36"/>
        </w:rPr>
        <w:t xml:space="preserve"> 反应器和 </w:t>
      </w:r>
      <w:r>
        <w:rPr>
          <w:sz w:val="36"/>
        </w:rPr>
        <w:t>EGSB</w:t>
      </w:r>
    </w:p>
    <w:p>
      <w:pPr>
        <w:pStyle w:val="ListParagraph"/>
        <w:numPr>
          <w:ilvl w:val="3"/>
          <w:numId w:val="44"/>
        </w:numPr>
        <w:tabs>
          <w:tab w:val="left" w:pos="1795"/>
          <w:tab w:val="left" w:pos="1796"/>
          <w:tab w:val="left" w:pos="4132"/>
        </w:tabs>
        <w:spacing w:before="239" w:after="0" w:line="240" w:lineRule="auto"/>
        <w:ind w:left="1795" w:right="0" w:hanging="537"/>
        <w:jc w:val="left"/>
        <w:rPr>
          <w:sz w:val="36"/>
        </w:rPr>
      </w:pPr>
      <w:r>
        <w:rPr>
          <w:sz w:val="36"/>
        </w:rPr>
        <w:t>接触工艺：</w:t>
        <w:tab/>
        <w:t>全混系统，用厌氧絮状污泥</w:t>
      </w:r>
    </w:p>
    <w:p>
      <w:pPr>
        <w:pStyle w:val="ListParagraph"/>
        <w:numPr>
          <w:ilvl w:val="3"/>
          <w:numId w:val="44"/>
        </w:numPr>
        <w:tabs>
          <w:tab w:val="left" w:pos="1795"/>
          <w:tab w:val="left" w:pos="1796"/>
          <w:tab w:val="left" w:pos="4132"/>
        </w:tabs>
        <w:spacing w:before="238" w:after="0" w:line="240" w:lineRule="auto"/>
        <w:ind w:left="1795" w:right="0" w:hanging="537"/>
        <w:jc w:val="left"/>
        <w:rPr>
          <w:sz w:val="36"/>
        </w:rPr>
      </w:pPr>
      <w:r>
        <w:rPr>
          <w:sz w:val="36"/>
        </w:rPr>
        <w:t>厌氧滤器：</w:t>
        <w:tab/>
        <w:t>用厌氧絮状污泥，膜过滤</w:t>
      </w:r>
    </w:p>
    <w:p>
      <w:pPr>
        <w:pStyle w:val="ListParagraph"/>
        <w:numPr>
          <w:ilvl w:val="3"/>
          <w:numId w:val="44"/>
        </w:numPr>
        <w:tabs>
          <w:tab w:val="left" w:pos="1795"/>
          <w:tab w:val="left" w:pos="1796"/>
          <w:tab w:val="left" w:pos="4557"/>
        </w:tabs>
        <w:spacing w:before="239" w:after="0" w:line="240" w:lineRule="auto"/>
        <w:ind w:left="1795" w:right="0" w:hanging="537"/>
        <w:jc w:val="left"/>
        <w:rPr>
          <w:sz w:val="36"/>
        </w:rPr>
      </w:pPr>
      <w:r>
        <w:rPr>
          <w:sz w:val="36"/>
        </w:rPr>
        <w:t>其他反应器：</w:t>
        <w:tab/>
        <w:t>厌氧膜工艺，流化床</w:t>
      </w:r>
    </w:p>
    <w:p>
      <w:pPr>
        <w:pStyle w:val="ListParagraph"/>
        <w:numPr>
          <w:ilvl w:val="3"/>
          <w:numId w:val="44"/>
        </w:numPr>
        <w:tabs>
          <w:tab w:val="left" w:pos="1795"/>
          <w:tab w:val="left" w:pos="1796"/>
        </w:tabs>
        <w:spacing w:before="240" w:after="0" w:line="240" w:lineRule="auto"/>
        <w:ind w:left="1795" w:right="0" w:hanging="537"/>
        <w:jc w:val="left"/>
        <w:rPr>
          <w:sz w:val="36"/>
        </w:rPr>
      </w:pPr>
      <w:r>
        <w:rPr>
          <w:sz w:val="36"/>
        </w:rPr>
        <w:t>厌氧塘</w:t>
      </w:r>
    </w:p>
    <w:p>
      <w:pPr>
        <w:pStyle w:val="BodyText"/>
        <w:spacing w:before="10"/>
        <w:rPr>
          <w:sz w:val="32"/>
        </w:rPr>
      </w:pPr>
    </w:p>
    <w:p>
      <w:pPr>
        <w:pStyle w:val="BodyText"/>
        <w:spacing w:line="364" w:lineRule="auto"/>
        <w:ind w:left="308" w:right="654" w:firstLine="677"/>
      </w:pPr>
      <w:r>
        <w:rPr>
          <w:spacing w:val="-4"/>
        </w:rPr>
        <w:t xml:space="preserve">由于高纤维含量和有限的现场面积，我们确信只有 </w:t>
      </w:r>
      <w:r>
        <w:t>IC</w:t>
      </w:r>
      <w:r>
        <w:rPr>
          <w:spacing w:val="-11"/>
        </w:rPr>
        <w:t xml:space="preserve"> 工艺最适用用于本项目。其比较详</w:t>
      </w:r>
      <w:r>
        <w:t>见下表。</w:t>
      </w:r>
    </w:p>
    <w:p>
      <w:pPr>
        <w:pStyle w:val="BodyText"/>
        <w:spacing w:before="3"/>
        <w:rPr>
          <w:sz w:val="28"/>
        </w:rPr>
      </w:pPr>
    </w:p>
    <w:p>
      <w:pPr>
        <w:pStyle w:val="BodyText"/>
        <w:ind w:left="985"/>
      </w:pPr>
      <w:r>
        <w:pict>
          <v:group id="_x0000_s1084" style="width:678pt;height:368pt;margin-top:43.58pt;margin-left:119pt;mso-position-horizontal-relative:page;position:absolute;z-index:-251621376" coordorigin="2380,872" coordsize="13560,7360">
            <v:shape id="_x0000_s1085" type="#_x0000_t75" style="width:13560;height:7360;left:2380;position:absolute;top:871" stroked="f">
              <v:imagedata r:id="rId26" o:title=""/>
            </v:shape>
            <v:shape id="_x0000_s1086" type="#_x0000_t202" style="width:618;height:299;left:4126;position:absolute;top:1221" filled="f" stroked="f">
              <v:textbox inset="0,0,0,0">
                <w:txbxContent>
                  <w:p>
                    <w:pPr>
                      <w:spacing w:before="0" w:line="299" w:lineRule="exact"/>
                      <w:ind w:left="0" w:right="0" w:firstLine="0"/>
                      <w:jc w:val="left"/>
                      <w:rPr>
                        <w:sz w:val="30"/>
                      </w:rPr>
                    </w:pPr>
                    <w:r>
                      <w:rPr>
                        <w:sz w:val="30"/>
                      </w:rPr>
                      <w:t>指标</w:t>
                    </w:r>
                  </w:p>
                </w:txbxContent>
              </v:textbox>
            </v:shape>
            <v:shape id="_x0000_s1087" type="#_x0000_t202" style="width:1527;height:299;left:7320;position:absolute;top:1221" filled="f" stroked="f">
              <v:textbox inset="0,0,0,0">
                <w:txbxContent>
                  <w:p>
                    <w:pPr>
                      <w:tabs>
                        <w:tab w:val="left" w:pos="1207"/>
                      </w:tabs>
                      <w:spacing w:before="0" w:line="299" w:lineRule="exact"/>
                      <w:ind w:left="0" w:right="0" w:firstLine="0"/>
                      <w:jc w:val="left"/>
                      <w:rPr>
                        <w:sz w:val="30"/>
                      </w:rPr>
                    </w:pPr>
                    <w:r>
                      <w:rPr>
                        <w:sz w:val="30"/>
                      </w:rPr>
                      <w:t>BIOPAQ</w:t>
                      <w:tab/>
                      <w:t>IC</w:t>
                    </w:r>
                  </w:p>
                </w:txbxContent>
              </v:textbox>
            </v:shape>
            <v:shape id="_x0000_s1088" type="#_x0000_t202" style="width:618;height:299;left:10946;position:absolute;top:1221" filled="f" stroked="f">
              <v:textbox inset="0,0,0,0">
                <w:txbxContent>
                  <w:p>
                    <w:pPr>
                      <w:spacing w:before="0" w:line="299" w:lineRule="exact"/>
                      <w:ind w:left="0" w:right="0" w:firstLine="0"/>
                      <w:jc w:val="left"/>
                      <w:rPr>
                        <w:sz w:val="30"/>
                      </w:rPr>
                    </w:pPr>
                    <w:r>
                      <w:rPr>
                        <w:sz w:val="30"/>
                      </w:rPr>
                      <w:t>UASB</w:t>
                    </w:r>
                  </w:p>
                </w:txbxContent>
              </v:textbox>
            </v:shape>
            <v:shape id="_x0000_s1089" type="#_x0000_t202" style="width:1216;height:299;left:13747;position:absolute;top:1221" filled="f" stroked="f">
              <v:textbox inset="0,0,0,0">
                <w:txbxContent>
                  <w:p>
                    <w:pPr>
                      <w:spacing w:before="0" w:line="299" w:lineRule="exact"/>
                      <w:ind w:left="0" w:right="0" w:firstLine="0"/>
                      <w:jc w:val="left"/>
                      <w:rPr>
                        <w:sz w:val="30"/>
                      </w:rPr>
                    </w:pPr>
                    <w:r>
                      <w:rPr>
                        <w:sz w:val="30"/>
                      </w:rPr>
                      <w:t>接触工艺</w:t>
                    </w:r>
                  </w:p>
                </w:txbxContent>
              </v:textbox>
            </v:shape>
          </v:group>
        </w:pict>
      </w:r>
      <w:r>
        <w:t>表 可用厌氧工艺比较</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12"/>
        </w:rPr>
      </w:pPr>
    </w:p>
    <w:tbl>
      <w:tblPr>
        <w:tblStyle w:val="TableNormal3"/>
        <w:tblW w:w="0" w:type="auto"/>
        <w:jc w:val="left"/>
        <w:tblInd w:w="11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850"/>
        <w:gridCol w:w="3215"/>
        <w:gridCol w:w="3172"/>
        <w:gridCol w:w="1452"/>
      </w:tblGrid>
      <w:tr>
        <w:tblPrEx>
          <w:tblW w:w="0" w:type="auto"/>
          <w:jc w:val="left"/>
          <w:tblInd w:w="11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75"/>
          <w:jc w:val="left"/>
        </w:trPr>
        <w:tc>
          <w:tcPr>
            <w:tcW w:w="3850" w:type="dxa"/>
          </w:tcPr>
          <w:p>
            <w:pPr>
              <w:pStyle w:val="TableParagraph"/>
              <w:spacing w:line="341" w:lineRule="exact"/>
              <w:ind w:left="50"/>
              <w:rPr>
                <w:sz w:val="30"/>
              </w:rPr>
            </w:pPr>
            <w:r>
              <w:rPr>
                <w:sz w:val="30"/>
              </w:rPr>
              <w:t>容积负荷（kgCOD/m</w:t>
            </w:r>
            <w:r>
              <w:rPr>
                <w:position w:val="3"/>
                <w:sz w:val="15"/>
              </w:rPr>
              <w:t>3</w:t>
            </w:r>
            <w:r>
              <w:rPr>
                <w:sz w:val="30"/>
              </w:rPr>
              <w:t>/day）</w:t>
            </w:r>
          </w:p>
        </w:tc>
        <w:tc>
          <w:tcPr>
            <w:tcW w:w="3215" w:type="dxa"/>
          </w:tcPr>
          <w:p>
            <w:pPr>
              <w:pStyle w:val="TableParagraph"/>
              <w:spacing w:line="341" w:lineRule="exact"/>
              <w:ind w:left="250"/>
              <w:rPr>
                <w:sz w:val="30"/>
              </w:rPr>
            </w:pPr>
            <w:r>
              <w:rPr>
                <w:w w:val="99"/>
                <w:sz w:val="30"/>
              </w:rPr>
              <w:t>高</w:t>
            </w:r>
          </w:p>
        </w:tc>
        <w:tc>
          <w:tcPr>
            <w:tcW w:w="3172" w:type="dxa"/>
          </w:tcPr>
          <w:p>
            <w:pPr>
              <w:pStyle w:val="TableParagraph"/>
              <w:spacing w:line="341" w:lineRule="exact"/>
              <w:ind w:left="276"/>
              <w:rPr>
                <w:sz w:val="30"/>
              </w:rPr>
            </w:pPr>
            <w:r>
              <w:rPr>
                <w:w w:val="99"/>
                <w:sz w:val="30"/>
              </w:rPr>
              <w:t>低</w:t>
            </w:r>
          </w:p>
        </w:tc>
        <w:tc>
          <w:tcPr>
            <w:tcW w:w="1452" w:type="dxa"/>
          </w:tcPr>
          <w:p>
            <w:pPr>
              <w:pStyle w:val="TableParagraph"/>
              <w:spacing w:line="341" w:lineRule="exact"/>
              <w:ind w:left="208"/>
              <w:rPr>
                <w:sz w:val="30"/>
              </w:rPr>
            </w:pPr>
            <w:r>
              <w:rPr>
                <w:sz w:val="30"/>
              </w:rPr>
              <w:t>最低</w:t>
            </w:r>
          </w:p>
        </w:tc>
      </w:tr>
      <w:tr>
        <w:tblPrEx>
          <w:tblW w:w="0" w:type="auto"/>
          <w:jc w:val="left"/>
          <w:tblInd w:w="1105" w:type="dxa"/>
          <w:tblLayout w:type="fixed"/>
          <w:tblCellMar>
            <w:top w:w="0" w:type="dxa"/>
            <w:left w:w="0" w:type="dxa"/>
            <w:bottom w:w="0" w:type="dxa"/>
            <w:right w:w="0" w:type="dxa"/>
          </w:tblCellMar>
          <w:tblLook w:val="01E0"/>
        </w:tblPrEx>
        <w:trPr>
          <w:trHeight w:val="651"/>
          <w:jc w:val="left"/>
        </w:trPr>
        <w:tc>
          <w:tcPr>
            <w:tcW w:w="3850" w:type="dxa"/>
          </w:tcPr>
          <w:p>
            <w:pPr>
              <w:pStyle w:val="TableParagraph"/>
              <w:spacing w:before="133"/>
              <w:ind w:left="50"/>
              <w:rPr>
                <w:sz w:val="30"/>
              </w:rPr>
            </w:pPr>
            <w:r>
              <w:rPr>
                <w:sz w:val="30"/>
              </w:rPr>
              <w:t>占地面积</w:t>
            </w:r>
          </w:p>
        </w:tc>
        <w:tc>
          <w:tcPr>
            <w:tcW w:w="3215" w:type="dxa"/>
          </w:tcPr>
          <w:p>
            <w:pPr>
              <w:pStyle w:val="TableParagraph"/>
              <w:spacing w:before="133"/>
              <w:ind w:left="250"/>
              <w:rPr>
                <w:sz w:val="30"/>
              </w:rPr>
            </w:pPr>
            <w:r>
              <w:rPr>
                <w:sz w:val="30"/>
              </w:rPr>
              <w:t>最小，</w:t>
            </w:r>
          </w:p>
        </w:tc>
        <w:tc>
          <w:tcPr>
            <w:tcW w:w="3172" w:type="dxa"/>
          </w:tcPr>
          <w:p>
            <w:pPr>
              <w:pStyle w:val="TableParagraph"/>
              <w:spacing w:before="133"/>
              <w:ind w:left="276"/>
              <w:rPr>
                <w:sz w:val="30"/>
              </w:rPr>
            </w:pPr>
            <w:r>
              <w:rPr>
                <w:sz w:val="30"/>
              </w:rPr>
              <w:t>大，</w:t>
            </w:r>
          </w:p>
        </w:tc>
        <w:tc>
          <w:tcPr>
            <w:tcW w:w="1452" w:type="dxa"/>
          </w:tcPr>
          <w:p>
            <w:pPr>
              <w:pStyle w:val="TableParagraph"/>
              <w:spacing w:before="133"/>
              <w:ind w:left="208"/>
              <w:rPr>
                <w:sz w:val="30"/>
              </w:rPr>
            </w:pPr>
            <w:r>
              <w:rPr>
                <w:sz w:val="30"/>
              </w:rPr>
              <w:t>最大，</w:t>
            </w:r>
          </w:p>
        </w:tc>
      </w:tr>
      <w:tr>
        <w:tblPrEx>
          <w:tblW w:w="0" w:type="auto"/>
          <w:jc w:val="left"/>
          <w:tblInd w:w="1105" w:type="dxa"/>
          <w:tblLayout w:type="fixed"/>
          <w:tblCellMar>
            <w:top w:w="0" w:type="dxa"/>
            <w:left w:w="0" w:type="dxa"/>
            <w:bottom w:w="0" w:type="dxa"/>
            <w:right w:w="0" w:type="dxa"/>
          </w:tblCellMar>
          <w:tblLook w:val="01E0"/>
        </w:tblPrEx>
        <w:trPr>
          <w:trHeight w:val="651"/>
          <w:jc w:val="left"/>
        </w:trPr>
        <w:tc>
          <w:tcPr>
            <w:tcW w:w="3850" w:type="dxa"/>
          </w:tcPr>
          <w:p>
            <w:pPr>
              <w:pStyle w:val="TableParagraph"/>
              <w:spacing w:before="133"/>
              <w:ind w:left="50"/>
              <w:rPr>
                <w:sz w:val="30"/>
              </w:rPr>
            </w:pPr>
            <w:r>
              <w:rPr>
                <w:sz w:val="30"/>
              </w:rPr>
              <w:t>出水溢流堰截面</w:t>
            </w:r>
          </w:p>
        </w:tc>
        <w:tc>
          <w:tcPr>
            <w:tcW w:w="3215" w:type="dxa"/>
          </w:tcPr>
          <w:p>
            <w:pPr>
              <w:pStyle w:val="TableParagraph"/>
              <w:spacing w:before="133"/>
              <w:ind w:left="250"/>
              <w:rPr>
                <w:sz w:val="30"/>
              </w:rPr>
            </w:pPr>
            <w:r>
              <w:rPr>
                <w:sz w:val="30"/>
              </w:rPr>
              <w:t>最小</w:t>
            </w:r>
          </w:p>
        </w:tc>
        <w:tc>
          <w:tcPr>
            <w:tcW w:w="3172" w:type="dxa"/>
          </w:tcPr>
          <w:p>
            <w:pPr>
              <w:pStyle w:val="TableParagraph"/>
              <w:spacing w:before="133"/>
              <w:ind w:left="276"/>
              <w:rPr>
                <w:sz w:val="30"/>
              </w:rPr>
            </w:pPr>
            <w:r>
              <w:rPr>
                <w:w w:val="99"/>
                <w:sz w:val="30"/>
              </w:rPr>
              <w:t>小</w:t>
            </w:r>
          </w:p>
        </w:tc>
        <w:tc>
          <w:tcPr>
            <w:tcW w:w="1452" w:type="dxa"/>
          </w:tcPr>
          <w:p>
            <w:pPr>
              <w:pStyle w:val="TableParagraph"/>
              <w:spacing w:before="133"/>
              <w:ind w:left="208"/>
              <w:rPr>
                <w:sz w:val="30"/>
              </w:rPr>
            </w:pPr>
            <w:r>
              <w:rPr>
                <w:w w:val="99"/>
                <w:sz w:val="30"/>
              </w:rPr>
              <w:t>大</w:t>
            </w:r>
          </w:p>
        </w:tc>
      </w:tr>
      <w:tr>
        <w:tblPrEx>
          <w:tblW w:w="0" w:type="auto"/>
          <w:jc w:val="left"/>
          <w:tblInd w:w="1105" w:type="dxa"/>
          <w:tblLayout w:type="fixed"/>
          <w:tblCellMar>
            <w:top w:w="0" w:type="dxa"/>
            <w:left w:w="0" w:type="dxa"/>
            <w:bottom w:w="0" w:type="dxa"/>
            <w:right w:w="0" w:type="dxa"/>
          </w:tblCellMar>
          <w:tblLook w:val="01E0"/>
        </w:tblPrEx>
        <w:trPr>
          <w:trHeight w:val="651"/>
          <w:jc w:val="left"/>
        </w:trPr>
        <w:tc>
          <w:tcPr>
            <w:tcW w:w="3850" w:type="dxa"/>
          </w:tcPr>
          <w:p>
            <w:pPr>
              <w:pStyle w:val="TableParagraph"/>
              <w:spacing w:before="133"/>
              <w:ind w:left="50"/>
              <w:rPr>
                <w:sz w:val="30"/>
              </w:rPr>
            </w:pPr>
            <w:r>
              <w:rPr>
                <w:sz w:val="30"/>
              </w:rPr>
              <w:t>毒性抑制</w:t>
            </w:r>
            <w:r>
              <w:rPr>
                <w:position w:val="2"/>
                <w:sz w:val="15"/>
              </w:rPr>
              <w:t xml:space="preserve">(I) </w:t>
            </w:r>
            <w:r>
              <w:rPr>
                <w:sz w:val="30"/>
              </w:rPr>
              <w:t>的耐受力</w:t>
            </w:r>
          </w:p>
        </w:tc>
        <w:tc>
          <w:tcPr>
            <w:tcW w:w="3215" w:type="dxa"/>
          </w:tcPr>
          <w:p>
            <w:pPr>
              <w:pStyle w:val="TableParagraph"/>
              <w:spacing w:before="133"/>
              <w:ind w:left="250"/>
              <w:rPr>
                <w:sz w:val="30"/>
              </w:rPr>
            </w:pPr>
            <w:r>
              <w:rPr>
                <w:w w:val="99"/>
                <w:sz w:val="30"/>
              </w:rPr>
              <w:t>强</w:t>
            </w:r>
          </w:p>
        </w:tc>
        <w:tc>
          <w:tcPr>
            <w:tcW w:w="3172" w:type="dxa"/>
          </w:tcPr>
          <w:p>
            <w:pPr>
              <w:pStyle w:val="TableParagraph"/>
              <w:spacing w:before="133"/>
              <w:ind w:left="276"/>
              <w:rPr>
                <w:sz w:val="30"/>
              </w:rPr>
            </w:pPr>
            <w:r>
              <w:rPr>
                <w:sz w:val="30"/>
              </w:rPr>
              <w:t>一般</w:t>
            </w:r>
          </w:p>
        </w:tc>
        <w:tc>
          <w:tcPr>
            <w:tcW w:w="1452" w:type="dxa"/>
          </w:tcPr>
          <w:p>
            <w:pPr>
              <w:pStyle w:val="TableParagraph"/>
              <w:spacing w:before="133"/>
              <w:ind w:left="208"/>
              <w:rPr>
                <w:sz w:val="30"/>
              </w:rPr>
            </w:pPr>
            <w:r>
              <w:rPr>
                <w:w w:val="99"/>
                <w:sz w:val="30"/>
              </w:rPr>
              <w:t>弱</w:t>
            </w:r>
          </w:p>
        </w:tc>
      </w:tr>
      <w:tr>
        <w:tblPrEx>
          <w:tblW w:w="0" w:type="auto"/>
          <w:jc w:val="left"/>
          <w:tblInd w:w="1105" w:type="dxa"/>
          <w:tblLayout w:type="fixed"/>
          <w:tblCellMar>
            <w:top w:w="0" w:type="dxa"/>
            <w:left w:w="0" w:type="dxa"/>
            <w:bottom w:w="0" w:type="dxa"/>
            <w:right w:w="0" w:type="dxa"/>
          </w:tblCellMar>
          <w:tblLook w:val="01E0"/>
        </w:tblPrEx>
        <w:trPr>
          <w:trHeight w:val="651"/>
          <w:jc w:val="left"/>
        </w:trPr>
        <w:tc>
          <w:tcPr>
            <w:tcW w:w="3850" w:type="dxa"/>
          </w:tcPr>
          <w:p>
            <w:pPr>
              <w:pStyle w:val="TableParagraph"/>
              <w:spacing w:before="133"/>
              <w:ind w:left="50"/>
              <w:rPr>
                <w:sz w:val="15"/>
              </w:rPr>
            </w:pPr>
            <w:r>
              <w:rPr>
                <w:sz w:val="30"/>
              </w:rPr>
              <w:t>耐负荷冲击</w:t>
            </w:r>
            <w:r>
              <w:rPr>
                <w:position w:val="2"/>
                <w:sz w:val="15"/>
              </w:rPr>
              <w:t>(ii)</w:t>
            </w:r>
          </w:p>
        </w:tc>
        <w:tc>
          <w:tcPr>
            <w:tcW w:w="3215" w:type="dxa"/>
          </w:tcPr>
          <w:p>
            <w:pPr>
              <w:pStyle w:val="TableParagraph"/>
              <w:spacing w:before="133"/>
              <w:ind w:left="250"/>
              <w:rPr>
                <w:sz w:val="30"/>
              </w:rPr>
            </w:pPr>
            <w:r>
              <w:rPr>
                <w:sz w:val="30"/>
              </w:rPr>
              <w:t>最强</w:t>
            </w:r>
          </w:p>
        </w:tc>
        <w:tc>
          <w:tcPr>
            <w:tcW w:w="3172" w:type="dxa"/>
          </w:tcPr>
          <w:p>
            <w:pPr>
              <w:pStyle w:val="TableParagraph"/>
              <w:spacing w:before="133"/>
              <w:ind w:left="276"/>
              <w:rPr>
                <w:sz w:val="30"/>
              </w:rPr>
            </w:pPr>
            <w:r>
              <w:rPr>
                <w:w w:val="99"/>
                <w:sz w:val="30"/>
              </w:rPr>
              <w:t>强</w:t>
            </w:r>
          </w:p>
        </w:tc>
        <w:tc>
          <w:tcPr>
            <w:tcW w:w="1452" w:type="dxa"/>
          </w:tcPr>
          <w:p>
            <w:pPr>
              <w:pStyle w:val="TableParagraph"/>
              <w:spacing w:before="133"/>
              <w:ind w:left="208"/>
              <w:rPr>
                <w:sz w:val="30"/>
              </w:rPr>
            </w:pPr>
            <w:r>
              <w:rPr>
                <w:sz w:val="30"/>
              </w:rPr>
              <w:t>很弱</w:t>
            </w:r>
          </w:p>
        </w:tc>
      </w:tr>
      <w:tr>
        <w:tblPrEx>
          <w:tblW w:w="0" w:type="auto"/>
          <w:jc w:val="left"/>
          <w:tblInd w:w="1105" w:type="dxa"/>
          <w:tblLayout w:type="fixed"/>
          <w:tblCellMar>
            <w:top w:w="0" w:type="dxa"/>
            <w:left w:w="0" w:type="dxa"/>
            <w:bottom w:w="0" w:type="dxa"/>
            <w:right w:w="0" w:type="dxa"/>
          </w:tblCellMar>
          <w:tblLook w:val="01E0"/>
        </w:tblPrEx>
        <w:trPr>
          <w:trHeight w:val="651"/>
          <w:jc w:val="left"/>
        </w:trPr>
        <w:tc>
          <w:tcPr>
            <w:tcW w:w="3850" w:type="dxa"/>
          </w:tcPr>
          <w:p>
            <w:pPr>
              <w:pStyle w:val="TableParagraph"/>
              <w:spacing w:before="128"/>
              <w:ind w:left="50"/>
              <w:rPr>
                <w:sz w:val="15"/>
              </w:rPr>
            </w:pPr>
            <w:r>
              <w:rPr>
                <w:position w:val="-1"/>
                <w:sz w:val="30"/>
              </w:rPr>
              <w:t>维修</w:t>
            </w:r>
            <w:r>
              <w:rPr>
                <w:sz w:val="15"/>
              </w:rPr>
              <w:t>(iii)</w:t>
            </w:r>
          </w:p>
        </w:tc>
        <w:tc>
          <w:tcPr>
            <w:tcW w:w="3215" w:type="dxa"/>
          </w:tcPr>
          <w:p>
            <w:pPr>
              <w:pStyle w:val="TableParagraph"/>
              <w:spacing w:before="133"/>
              <w:ind w:left="250"/>
              <w:rPr>
                <w:sz w:val="30"/>
              </w:rPr>
            </w:pPr>
            <w:r>
              <w:rPr>
                <w:sz w:val="30"/>
              </w:rPr>
              <w:t>最少</w:t>
            </w:r>
          </w:p>
        </w:tc>
        <w:tc>
          <w:tcPr>
            <w:tcW w:w="3172" w:type="dxa"/>
          </w:tcPr>
          <w:p>
            <w:pPr>
              <w:pStyle w:val="TableParagraph"/>
              <w:spacing w:before="133"/>
              <w:ind w:left="276"/>
              <w:rPr>
                <w:sz w:val="30"/>
              </w:rPr>
            </w:pPr>
            <w:r>
              <w:rPr>
                <w:w w:val="99"/>
                <w:sz w:val="30"/>
              </w:rPr>
              <w:t>少</w:t>
            </w:r>
          </w:p>
        </w:tc>
        <w:tc>
          <w:tcPr>
            <w:tcW w:w="1452" w:type="dxa"/>
          </w:tcPr>
          <w:p>
            <w:pPr>
              <w:pStyle w:val="TableParagraph"/>
              <w:spacing w:before="133"/>
              <w:ind w:left="208"/>
              <w:rPr>
                <w:sz w:val="30"/>
              </w:rPr>
            </w:pPr>
            <w:r>
              <w:rPr>
                <w:w w:val="99"/>
                <w:sz w:val="30"/>
              </w:rPr>
              <w:t>多</w:t>
            </w:r>
          </w:p>
        </w:tc>
      </w:tr>
      <w:tr>
        <w:tblPrEx>
          <w:tblW w:w="0" w:type="auto"/>
          <w:jc w:val="left"/>
          <w:tblInd w:w="1105" w:type="dxa"/>
          <w:tblLayout w:type="fixed"/>
          <w:tblCellMar>
            <w:top w:w="0" w:type="dxa"/>
            <w:left w:w="0" w:type="dxa"/>
            <w:bottom w:w="0" w:type="dxa"/>
            <w:right w:w="0" w:type="dxa"/>
          </w:tblCellMar>
          <w:tblLook w:val="01E0"/>
        </w:tblPrEx>
        <w:trPr>
          <w:trHeight w:val="651"/>
          <w:jc w:val="left"/>
        </w:trPr>
        <w:tc>
          <w:tcPr>
            <w:tcW w:w="3850" w:type="dxa"/>
          </w:tcPr>
          <w:p>
            <w:pPr>
              <w:pStyle w:val="TableParagraph"/>
              <w:spacing w:before="133"/>
              <w:ind w:left="50"/>
              <w:rPr>
                <w:sz w:val="30"/>
              </w:rPr>
            </w:pPr>
            <w:r>
              <w:rPr>
                <w:sz w:val="30"/>
              </w:rPr>
              <w:t>二次污染</w:t>
            </w:r>
          </w:p>
        </w:tc>
        <w:tc>
          <w:tcPr>
            <w:tcW w:w="3215" w:type="dxa"/>
          </w:tcPr>
          <w:p>
            <w:pPr>
              <w:pStyle w:val="TableParagraph"/>
              <w:spacing w:before="133"/>
              <w:ind w:left="250"/>
              <w:rPr>
                <w:sz w:val="30"/>
              </w:rPr>
            </w:pPr>
            <w:r>
              <w:rPr>
                <w:w w:val="99"/>
                <w:sz w:val="30"/>
              </w:rPr>
              <w:t>无</w:t>
            </w:r>
          </w:p>
        </w:tc>
        <w:tc>
          <w:tcPr>
            <w:tcW w:w="3172" w:type="dxa"/>
          </w:tcPr>
          <w:p>
            <w:pPr>
              <w:pStyle w:val="TableParagraph"/>
              <w:spacing w:before="133"/>
              <w:ind w:left="276"/>
              <w:rPr>
                <w:sz w:val="30"/>
              </w:rPr>
            </w:pPr>
            <w:r>
              <w:rPr>
                <w:w w:val="99"/>
                <w:sz w:val="30"/>
              </w:rPr>
              <w:t>无</w:t>
            </w:r>
          </w:p>
        </w:tc>
        <w:tc>
          <w:tcPr>
            <w:tcW w:w="1452" w:type="dxa"/>
          </w:tcPr>
          <w:p>
            <w:pPr>
              <w:pStyle w:val="TableParagraph"/>
              <w:spacing w:before="133"/>
              <w:ind w:left="208"/>
              <w:rPr>
                <w:sz w:val="30"/>
              </w:rPr>
            </w:pPr>
            <w:r>
              <w:rPr>
                <w:sz w:val="30"/>
              </w:rPr>
              <w:t>絮状污泥</w:t>
            </w:r>
          </w:p>
        </w:tc>
      </w:tr>
      <w:tr>
        <w:tblPrEx>
          <w:tblW w:w="0" w:type="auto"/>
          <w:jc w:val="left"/>
          <w:tblInd w:w="1105" w:type="dxa"/>
          <w:tblLayout w:type="fixed"/>
          <w:tblCellMar>
            <w:top w:w="0" w:type="dxa"/>
            <w:left w:w="0" w:type="dxa"/>
            <w:bottom w:w="0" w:type="dxa"/>
            <w:right w:w="0" w:type="dxa"/>
          </w:tblCellMar>
          <w:tblLook w:val="01E0"/>
        </w:tblPrEx>
        <w:trPr>
          <w:trHeight w:val="651"/>
          <w:jc w:val="left"/>
        </w:trPr>
        <w:tc>
          <w:tcPr>
            <w:tcW w:w="3850" w:type="dxa"/>
          </w:tcPr>
          <w:p>
            <w:pPr>
              <w:pStyle w:val="TableParagraph"/>
              <w:spacing w:before="133"/>
              <w:ind w:left="50"/>
              <w:rPr>
                <w:sz w:val="30"/>
              </w:rPr>
            </w:pPr>
            <w:r>
              <w:rPr>
                <w:sz w:val="30"/>
              </w:rPr>
              <w:t>副产品可用性</w:t>
            </w:r>
          </w:p>
        </w:tc>
        <w:tc>
          <w:tcPr>
            <w:tcW w:w="3215" w:type="dxa"/>
          </w:tcPr>
          <w:p>
            <w:pPr>
              <w:pStyle w:val="TableParagraph"/>
              <w:spacing w:before="133"/>
              <w:ind w:left="250"/>
              <w:rPr>
                <w:sz w:val="30"/>
              </w:rPr>
            </w:pPr>
            <w:r>
              <w:rPr>
                <w:sz w:val="30"/>
              </w:rPr>
              <w:t>厌氧颗粒污泥和沼气</w:t>
            </w:r>
          </w:p>
        </w:tc>
        <w:tc>
          <w:tcPr>
            <w:tcW w:w="3172" w:type="dxa"/>
          </w:tcPr>
          <w:p>
            <w:pPr>
              <w:pStyle w:val="TableParagraph"/>
              <w:spacing w:before="133"/>
              <w:ind w:left="276"/>
              <w:rPr>
                <w:sz w:val="30"/>
              </w:rPr>
            </w:pPr>
            <w:r>
              <w:rPr>
                <w:sz w:val="30"/>
              </w:rPr>
              <w:t>厌氧颗粒污泥和沼气</w:t>
            </w:r>
          </w:p>
        </w:tc>
        <w:tc>
          <w:tcPr>
            <w:tcW w:w="1452" w:type="dxa"/>
          </w:tcPr>
          <w:p>
            <w:pPr>
              <w:pStyle w:val="TableParagraph"/>
              <w:spacing w:before="133"/>
              <w:ind w:left="208"/>
              <w:rPr>
                <w:sz w:val="30"/>
              </w:rPr>
            </w:pPr>
            <w:r>
              <w:rPr>
                <w:sz w:val="30"/>
              </w:rPr>
              <w:t>只有沼气</w:t>
            </w:r>
          </w:p>
        </w:tc>
      </w:tr>
      <w:tr>
        <w:tblPrEx>
          <w:tblW w:w="0" w:type="auto"/>
          <w:jc w:val="left"/>
          <w:tblInd w:w="1105" w:type="dxa"/>
          <w:tblLayout w:type="fixed"/>
          <w:tblCellMar>
            <w:top w:w="0" w:type="dxa"/>
            <w:left w:w="0" w:type="dxa"/>
            <w:bottom w:w="0" w:type="dxa"/>
            <w:right w:w="0" w:type="dxa"/>
          </w:tblCellMar>
          <w:tblLook w:val="01E0"/>
        </w:tblPrEx>
        <w:trPr>
          <w:trHeight w:val="651"/>
          <w:jc w:val="left"/>
        </w:trPr>
        <w:tc>
          <w:tcPr>
            <w:tcW w:w="3850" w:type="dxa"/>
          </w:tcPr>
          <w:p>
            <w:pPr>
              <w:pStyle w:val="TableParagraph"/>
              <w:spacing w:before="133"/>
              <w:ind w:left="50"/>
              <w:rPr>
                <w:sz w:val="15"/>
              </w:rPr>
            </w:pPr>
            <w:r>
              <w:rPr>
                <w:sz w:val="30"/>
              </w:rPr>
              <w:t>进水分布器赌塞</w:t>
            </w:r>
            <w:r>
              <w:rPr>
                <w:position w:val="2"/>
                <w:sz w:val="15"/>
              </w:rPr>
              <w:t>(iv)</w:t>
            </w:r>
          </w:p>
        </w:tc>
        <w:tc>
          <w:tcPr>
            <w:tcW w:w="3215" w:type="dxa"/>
          </w:tcPr>
          <w:p>
            <w:pPr>
              <w:pStyle w:val="TableParagraph"/>
              <w:spacing w:before="133"/>
              <w:ind w:left="250"/>
              <w:rPr>
                <w:sz w:val="30"/>
              </w:rPr>
            </w:pPr>
            <w:r>
              <w:rPr>
                <w:sz w:val="30"/>
              </w:rPr>
              <w:t>不会</w:t>
            </w:r>
          </w:p>
        </w:tc>
        <w:tc>
          <w:tcPr>
            <w:tcW w:w="3172" w:type="dxa"/>
          </w:tcPr>
          <w:p>
            <w:pPr>
              <w:pStyle w:val="TableParagraph"/>
              <w:spacing w:before="133"/>
              <w:ind w:left="276"/>
              <w:rPr>
                <w:sz w:val="30"/>
              </w:rPr>
            </w:pPr>
            <w:r>
              <w:rPr>
                <w:w w:val="99"/>
                <w:sz w:val="30"/>
              </w:rPr>
              <w:t>会</w:t>
            </w:r>
          </w:p>
        </w:tc>
        <w:tc>
          <w:tcPr>
            <w:tcW w:w="1452" w:type="dxa"/>
          </w:tcPr>
          <w:p>
            <w:pPr>
              <w:pStyle w:val="TableParagraph"/>
              <w:spacing w:before="133"/>
              <w:ind w:left="208"/>
              <w:rPr>
                <w:sz w:val="30"/>
              </w:rPr>
            </w:pPr>
            <w:r>
              <w:rPr>
                <w:sz w:val="30"/>
              </w:rPr>
              <w:t>不会</w:t>
            </w:r>
          </w:p>
        </w:tc>
      </w:tr>
      <w:tr>
        <w:tblPrEx>
          <w:tblW w:w="0" w:type="auto"/>
          <w:jc w:val="left"/>
          <w:tblInd w:w="1105" w:type="dxa"/>
          <w:tblLayout w:type="fixed"/>
          <w:tblCellMar>
            <w:top w:w="0" w:type="dxa"/>
            <w:left w:w="0" w:type="dxa"/>
            <w:bottom w:w="0" w:type="dxa"/>
            <w:right w:w="0" w:type="dxa"/>
          </w:tblCellMar>
          <w:tblLook w:val="01E0"/>
        </w:tblPrEx>
        <w:trPr>
          <w:trHeight w:val="475"/>
          <w:jc w:val="left"/>
        </w:trPr>
        <w:tc>
          <w:tcPr>
            <w:tcW w:w="3850" w:type="dxa"/>
          </w:tcPr>
          <w:p>
            <w:pPr>
              <w:pStyle w:val="TableParagraph"/>
              <w:spacing w:before="133" w:line="322" w:lineRule="exact"/>
              <w:ind w:left="50"/>
              <w:rPr>
                <w:sz w:val="15"/>
              </w:rPr>
            </w:pPr>
            <w:r>
              <w:rPr>
                <w:sz w:val="30"/>
              </w:rPr>
              <w:t>上流速度</w:t>
            </w:r>
            <w:r>
              <w:rPr>
                <w:position w:val="2"/>
                <w:sz w:val="15"/>
              </w:rPr>
              <w:t>(v)</w:t>
            </w:r>
          </w:p>
        </w:tc>
        <w:tc>
          <w:tcPr>
            <w:tcW w:w="3215" w:type="dxa"/>
          </w:tcPr>
          <w:p>
            <w:pPr>
              <w:pStyle w:val="TableParagraph"/>
              <w:spacing w:before="133" w:line="322" w:lineRule="exact"/>
              <w:ind w:left="250"/>
              <w:rPr>
                <w:sz w:val="30"/>
              </w:rPr>
            </w:pPr>
            <w:r>
              <w:rPr>
                <w:sz w:val="30"/>
              </w:rPr>
              <w:t>8m/h</w:t>
            </w:r>
          </w:p>
        </w:tc>
        <w:tc>
          <w:tcPr>
            <w:tcW w:w="3172" w:type="dxa"/>
          </w:tcPr>
          <w:p>
            <w:pPr>
              <w:pStyle w:val="TableParagraph"/>
              <w:spacing w:before="133" w:line="322" w:lineRule="exact"/>
              <w:ind w:left="276"/>
              <w:rPr>
                <w:sz w:val="30"/>
              </w:rPr>
            </w:pPr>
            <w:r>
              <w:rPr>
                <w:sz w:val="30"/>
              </w:rPr>
              <w:t>&lt;1m/h</w:t>
            </w:r>
          </w:p>
        </w:tc>
        <w:tc>
          <w:tcPr>
            <w:tcW w:w="1452" w:type="dxa"/>
          </w:tcPr>
          <w:p>
            <w:pPr>
              <w:pStyle w:val="TableParagraph"/>
              <w:spacing w:before="133" w:line="322" w:lineRule="exact"/>
              <w:ind w:left="208"/>
              <w:rPr>
                <w:sz w:val="30"/>
              </w:rPr>
            </w:pPr>
            <w:r>
              <w:rPr>
                <w:sz w:val="30"/>
              </w:rPr>
              <w:t>&lt;0.4m/h</w:t>
            </w:r>
          </w:p>
        </w:tc>
      </w:tr>
    </w:tbl>
    <w:p>
      <w:pPr>
        <w:spacing w:after="0" w:line="322" w:lineRule="exact"/>
        <w:rPr>
          <w:sz w:val="30"/>
        </w:rPr>
        <w:sectPr>
          <w:pgSz w:w="17870" w:h="25260"/>
          <w:pgMar w:top="1820" w:right="940" w:bottom="280" w:left="1420" w:header="708" w:footer="708"/>
          <w:pgNumType w:start="31"/>
          <w:cols w:space="708"/>
        </w:sectPr>
      </w:pPr>
    </w:p>
    <w:p>
      <w:pPr>
        <w:pStyle w:val="BodyText"/>
        <w:spacing w:before="24"/>
        <w:ind w:left="1172"/>
      </w:pPr>
      <w:r>
        <w:t>注:</w:t>
      </w:r>
    </w:p>
    <w:p>
      <w:pPr>
        <w:pStyle w:val="BodyText"/>
        <w:spacing w:before="9"/>
        <w:rPr>
          <w:sz w:val="51"/>
        </w:rPr>
      </w:pPr>
    </w:p>
    <w:p>
      <w:pPr>
        <w:pStyle w:val="ListParagraph"/>
        <w:numPr>
          <w:ilvl w:val="0"/>
          <w:numId w:val="36"/>
        </w:numPr>
        <w:tabs>
          <w:tab w:val="left" w:pos="985"/>
          <w:tab w:val="left" w:pos="986"/>
        </w:tabs>
        <w:spacing w:before="0" w:after="0" w:line="364" w:lineRule="auto"/>
        <w:ind w:left="985" w:right="656" w:hanging="678"/>
        <w:jc w:val="left"/>
        <w:rPr>
          <w:sz w:val="36"/>
        </w:rPr>
      </w:pPr>
      <w:r>
        <w:rPr>
          <w:spacing w:val="-45"/>
          <w:sz w:val="36"/>
        </w:rPr>
        <w:t xml:space="preserve">在 </w:t>
      </w:r>
      <w:r>
        <w:rPr>
          <w:sz w:val="36"/>
        </w:rPr>
        <w:t>APMP</w:t>
      </w:r>
      <w:r>
        <w:rPr>
          <w:spacing w:val="-15"/>
          <w:sz w:val="36"/>
        </w:rPr>
        <w:t xml:space="preserve"> 的制浆过程废水可能导致对生物处理的毒性。因为在 </w:t>
      </w:r>
      <w:r>
        <w:rPr>
          <w:sz w:val="36"/>
        </w:rPr>
        <w:t>UASB</w:t>
      </w:r>
      <w:r>
        <w:rPr>
          <w:spacing w:val="-11"/>
          <w:sz w:val="36"/>
        </w:rPr>
        <w:t xml:space="preserve"> 反应器中厌颗粒污泥</w:t>
      </w:r>
      <w:r>
        <w:rPr>
          <w:spacing w:val="-16"/>
          <w:sz w:val="36"/>
        </w:rPr>
        <w:t xml:space="preserve">是膨胀而非全混，毒性抑制可能对 </w:t>
      </w:r>
      <w:r>
        <w:rPr>
          <w:sz w:val="36"/>
        </w:rPr>
        <w:t>UASB</w:t>
      </w:r>
      <w:r>
        <w:rPr>
          <w:spacing w:val="-27"/>
          <w:sz w:val="36"/>
        </w:rPr>
        <w:t xml:space="preserve"> 有影响。在 </w:t>
      </w:r>
      <w:r>
        <w:rPr>
          <w:sz w:val="36"/>
        </w:rPr>
        <w:t>UASB</w:t>
      </w:r>
      <w:r>
        <w:rPr>
          <w:spacing w:val="-10"/>
          <w:sz w:val="36"/>
        </w:rPr>
        <w:t xml:space="preserve"> 底部，厌氧污泥床可能处于受</w:t>
      </w:r>
      <w:r>
        <w:rPr>
          <w:spacing w:val="-21"/>
          <w:sz w:val="36"/>
        </w:rPr>
        <w:t xml:space="preserve">抑状态。但是在 </w:t>
      </w:r>
      <w:r>
        <w:rPr>
          <w:sz w:val="36"/>
        </w:rPr>
        <w:t>IC</w:t>
      </w:r>
      <w:r>
        <w:rPr>
          <w:spacing w:val="-11"/>
          <w:sz w:val="36"/>
        </w:rPr>
        <w:t xml:space="preserve"> 反应器中，由于内循环反应器中，强烈的内循环搅拌作用使污泥床达</w:t>
      </w:r>
      <w:r>
        <w:rPr>
          <w:spacing w:val="-6"/>
          <w:sz w:val="36"/>
        </w:rPr>
        <w:t xml:space="preserve">到良好的混合。因而毒性抑制对 </w:t>
      </w:r>
      <w:r>
        <w:rPr>
          <w:sz w:val="36"/>
        </w:rPr>
        <w:t>IC</w:t>
      </w:r>
      <w:r>
        <w:rPr>
          <w:spacing w:val="-11"/>
          <w:sz w:val="36"/>
        </w:rPr>
        <w:t xml:space="preserve"> 反应器工艺基本没有影响。而接触厌氧污泥的絮状结</w:t>
      </w:r>
      <w:r>
        <w:rPr>
          <w:sz w:val="36"/>
        </w:rPr>
        <w:t>构，在抗毒性方面是远远弱于颗粒污泥所具有的菌群结构。在颗粒污泥内部，径向分布的毒性物质浓度由外向内呈递减趋势，而对毒性敏感的产甲烷菌总是处于颗粒污泥的中心部位所以受到保护。</w:t>
      </w:r>
    </w:p>
    <w:p>
      <w:pPr>
        <w:pStyle w:val="BodyText"/>
        <w:spacing w:before="248"/>
        <w:ind w:left="985"/>
      </w:pPr>
      <w:r>
        <w:t>在当今全球制浆行业废水处理所采用的厌氧技术的趋势也支持了我们的观点。</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21"/>
        </w:rPr>
      </w:pPr>
    </w:p>
    <w:p>
      <w:pPr>
        <w:spacing w:after="0"/>
        <w:rPr>
          <w:sz w:val="21"/>
        </w:rPr>
        <w:sectPr>
          <w:pgSz w:w="17870" w:h="25260"/>
          <w:pgMar w:top="1820" w:right="940" w:bottom="280" w:left="1420" w:header="708" w:footer="708"/>
          <w:pgNumType w:start="32"/>
          <w:cols w:space="708"/>
        </w:sectPr>
      </w:pPr>
    </w:p>
    <w:p>
      <w:pPr>
        <w:pStyle w:val="Heading4"/>
        <w:spacing w:before="348" w:line="220" w:lineRule="exact"/>
        <w:ind w:left="0" w:firstLine="0"/>
        <w:jc w:val="right"/>
        <w:rPr>
          <w:rFonts w:ascii="微软雅黑" w:eastAsia="微软雅黑" w:hint="eastAsia"/>
        </w:rPr>
      </w:pPr>
      <w:r>
        <w:pict>
          <v:shape id="_x0000_s1090" type="#_x0000_t202" style="width:36pt;height:23.75pt;margin-top:45.48pt;margin-left:311.14pt;mso-position-horizontal-relative:page;position:absolute;z-index:251696128" filled="f" stroked="f">
            <v:textbox inset="0,0,0,0">
              <w:txbxContent>
                <w:p>
                  <w:pPr>
                    <w:spacing w:before="0" w:line="475" w:lineRule="exact"/>
                    <w:ind w:left="0" w:right="0" w:firstLine="0"/>
                    <w:jc w:val="left"/>
                    <w:rPr>
                      <w:rFonts w:ascii="微软雅黑" w:eastAsia="微软雅黑" w:hint="eastAsia"/>
                      <w:b/>
                      <w:sz w:val="36"/>
                    </w:rPr>
                  </w:pPr>
                  <w:r>
                    <w:rPr>
                      <w:rFonts w:ascii="微软雅黑" w:eastAsia="微软雅黑" w:hint="eastAsia"/>
                      <w:b/>
                      <w:sz w:val="36"/>
                    </w:rPr>
                    <w:t>技术</w:t>
                  </w:r>
                </w:p>
              </w:txbxContent>
            </v:textbox>
          </v:shape>
        </w:pict>
      </w:r>
      <w:r>
        <w:rPr>
          <w:rFonts w:ascii="微软雅黑" w:eastAsia="微软雅黑" w:hint="eastAsia"/>
          <w:w w:val="95"/>
        </w:rPr>
        <w:t>流化床</w:t>
      </w:r>
    </w:p>
    <w:p>
      <w:pPr>
        <w:tabs>
          <w:tab w:val="left" w:pos="1819"/>
        </w:tabs>
        <w:spacing w:before="6" w:line="562" w:lineRule="exact"/>
        <w:ind w:left="175" w:right="0" w:firstLine="0"/>
        <w:jc w:val="left"/>
        <w:rPr>
          <w:rFonts w:ascii="微软雅黑" w:eastAsia="微软雅黑" w:hint="eastAsia"/>
          <w:b/>
          <w:sz w:val="36"/>
        </w:rPr>
      </w:pPr>
      <w:r>
        <w:br w:type="column"/>
      </w:r>
      <w:r>
        <w:rPr>
          <w:rFonts w:ascii="微软雅黑" w:eastAsia="微软雅黑" w:hint="eastAsia"/>
          <w:b/>
          <w:position w:val="-9"/>
          <w:sz w:val="36"/>
        </w:rPr>
        <w:t>厌氧过滤</w:t>
        <w:tab/>
      </w:r>
      <w:r>
        <w:rPr>
          <w:rFonts w:ascii="微软雅黑" w:eastAsia="微软雅黑" w:hint="eastAsia"/>
          <w:b/>
          <w:sz w:val="36"/>
        </w:rPr>
        <w:t>膨胀污泥床</w:t>
      </w:r>
    </w:p>
    <w:p>
      <w:pPr>
        <w:spacing w:after="0" w:line="562" w:lineRule="exact"/>
        <w:jc w:val="left"/>
        <w:rPr>
          <w:rFonts w:ascii="微软雅黑" w:eastAsia="微软雅黑" w:hint="eastAsia"/>
          <w:sz w:val="36"/>
        </w:rPr>
        <w:sectPr>
          <w:type w:val="continuous"/>
          <w:pgSz w:w="17870" w:h="25260"/>
          <w:pgMar w:top="1720" w:right="940" w:bottom="280" w:left="1420" w:header="708" w:footer="708"/>
          <w:pgNumType w:start="33"/>
          <w:cols w:num="2" w:space="708" w:equalWidth="0">
            <w:col w:w="5702" w:space="40"/>
            <w:col w:w="9768" w:space="0"/>
          </w:cols>
        </w:sectPr>
      </w:pPr>
    </w:p>
    <w:p>
      <w:pPr>
        <w:pStyle w:val="BodyText"/>
        <w:spacing w:before="17"/>
        <w:rPr>
          <w:rFonts w:ascii="微软雅黑"/>
          <w:b/>
          <w:sz w:val="28"/>
        </w:rPr>
      </w:pPr>
    </w:p>
    <w:p>
      <w:pPr>
        <w:pStyle w:val="Heading4"/>
        <w:spacing w:line="168" w:lineRule="auto"/>
        <w:ind w:left="2167" w:firstLine="0"/>
        <w:jc w:val="center"/>
        <w:rPr>
          <w:rFonts w:ascii="微软雅黑" w:eastAsia="微软雅黑" w:hint="eastAsia"/>
        </w:rPr>
      </w:pPr>
      <w:r>
        <w:rPr>
          <w:rFonts w:ascii="微软雅黑" w:eastAsia="微软雅黑" w:hint="eastAsia"/>
          <w:spacing w:val="-5"/>
        </w:rPr>
        <w:t>接触反应</w:t>
      </w:r>
      <w:r>
        <w:rPr>
          <w:rFonts w:ascii="微软雅黑" w:eastAsia="微软雅黑" w:hint="eastAsia"/>
        </w:rPr>
        <w:t>技术</w:t>
      </w:r>
    </w:p>
    <w:p>
      <w:pPr>
        <w:spacing w:before="72"/>
        <w:ind w:left="2170" w:right="0" w:firstLine="0"/>
        <w:jc w:val="center"/>
        <w:rPr>
          <w:rFonts w:ascii="Arial"/>
          <w:b/>
          <w:sz w:val="36"/>
        </w:rPr>
      </w:pPr>
      <w:r>
        <w:rPr>
          <w:rFonts w:ascii="Arial"/>
          <w:b/>
          <w:sz w:val="36"/>
        </w:rPr>
        <w:t>14%</w:t>
      </w:r>
    </w:p>
    <w:p>
      <w:pPr>
        <w:pStyle w:val="Heading4"/>
        <w:tabs>
          <w:tab w:val="left" w:pos="4455"/>
        </w:tabs>
        <w:spacing w:line="192" w:lineRule="auto"/>
        <w:ind w:left="2631" w:firstLine="0"/>
        <w:rPr>
          <w:rFonts w:ascii="微软雅黑" w:eastAsia="微软雅黑" w:hint="eastAsia"/>
        </w:rPr>
      </w:pPr>
      <w:r>
        <w:rPr>
          <w:b w:val="0"/>
        </w:rPr>
        <w:br w:type="column"/>
      </w:r>
      <w:r>
        <w:rPr>
          <w:rFonts w:ascii="微软雅黑" w:eastAsia="微软雅黑" w:hint="eastAsia"/>
          <w:position w:val="-9"/>
        </w:rPr>
        <w:t>技术</w:t>
        <w:tab/>
      </w:r>
      <w:r>
        <w:rPr>
          <w:rFonts w:ascii="微软雅黑" w:eastAsia="微软雅黑" w:hint="eastAsia"/>
        </w:rPr>
        <w:t>技术</w:t>
      </w:r>
    </w:p>
    <w:p>
      <w:pPr>
        <w:tabs>
          <w:tab w:val="left" w:pos="4556"/>
        </w:tabs>
        <w:spacing w:before="0" w:line="398" w:lineRule="exact"/>
        <w:ind w:left="2732" w:right="0" w:firstLine="0"/>
        <w:jc w:val="left"/>
        <w:rPr>
          <w:rFonts w:ascii="Arial"/>
          <w:b/>
          <w:sz w:val="36"/>
        </w:rPr>
      </w:pPr>
      <w:r>
        <w:rPr>
          <w:rFonts w:ascii="Arial"/>
          <w:b/>
          <w:position w:val="-9"/>
          <w:sz w:val="36"/>
        </w:rPr>
        <w:t>3%</w:t>
        <w:tab/>
      </w:r>
      <w:r>
        <w:rPr>
          <w:rFonts w:ascii="Arial"/>
          <w:b/>
          <w:sz w:val="36"/>
        </w:rPr>
        <w:t>3%</w:t>
      </w:r>
    </w:p>
    <w:p>
      <w:pPr>
        <w:pStyle w:val="Heading4"/>
        <w:spacing w:line="328" w:lineRule="exact"/>
        <w:ind w:left="1257" w:firstLine="0"/>
        <w:rPr>
          <w:rFonts w:ascii="Arial"/>
        </w:rPr>
      </w:pPr>
      <w:r>
        <w:drawing>
          <wp:anchor distT="0" distB="0" distL="0" distR="0" simplePos="0" relativeHeight="251697152" behindDoc="1" locked="0" layoutInCell="1" allowOverlap="1">
            <wp:simplePos x="0" y="0"/>
            <wp:positionH relativeFrom="page">
              <wp:posOffset>2603500</wp:posOffset>
            </wp:positionH>
            <wp:positionV relativeFrom="paragraph">
              <wp:posOffset>84704</wp:posOffset>
            </wp:positionV>
            <wp:extent cx="6832600" cy="2692400"/>
            <wp:effectExtent l="0" t="0" r="0" b="0"/>
            <wp:wrapNone/>
            <wp:docPr id="33"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24.png"/>
                    <pic:cNvPicPr/>
                  </pic:nvPicPr>
                  <pic:blipFill>
                    <a:blip xmlns:r="http://schemas.openxmlformats.org/officeDocument/2006/relationships" r:embed="rId27" cstate="print"/>
                    <a:stretch>
                      <a:fillRect/>
                    </a:stretch>
                  </pic:blipFill>
                  <pic:spPr>
                    <a:xfrm>
                      <a:off x="0" y="0"/>
                      <a:ext cx="6832600" cy="2692400"/>
                    </a:xfrm>
                    <a:prstGeom prst="rect">
                      <a:avLst/>
                    </a:prstGeom>
                  </pic:spPr>
                </pic:pic>
              </a:graphicData>
            </a:graphic>
          </wp:anchor>
        </w:drawing>
      </w:r>
      <w:r>
        <w:rPr>
          <w:rFonts w:ascii="Arial"/>
        </w:rPr>
        <w:t>5%</w:t>
      </w:r>
    </w:p>
    <w:p>
      <w:pPr>
        <w:spacing w:after="0" w:line="328" w:lineRule="exact"/>
        <w:rPr>
          <w:rFonts w:ascii="Arial"/>
        </w:rPr>
        <w:sectPr>
          <w:type w:val="continuous"/>
          <w:pgSz w:w="17870" w:h="25260"/>
          <w:pgMar w:top="1720" w:right="940" w:bottom="280" w:left="1420" w:header="708" w:footer="708"/>
          <w:pgNumType w:start="34"/>
          <w:cols w:num="2" w:space="708" w:equalWidth="0">
            <w:col w:w="3607" w:space="40"/>
            <w:col w:w="11863" w:space="0"/>
          </w:cols>
        </w:sect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4"/>
        <w:rPr>
          <w:rFonts w:ascii="Arial"/>
          <w:b/>
          <w:sz w:val="19"/>
        </w:rPr>
      </w:pPr>
    </w:p>
    <w:p>
      <w:pPr>
        <w:spacing w:before="57" w:line="213" w:lineRule="auto"/>
        <w:ind w:left="12593" w:right="1676" w:hanging="508"/>
        <w:jc w:val="left"/>
        <w:rPr>
          <w:rFonts w:ascii="Arial" w:eastAsia="Arial"/>
          <w:b/>
          <w:sz w:val="36"/>
        </w:rPr>
      </w:pPr>
      <w:r>
        <w:rPr>
          <w:rFonts w:ascii="Arial" w:eastAsia="Arial"/>
          <w:b/>
          <w:sz w:val="36"/>
        </w:rPr>
        <w:t>UASB</w:t>
      </w:r>
      <w:r>
        <w:rPr>
          <w:rFonts w:ascii="微软雅黑" w:eastAsia="微软雅黑" w:hint="eastAsia"/>
          <w:b/>
          <w:sz w:val="36"/>
        </w:rPr>
        <w:t>技术</w:t>
      </w:r>
      <w:r>
        <w:rPr>
          <w:rFonts w:ascii="Arial" w:eastAsia="Arial"/>
          <w:b/>
          <w:sz w:val="36"/>
        </w:rPr>
        <w:t>75%</w:t>
      </w:r>
    </w:p>
    <w:p>
      <w:pPr>
        <w:pStyle w:val="BodyText"/>
        <w:rPr>
          <w:rFonts w:ascii="Arial"/>
          <w:b/>
        </w:rPr>
      </w:pPr>
    </w:p>
    <w:p>
      <w:pPr>
        <w:pStyle w:val="BodyText"/>
        <w:rPr>
          <w:rFonts w:ascii="Arial"/>
          <w:b/>
        </w:rPr>
      </w:pPr>
    </w:p>
    <w:p>
      <w:pPr>
        <w:pStyle w:val="BodyText"/>
        <w:spacing w:before="5"/>
        <w:rPr>
          <w:rFonts w:ascii="Arial"/>
          <w:b/>
          <w:sz w:val="47"/>
        </w:rPr>
      </w:pPr>
    </w:p>
    <w:p>
      <w:pPr>
        <w:pStyle w:val="BodyText"/>
        <w:spacing w:line="364" w:lineRule="auto"/>
        <w:ind w:left="308" w:right="842" w:firstLine="670"/>
      </w:pPr>
      <w:r>
        <w:t>从上图可看出，随着以颗粒污泥为基本特征的高负荷厌氧反应器的出现，其它厌氧技术在制浆造纸行业的应用几乎完全被摒弃了。</w:t>
      </w:r>
    </w:p>
    <w:p>
      <w:pPr>
        <w:pStyle w:val="ListParagraph"/>
        <w:numPr>
          <w:ilvl w:val="0"/>
          <w:numId w:val="36"/>
        </w:numPr>
        <w:tabs>
          <w:tab w:val="left" w:pos="986"/>
        </w:tabs>
        <w:spacing w:before="243" w:after="0" w:line="364" w:lineRule="auto"/>
        <w:ind w:left="985" w:right="834" w:hanging="678"/>
        <w:jc w:val="both"/>
        <w:rPr>
          <w:sz w:val="36"/>
        </w:rPr>
      </w:pPr>
      <w:r>
        <w:rPr>
          <w:sz w:val="36"/>
        </w:rPr>
        <w:t>由于内循环,IC</w:t>
      </w:r>
      <w:r>
        <w:rPr>
          <w:spacing w:val="-32"/>
          <w:sz w:val="36"/>
        </w:rPr>
        <w:t xml:space="preserve"> 反应器比 </w:t>
      </w:r>
      <w:r>
        <w:rPr>
          <w:sz w:val="36"/>
        </w:rPr>
        <w:t>UASB</w:t>
      </w:r>
      <w:r>
        <w:rPr>
          <w:spacing w:val="-10"/>
          <w:sz w:val="36"/>
        </w:rPr>
        <w:t xml:space="preserve"> 反应器耐负荷冲击能力更强,这已被许多帕克的装置所证</w:t>
      </w:r>
      <w:r>
        <w:rPr>
          <w:spacing w:val="-11"/>
          <w:sz w:val="36"/>
        </w:rPr>
        <w:t>明。而厌氧接触工艺中，由于负荷提高使沼气产量突然增加时, 絮状污泥极易冲出反应</w:t>
      </w:r>
      <w:r>
        <w:rPr>
          <w:sz w:val="36"/>
        </w:rPr>
        <w:t>器。</w:t>
      </w:r>
    </w:p>
    <w:p>
      <w:pPr>
        <w:spacing w:after="0" w:line="364" w:lineRule="auto"/>
        <w:jc w:val="both"/>
        <w:rPr>
          <w:sz w:val="36"/>
        </w:rPr>
        <w:sectPr>
          <w:type w:val="continuous"/>
          <w:pgSz w:w="17870" w:h="25260"/>
          <w:pgMar w:top="1720" w:right="940" w:bottom="280" w:left="1420" w:header="708" w:footer="708"/>
          <w:pgNumType w:start="35"/>
          <w:cols w:space="708"/>
        </w:sectPr>
      </w:pPr>
    </w:p>
    <w:p>
      <w:pPr>
        <w:pStyle w:val="ListParagraph"/>
        <w:numPr>
          <w:ilvl w:val="0"/>
          <w:numId w:val="36"/>
        </w:numPr>
        <w:tabs>
          <w:tab w:val="left" w:pos="986"/>
        </w:tabs>
        <w:spacing w:before="44" w:after="0" w:line="364" w:lineRule="auto"/>
        <w:ind w:left="985" w:right="653" w:hanging="678"/>
        <w:jc w:val="left"/>
        <w:rPr>
          <w:sz w:val="36"/>
        </w:rPr>
      </w:pPr>
      <w:r>
        <w:rPr>
          <w:sz w:val="36"/>
        </w:rPr>
        <w:t>IC</w:t>
      </w:r>
      <w:r>
        <w:rPr>
          <w:spacing w:val="-61"/>
          <w:sz w:val="36"/>
        </w:rPr>
        <w:t xml:space="preserve"> 和 </w:t>
      </w:r>
      <w:r>
        <w:rPr>
          <w:sz w:val="36"/>
        </w:rPr>
        <w:t>UASB</w:t>
      </w:r>
      <w:r>
        <w:rPr>
          <w:spacing w:val="-16"/>
          <w:sz w:val="36"/>
        </w:rPr>
        <w:t xml:space="preserve"> 反应器溢流堰需定期清洗，而 </w:t>
      </w:r>
      <w:r>
        <w:rPr>
          <w:sz w:val="36"/>
        </w:rPr>
        <w:t>IC</w:t>
      </w:r>
      <w:r>
        <w:rPr>
          <w:spacing w:val="-17"/>
          <w:sz w:val="36"/>
        </w:rPr>
        <w:t xml:space="preserve"> 反应器的溢流堰面积只有 </w:t>
      </w:r>
      <w:r>
        <w:rPr>
          <w:sz w:val="36"/>
        </w:rPr>
        <w:t>UASB</w:t>
      </w:r>
      <w:r>
        <w:rPr>
          <w:spacing w:val="-60"/>
          <w:sz w:val="36"/>
        </w:rPr>
        <w:t xml:space="preserve"> 的 </w:t>
      </w:r>
      <w:r>
        <w:rPr>
          <w:sz w:val="36"/>
        </w:rPr>
        <w:t>15%</w:t>
      </w:r>
      <w:r>
        <w:rPr>
          <w:spacing w:val="-5"/>
          <w:sz w:val="36"/>
        </w:rPr>
        <w:t>。而且</w:t>
      </w:r>
      <w:r>
        <w:rPr>
          <w:sz w:val="36"/>
        </w:rPr>
        <w:t>UASB</w:t>
      </w:r>
      <w:r>
        <w:rPr>
          <w:spacing w:val="-16"/>
          <w:sz w:val="36"/>
        </w:rPr>
        <w:t xml:space="preserve"> 反应器进水分布系统需要定期清洗，但 </w:t>
      </w:r>
      <w:r>
        <w:rPr>
          <w:sz w:val="36"/>
        </w:rPr>
        <w:t>IC</w:t>
      </w:r>
      <w:r>
        <w:rPr>
          <w:spacing w:val="-10"/>
          <w:sz w:val="36"/>
        </w:rPr>
        <w:t xml:space="preserve"> 的进水分布器则不需要专门的清洗。与IC</w:t>
      </w:r>
      <w:r>
        <w:rPr>
          <w:spacing w:val="-61"/>
          <w:sz w:val="36"/>
        </w:rPr>
        <w:t xml:space="preserve"> 或 </w:t>
      </w:r>
      <w:r>
        <w:rPr>
          <w:sz w:val="36"/>
        </w:rPr>
        <w:t>UASB</w:t>
      </w:r>
      <w:r>
        <w:rPr>
          <w:spacing w:val="-10"/>
          <w:sz w:val="36"/>
        </w:rPr>
        <w:t xml:space="preserve"> 相比，接触工艺反应器内有转动部件，因而需要大量的维修。在多数厌氧接触工艺中，转动部件是大搅拌器。搅拌器的检修可能会非常困难，因为有时不得不放空整个反应器来检修搅拌器或搅拌浆。</w:t>
      </w:r>
    </w:p>
    <w:p>
      <w:pPr>
        <w:pStyle w:val="ListParagraph"/>
        <w:numPr>
          <w:ilvl w:val="0"/>
          <w:numId w:val="36"/>
        </w:numPr>
        <w:tabs>
          <w:tab w:val="left" w:pos="986"/>
        </w:tabs>
        <w:spacing w:before="246" w:after="0" w:line="364" w:lineRule="auto"/>
        <w:ind w:left="985" w:right="654" w:hanging="678"/>
        <w:jc w:val="both"/>
        <w:rPr>
          <w:sz w:val="36"/>
        </w:rPr>
      </w:pPr>
      <w:r>
        <w:rPr>
          <w:spacing w:val="-45"/>
          <w:sz w:val="36"/>
        </w:rPr>
        <w:t xml:space="preserve">在 </w:t>
      </w:r>
      <w:r>
        <w:rPr>
          <w:sz w:val="36"/>
        </w:rPr>
        <w:t>UASB</w:t>
      </w:r>
      <w:r>
        <w:rPr>
          <w:spacing w:val="-12"/>
          <w:sz w:val="36"/>
        </w:rPr>
        <w:t xml:space="preserve"> 反应器中，很大的底面积上分布着大量很小的布水管，非常容易造成堵塞故障。</w:t>
      </w:r>
      <w:r>
        <w:rPr>
          <w:spacing w:val="-5"/>
          <w:sz w:val="36"/>
        </w:rPr>
        <w:t xml:space="preserve">这种堵塞主要由于纤维累积和钙盐沉积造成。而 </w:t>
      </w:r>
      <w:r>
        <w:rPr>
          <w:sz w:val="36"/>
        </w:rPr>
        <w:t>IC</w:t>
      </w:r>
      <w:r>
        <w:rPr>
          <w:spacing w:val="-11"/>
          <w:sz w:val="36"/>
        </w:rPr>
        <w:t xml:space="preserve"> 反应器中，进水分布器是在很小的底</w:t>
      </w:r>
      <w:r>
        <w:rPr>
          <w:spacing w:val="-1"/>
          <w:sz w:val="36"/>
        </w:rPr>
        <w:t>面积上使用大口径的特殊布水管，因此不可能造成堵塞 。当然厌氧接触工艺也不存在堵</w:t>
      </w:r>
      <w:r>
        <w:rPr>
          <w:sz w:val="36"/>
        </w:rPr>
        <w:t>塞问题。</w:t>
      </w:r>
    </w:p>
    <w:p>
      <w:pPr>
        <w:pStyle w:val="ListParagraph"/>
        <w:numPr>
          <w:ilvl w:val="0"/>
          <w:numId w:val="36"/>
        </w:numPr>
        <w:tabs>
          <w:tab w:val="left" w:pos="985"/>
          <w:tab w:val="left" w:pos="986"/>
        </w:tabs>
        <w:spacing w:before="246" w:after="0" w:line="364" w:lineRule="auto"/>
        <w:ind w:left="985" w:right="654" w:hanging="678"/>
        <w:jc w:val="left"/>
        <w:rPr>
          <w:sz w:val="36"/>
        </w:rPr>
      </w:pPr>
      <w:r>
        <w:rPr>
          <w:sz w:val="36"/>
        </w:rPr>
        <w:t>制浆造纸废水中的杂质很多，例如纤维和钙，这些在低上升流速的反应器内容易沉积而</w:t>
      </w:r>
      <w:r>
        <w:rPr>
          <w:spacing w:val="-4"/>
          <w:sz w:val="36"/>
        </w:rPr>
        <w:t xml:space="preserve">置换厌氧污泥，长久运行将导致厌氧反应器效率下降。而在 </w:t>
      </w:r>
      <w:r>
        <w:rPr>
          <w:sz w:val="36"/>
        </w:rPr>
        <w:t>IC</w:t>
      </w:r>
      <w:r>
        <w:rPr>
          <w:spacing w:val="-11"/>
          <w:sz w:val="36"/>
        </w:rPr>
        <w:t xml:space="preserve"> 反应器中，由于允许较高</w:t>
      </w:r>
      <w:r>
        <w:rPr>
          <w:sz w:val="36"/>
        </w:rPr>
        <w:t>的上升流速，固体杂质如纤维和钙可以被冲出反应器而不至在反应器内停留和累积，因</w:t>
      </w:r>
      <w:r>
        <w:rPr>
          <w:spacing w:val="-45"/>
          <w:sz w:val="36"/>
        </w:rPr>
        <w:t xml:space="preserve">此 </w:t>
      </w:r>
      <w:r>
        <w:rPr>
          <w:sz w:val="36"/>
        </w:rPr>
        <w:t>IC</w:t>
      </w:r>
      <w:r>
        <w:rPr>
          <w:spacing w:val="-11"/>
          <w:sz w:val="36"/>
        </w:rPr>
        <w:t xml:space="preserve"> 反应器的长期运行的稳定性得到保证。</w:t>
      </w:r>
    </w:p>
    <w:p>
      <w:pPr>
        <w:pStyle w:val="ListParagraph"/>
        <w:numPr>
          <w:ilvl w:val="0"/>
          <w:numId w:val="36"/>
        </w:numPr>
        <w:tabs>
          <w:tab w:val="left" w:pos="986"/>
        </w:tabs>
        <w:spacing w:before="245" w:after="0" w:line="364" w:lineRule="auto"/>
        <w:ind w:left="985" w:right="925" w:hanging="678"/>
        <w:jc w:val="left"/>
        <w:rPr>
          <w:sz w:val="36"/>
        </w:rPr>
      </w:pPr>
      <w:r>
        <w:rPr>
          <w:sz w:val="36"/>
        </w:rPr>
        <w:t>EGSB</w:t>
      </w:r>
      <w:r>
        <w:rPr>
          <w:spacing w:val="-46"/>
          <w:sz w:val="36"/>
        </w:rPr>
        <w:t xml:space="preserve"> 是在 </w:t>
      </w:r>
      <w:r>
        <w:rPr>
          <w:sz w:val="36"/>
        </w:rPr>
        <w:t>UASB</w:t>
      </w:r>
      <w:r>
        <w:rPr>
          <w:spacing w:val="-10"/>
          <w:sz w:val="36"/>
        </w:rPr>
        <w:t xml:space="preserve"> 基础上发展起来的，它依靠外部循环人为提高上升流速</w:t>
      </w:r>
      <w:r>
        <w:rPr>
          <w:sz w:val="36"/>
        </w:rPr>
        <w:t>（</w:t>
      </w:r>
      <w:r>
        <w:rPr>
          <w:spacing w:val="-30"/>
          <w:sz w:val="36"/>
        </w:rPr>
        <w:t xml:space="preserve">达到 </w:t>
      </w:r>
      <w:r>
        <w:rPr>
          <w:sz w:val="36"/>
        </w:rPr>
        <w:t>UASB</w:t>
      </w:r>
      <w:r>
        <w:rPr>
          <w:spacing w:val="-45"/>
          <w:sz w:val="36"/>
        </w:rPr>
        <w:t xml:space="preserve"> 的6~8</w:t>
      </w:r>
      <w:r>
        <w:rPr>
          <w:spacing w:val="-46"/>
          <w:sz w:val="36"/>
        </w:rPr>
        <w:t xml:space="preserve"> 倍</w:t>
      </w:r>
      <w:r>
        <w:rPr>
          <w:sz w:val="36"/>
        </w:rPr>
        <w:t>），</w:t>
      </w:r>
      <w:r>
        <w:rPr>
          <w:spacing w:val="-1"/>
          <w:sz w:val="36"/>
        </w:rPr>
        <w:t>使污泥床充分膨胀，从而提高反应器的高度，减小占地面积。但高的上升流</w:t>
      </w:r>
      <w:r>
        <w:rPr>
          <w:sz w:val="36"/>
        </w:rPr>
        <w:t>速和单层三相分离器结构，使污泥的流失在冲击负荷情况下很严重。</w:t>
      </w:r>
    </w:p>
    <w:p>
      <w:pPr>
        <w:pStyle w:val="BodyText"/>
        <w:spacing w:before="244"/>
        <w:ind w:left="978"/>
      </w:pPr>
      <w:r>
        <w:t>综上所述，我们选择 IC 反应器作为厌氧处理反应器。</w:t>
      </w:r>
    </w:p>
    <w:p>
      <w:pPr>
        <w:pStyle w:val="BodyText"/>
        <w:spacing w:before="2"/>
        <w:rPr>
          <w:sz w:val="43"/>
        </w:rPr>
      </w:pPr>
    </w:p>
    <w:p>
      <w:pPr>
        <w:pStyle w:val="Heading2"/>
        <w:numPr>
          <w:ilvl w:val="2"/>
          <w:numId w:val="44"/>
        </w:numPr>
        <w:tabs>
          <w:tab w:val="left" w:pos="1583"/>
        </w:tabs>
        <w:spacing w:before="0" w:after="0" w:line="240" w:lineRule="auto"/>
        <w:ind w:left="1583" w:right="0" w:hanging="1279"/>
        <w:jc w:val="left"/>
      </w:pPr>
      <w:r>
        <w:t>好氧工艺选择</w:t>
      </w:r>
    </w:p>
    <w:p>
      <w:pPr>
        <w:pStyle w:val="BodyText"/>
        <w:spacing w:before="331" w:line="364" w:lineRule="auto"/>
        <w:ind w:left="308" w:right="660" w:firstLine="670"/>
      </w:pPr>
      <w:r>
        <w:t>基本上有两种工艺可能用在好氧处理段，它们分别为以填料为主要特征的接触氧化工 艺和传统活性污泥工艺。</w:t>
      </w:r>
    </w:p>
    <w:p>
      <w:pPr>
        <w:pStyle w:val="BodyText"/>
        <w:spacing w:before="182"/>
        <w:ind w:left="308"/>
      </w:pPr>
      <w:r>
        <w:t>（i) 技术可行性</w:t>
      </w:r>
    </w:p>
    <w:p>
      <w:pPr>
        <w:pStyle w:val="BodyText"/>
        <w:spacing w:before="241" w:line="364" w:lineRule="auto"/>
        <w:ind w:left="848" w:right="612" w:firstLine="1259"/>
      </w:pPr>
      <w:r>
        <w:t>接触氧化工艺与填料表面挂膜密切相关，因此对于填料接触氧化工艺来说，在填料上成膜的可行性需要评估。一般高浓度废水环境不易于挂膜，许多填料供应商的手册指明适用的废水浓度范围是 COD&lt;1,000mg/l。填料有时会发生堵塞而造成曝气不均匀并且泥水接触发生困难。堵塞问题是由制浆废水的高纤维含量和高硬度引起，当然应首选不容易发生堵塞的工艺。而活性污泥法是成熟的工艺，容易操作，不涉及成膜或堵塞的问题。此</w:t>
      </w:r>
    </w:p>
    <w:p>
      <w:pPr>
        <w:spacing w:after="0" w:line="364" w:lineRule="auto"/>
        <w:sectPr>
          <w:pgSz w:w="17870" w:h="25260"/>
          <w:pgMar w:top="1800" w:right="940" w:bottom="280" w:left="1420" w:header="708" w:footer="708"/>
          <w:pgNumType w:start="36"/>
          <w:cols w:space="708"/>
        </w:sectPr>
      </w:pPr>
    </w:p>
    <w:p>
      <w:pPr>
        <w:pStyle w:val="BodyText"/>
        <w:spacing w:before="24" w:line="364" w:lineRule="auto"/>
        <w:ind w:left="848" w:right="612"/>
      </w:pPr>
      <w:r>
        <w:t>外，曝气池中活性污泥的浓度可以容易地通过控制泥龄和污泥回流比来控制以维持曝气池中的污泥活性。</w:t>
      </w:r>
    </w:p>
    <w:p>
      <w:pPr>
        <w:pStyle w:val="BodyText"/>
        <w:spacing w:before="182"/>
        <w:ind w:left="668"/>
      </w:pPr>
      <w:r>
        <w:t>(ii) 维修和运行费用</w:t>
      </w:r>
    </w:p>
    <w:p>
      <w:pPr>
        <w:pStyle w:val="BodyText"/>
        <w:spacing w:before="241" w:line="364" w:lineRule="auto"/>
        <w:ind w:left="848" w:right="792" w:firstLine="1259"/>
        <w:jc w:val="both"/>
      </w:pPr>
      <w:r>
        <w:t>接触氧化工艺中需要使用填料，而随着填料的老化，COD 去除率下降，因此定期更换 填料成为必然，从而增加运行费用。反之，活性污泥工艺的投资低，运行费用也比较低。</w:t>
      </w:r>
    </w:p>
    <w:p>
      <w:pPr>
        <w:pStyle w:val="BodyText"/>
      </w:pPr>
    </w:p>
    <w:p>
      <w:pPr>
        <w:pStyle w:val="BodyText"/>
        <w:spacing w:before="244"/>
        <w:ind w:left="1583"/>
      </w:pPr>
      <w:r>
        <w:t>综上所述，帕克公司这次推荐的后续的好氧处理系统为活性污泥法。</w:t>
      </w:r>
    </w:p>
    <w:p>
      <w:pPr>
        <w:spacing w:after="0"/>
        <w:sectPr>
          <w:pgSz w:w="17870" w:h="25260"/>
          <w:pgMar w:top="1820" w:right="940" w:bottom="280" w:left="1420" w:header="708" w:footer="708"/>
          <w:pgNumType w:start="37"/>
          <w:cols w:space="708"/>
        </w:sectPr>
      </w:pPr>
    </w:p>
    <w:p>
      <w:pPr>
        <w:pStyle w:val="BodyText"/>
        <w:rPr>
          <w:sz w:val="20"/>
        </w:rPr>
      </w:pPr>
    </w:p>
    <w:p>
      <w:pPr>
        <w:pStyle w:val="BodyText"/>
        <w:rPr>
          <w:sz w:val="20"/>
        </w:rPr>
      </w:pPr>
    </w:p>
    <w:p>
      <w:pPr>
        <w:pStyle w:val="BodyText"/>
        <w:rPr>
          <w:sz w:val="20"/>
        </w:rPr>
      </w:pPr>
    </w:p>
    <w:p>
      <w:pPr>
        <w:pStyle w:val="BodyText"/>
        <w:spacing w:before="11"/>
        <w:rPr>
          <w:sz w:val="16"/>
        </w:rPr>
      </w:pPr>
    </w:p>
    <w:p>
      <w:pPr>
        <w:pStyle w:val="BodyText"/>
        <w:ind w:left="200"/>
        <w:rPr>
          <w:sz w:val="20"/>
        </w:rPr>
      </w:pPr>
      <w:r>
        <w:rPr>
          <w:sz w:val="20"/>
        </w:rPr>
        <w:pict>
          <v:group id="_x0000_i1091" style="width:743pt;height:44.25pt;mso-position-horizontal-relative:char;mso-position-vertical-relative:line" coordorigin="0,0" coordsize="14860,885">
            <v:shape id="_x0000_s1092" type="#_x0000_t75" style="width:14860;height:860;position:absolute;top:24" stroked="f">
              <v:imagedata r:id="rId28" o:title=""/>
            </v:shape>
            <v:shape id="_x0000_s1093" type="#_x0000_t202" style="width:290;height:540;left:104;position:absolute" filled="f" stroked="f">
              <v:textbox inset="0,0,0,0">
                <w:txbxContent>
                  <w:p>
                    <w:pPr>
                      <w:spacing w:before="0" w:line="540" w:lineRule="exact"/>
                      <w:ind w:left="0" w:right="0" w:firstLine="0"/>
                      <w:jc w:val="left"/>
                      <w:rPr>
                        <w:b/>
                        <w:sz w:val="54"/>
                      </w:rPr>
                    </w:pPr>
                    <w:r>
                      <w:rPr>
                        <w:b/>
                        <w:w w:val="99"/>
                        <w:sz w:val="54"/>
                      </w:rPr>
                      <w:t>3</w:t>
                    </w:r>
                  </w:p>
                </w:txbxContent>
              </v:textbox>
            </v:shape>
            <v:shape id="_x0000_s1094" type="#_x0000_t202" style="width:2180;height:540;left:1383;position:absolute" filled="f" stroked="f">
              <v:textbox inset="0,0,0,0">
                <w:txbxContent>
                  <w:p>
                    <w:pPr>
                      <w:spacing w:before="0" w:line="540" w:lineRule="exact"/>
                      <w:ind w:left="0" w:right="0" w:firstLine="0"/>
                      <w:jc w:val="left"/>
                      <w:rPr>
                        <w:b/>
                        <w:sz w:val="54"/>
                      </w:rPr>
                    </w:pPr>
                    <w:r>
                      <w:rPr>
                        <w:b/>
                        <w:sz w:val="54"/>
                      </w:rPr>
                      <w:t>工艺描述</w:t>
                    </w:r>
                  </w:p>
                </w:txbxContent>
              </v:textbox>
            </v:shape>
            <w10:wrap type="none"/>
          </v:group>
        </w:pict>
      </w:r>
    </w:p>
    <w:p>
      <w:pPr>
        <w:pStyle w:val="BodyText"/>
        <w:rPr>
          <w:sz w:val="20"/>
        </w:rPr>
      </w:pPr>
    </w:p>
    <w:p>
      <w:pPr>
        <w:pStyle w:val="BodyText"/>
        <w:rPr>
          <w:sz w:val="20"/>
        </w:rPr>
      </w:pPr>
    </w:p>
    <w:p>
      <w:pPr>
        <w:pStyle w:val="BodyText"/>
        <w:spacing w:before="5"/>
        <w:rPr>
          <w:sz w:val="16"/>
        </w:rPr>
      </w:pPr>
    </w:p>
    <w:p>
      <w:pPr>
        <w:pStyle w:val="Heading1"/>
        <w:numPr>
          <w:ilvl w:val="1"/>
          <w:numId w:val="50"/>
        </w:numPr>
        <w:tabs>
          <w:tab w:val="left" w:pos="1159"/>
        </w:tabs>
        <w:spacing w:before="31" w:after="0" w:line="240" w:lineRule="auto"/>
        <w:ind w:left="1158" w:right="0" w:hanging="851"/>
        <w:jc w:val="left"/>
      </w:pPr>
      <w:r>
        <w:t>设计参数</w:t>
      </w:r>
    </w:p>
    <w:p>
      <w:pPr>
        <w:pStyle w:val="BodyText"/>
        <w:spacing w:before="2"/>
        <w:rPr>
          <w:b/>
          <w:sz w:val="47"/>
        </w:rPr>
      </w:pPr>
    </w:p>
    <w:p>
      <w:pPr>
        <w:pStyle w:val="BodyText"/>
        <w:spacing w:before="1"/>
        <w:ind w:left="985"/>
      </w:pPr>
      <w:r>
        <w:t>招标文件要求，污水处理厂设计参数如下：</w:t>
      </w:r>
    </w:p>
    <w:p>
      <w:pPr>
        <w:pStyle w:val="BodyText"/>
        <w:spacing w:before="2"/>
        <w:rPr>
          <w:sz w:val="43"/>
        </w:rPr>
      </w:pPr>
    </w:p>
    <w:p>
      <w:pPr>
        <w:pStyle w:val="Heading2"/>
        <w:numPr>
          <w:ilvl w:val="2"/>
          <w:numId w:val="50"/>
        </w:numPr>
        <w:tabs>
          <w:tab w:val="left" w:pos="1816"/>
          <w:tab w:val="left" w:pos="1817"/>
        </w:tabs>
        <w:spacing w:before="0" w:after="0" w:line="240" w:lineRule="auto"/>
        <w:ind w:left="1817" w:right="0" w:hanging="1513"/>
        <w:jc w:val="left"/>
      </w:pPr>
      <w:r>
        <w:t>废水进水参数</w:t>
      </w:r>
    </w:p>
    <w:p>
      <w:pPr>
        <w:pStyle w:val="BodyText"/>
        <w:spacing w:before="331"/>
        <w:ind w:left="985"/>
      </w:pPr>
      <w:r>
        <w:t>招标文件 2.2 要求，污水进水水质参数设计为：</w:t>
      </w:r>
    </w:p>
    <w:p>
      <w:pPr>
        <w:pStyle w:val="BodyText"/>
        <w:rPr>
          <w:sz w:val="20"/>
        </w:rPr>
      </w:pPr>
    </w:p>
    <w:p>
      <w:pPr>
        <w:pStyle w:val="BodyText"/>
        <w:spacing w:before="7"/>
        <w:rPr>
          <w:sz w:val="14"/>
        </w:rPr>
      </w:pPr>
    </w:p>
    <w:tbl>
      <w:tblPr>
        <w:tblStyle w:val="TableNormal4"/>
        <w:tblW w:w="0" w:type="auto"/>
        <w:jc w:val="left"/>
        <w:tblInd w:w="1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83"/>
        <w:gridCol w:w="1903"/>
        <w:gridCol w:w="3525"/>
      </w:tblGrid>
      <w:tr>
        <w:tblPrEx>
          <w:tblW w:w="0" w:type="auto"/>
          <w:jc w:val="left"/>
          <w:tblInd w:w="1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062"/>
          <w:jc w:val="left"/>
        </w:trPr>
        <w:tc>
          <w:tcPr>
            <w:tcW w:w="4383" w:type="dxa"/>
          </w:tcPr>
          <w:p>
            <w:pPr>
              <w:pStyle w:val="TableParagraph"/>
              <w:numPr>
                <w:ilvl w:val="0"/>
                <w:numId w:val="34"/>
              </w:numPr>
              <w:tabs>
                <w:tab w:val="left" w:pos="679"/>
                <w:tab w:val="left" w:pos="680"/>
              </w:tabs>
              <w:spacing w:before="0" w:after="0" w:line="425" w:lineRule="exact"/>
              <w:ind w:left="680" w:right="0" w:hanging="630"/>
              <w:jc w:val="left"/>
              <w:rPr>
                <w:sz w:val="36"/>
              </w:rPr>
            </w:pPr>
            <w:r>
              <w:rPr>
                <w:sz w:val="36"/>
              </w:rPr>
              <w:t>APMP</w:t>
            </w:r>
            <w:r>
              <w:rPr>
                <w:spacing w:val="-14"/>
                <w:sz w:val="36"/>
              </w:rPr>
              <w:t xml:space="preserve"> 浆生产能力：</w:t>
            </w:r>
          </w:p>
          <w:p>
            <w:pPr>
              <w:pStyle w:val="TableParagraph"/>
              <w:spacing w:before="12"/>
              <w:rPr>
                <w:sz w:val="33"/>
              </w:rPr>
            </w:pPr>
          </w:p>
          <w:p>
            <w:pPr>
              <w:pStyle w:val="TableParagraph"/>
              <w:spacing w:line="410" w:lineRule="auto"/>
              <w:ind w:left="860" w:right="1222"/>
              <w:rPr>
                <w:sz w:val="36"/>
              </w:rPr>
            </w:pPr>
            <w:r>
              <w:rPr>
                <w:sz w:val="36"/>
              </w:rPr>
              <w:t xml:space="preserve">SCODcr </w:t>
            </w:r>
            <w:r>
              <w:rPr>
                <w:spacing w:val="-19"/>
                <w:sz w:val="36"/>
              </w:rPr>
              <w:t xml:space="preserve">： </w:t>
            </w:r>
            <w:r>
              <w:rPr>
                <w:sz w:val="36"/>
              </w:rPr>
              <w:t>BOD5 :</w:t>
            </w:r>
          </w:p>
          <w:p>
            <w:pPr>
              <w:pStyle w:val="TableParagraph"/>
              <w:ind w:left="860"/>
              <w:rPr>
                <w:sz w:val="36"/>
              </w:rPr>
            </w:pPr>
            <w:r>
              <w:rPr>
                <w:sz w:val="36"/>
              </w:rPr>
              <w:t>TSS :</w:t>
            </w:r>
          </w:p>
        </w:tc>
        <w:tc>
          <w:tcPr>
            <w:tcW w:w="1903" w:type="dxa"/>
          </w:tcPr>
          <w:p>
            <w:pPr>
              <w:pStyle w:val="TableParagraph"/>
              <w:spacing w:line="425" w:lineRule="exact"/>
              <w:ind w:left="733"/>
              <w:rPr>
                <w:sz w:val="36"/>
              </w:rPr>
            </w:pPr>
            <w:r>
              <w:rPr>
                <w:sz w:val="36"/>
              </w:rPr>
              <w:t>450t/d</w:t>
            </w:r>
          </w:p>
        </w:tc>
        <w:tc>
          <w:tcPr>
            <w:tcW w:w="3525" w:type="dxa"/>
          </w:tcPr>
          <w:p>
            <w:pPr>
              <w:pStyle w:val="TableParagraph"/>
              <w:spacing w:line="425" w:lineRule="exact"/>
              <w:ind w:left="90"/>
              <w:rPr>
                <w:sz w:val="36"/>
              </w:rPr>
            </w:pPr>
            <w:r>
              <w:rPr>
                <w:sz w:val="36"/>
              </w:rPr>
              <w:t>ADMT</w:t>
            </w:r>
          </w:p>
          <w:p>
            <w:pPr>
              <w:pStyle w:val="TableParagraph"/>
              <w:spacing w:before="12"/>
              <w:rPr>
                <w:sz w:val="33"/>
              </w:rPr>
            </w:pPr>
          </w:p>
          <w:p>
            <w:pPr>
              <w:pStyle w:val="TableParagraph"/>
              <w:spacing w:line="410" w:lineRule="auto"/>
              <w:ind w:left="529" w:right="1356" w:hanging="425"/>
              <w:rPr>
                <w:sz w:val="36"/>
              </w:rPr>
            </w:pPr>
            <w:r>
              <w:rPr>
                <w:sz w:val="36"/>
              </w:rPr>
              <w:t>150 kg/ADMT 70kg/ADMT</w:t>
            </w:r>
          </w:p>
          <w:p>
            <w:pPr>
              <w:pStyle w:val="TableParagraph"/>
              <w:ind w:left="1379"/>
              <w:rPr>
                <w:sz w:val="36"/>
              </w:rPr>
            </w:pPr>
            <w:r>
              <w:rPr>
                <w:sz w:val="36"/>
              </w:rPr>
              <w:t>15 kg/ADMT</w:t>
            </w:r>
          </w:p>
        </w:tc>
      </w:tr>
      <w:tr>
        <w:tblPrEx>
          <w:tblW w:w="0" w:type="auto"/>
          <w:jc w:val="left"/>
          <w:tblInd w:w="1572" w:type="dxa"/>
          <w:tblLayout w:type="fixed"/>
          <w:tblCellMar>
            <w:top w:w="0" w:type="dxa"/>
            <w:left w:w="0" w:type="dxa"/>
            <w:bottom w:w="0" w:type="dxa"/>
            <w:right w:w="0" w:type="dxa"/>
          </w:tblCellMar>
          <w:tblLook w:val="01E0"/>
        </w:tblPrEx>
        <w:trPr>
          <w:trHeight w:val="788"/>
          <w:jc w:val="left"/>
        </w:trPr>
        <w:tc>
          <w:tcPr>
            <w:tcW w:w="4383" w:type="dxa"/>
          </w:tcPr>
          <w:p>
            <w:pPr>
              <w:pStyle w:val="TableParagraph"/>
              <w:spacing w:before="163"/>
              <w:ind w:left="860"/>
              <w:rPr>
                <w:sz w:val="36"/>
              </w:rPr>
            </w:pPr>
            <w:r>
              <w:rPr>
                <w:sz w:val="36"/>
              </w:rPr>
              <w:t>PH 值 ：</w:t>
            </w:r>
          </w:p>
        </w:tc>
        <w:tc>
          <w:tcPr>
            <w:tcW w:w="1903" w:type="dxa"/>
          </w:tcPr>
          <w:p>
            <w:pPr>
              <w:pStyle w:val="TableParagraph"/>
              <w:rPr>
                <w:rFonts w:ascii="Times New Roman"/>
                <w:sz w:val="36"/>
              </w:rPr>
            </w:pPr>
          </w:p>
        </w:tc>
        <w:tc>
          <w:tcPr>
            <w:tcW w:w="3525" w:type="dxa"/>
          </w:tcPr>
          <w:p>
            <w:pPr>
              <w:pStyle w:val="TableParagraph"/>
              <w:spacing w:before="163"/>
              <w:ind w:left="529"/>
              <w:rPr>
                <w:sz w:val="36"/>
              </w:rPr>
            </w:pPr>
            <w:r>
              <w:rPr>
                <w:sz w:val="36"/>
              </w:rPr>
              <w:t>7.5-8.5</w:t>
            </w:r>
          </w:p>
        </w:tc>
      </w:tr>
      <w:tr>
        <w:tblPrEx>
          <w:tblW w:w="0" w:type="auto"/>
          <w:jc w:val="left"/>
          <w:tblInd w:w="1572" w:type="dxa"/>
          <w:tblLayout w:type="fixed"/>
          <w:tblCellMar>
            <w:top w:w="0" w:type="dxa"/>
            <w:left w:w="0" w:type="dxa"/>
            <w:bottom w:w="0" w:type="dxa"/>
            <w:right w:w="0" w:type="dxa"/>
          </w:tblCellMar>
          <w:tblLook w:val="01E0"/>
        </w:tblPrEx>
        <w:trPr>
          <w:trHeight w:val="788"/>
          <w:jc w:val="left"/>
        </w:trPr>
        <w:tc>
          <w:tcPr>
            <w:tcW w:w="4383" w:type="dxa"/>
          </w:tcPr>
          <w:p>
            <w:pPr>
              <w:pStyle w:val="TableParagraph"/>
              <w:spacing w:before="163"/>
              <w:ind w:left="860"/>
              <w:rPr>
                <w:sz w:val="36"/>
              </w:rPr>
            </w:pPr>
            <w:r>
              <w:rPr>
                <w:sz w:val="36"/>
              </w:rPr>
              <w:t>水温 ：</w:t>
            </w:r>
          </w:p>
        </w:tc>
        <w:tc>
          <w:tcPr>
            <w:tcW w:w="1903" w:type="dxa"/>
          </w:tcPr>
          <w:p>
            <w:pPr>
              <w:pStyle w:val="TableParagraph"/>
              <w:rPr>
                <w:rFonts w:ascii="Times New Roman"/>
                <w:sz w:val="36"/>
              </w:rPr>
            </w:pPr>
          </w:p>
        </w:tc>
        <w:tc>
          <w:tcPr>
            <w:tcW w:w="3525" w:type="dxa"/>
          </w:tcPr>
          <w:p>
            <w:pPr>
              <w:pStyle w:val="TableParagraph"/>
              <w:spacing w:before="163"/>
              <w:ind w:left="954"/>
              <w:rPr>
                <w:sz w:val="36"/>
              </w:rPr>
            </w:pPr>
            <w:r>
              <w:rPr>
                <w:sz w:val="36"/>
              </w:rPr>
              <w:t>65℃(最高温度)</w:t>
            </w:r>
          </w:p>
        </w:tc>
      </w:tr>
      <w:tr>
        <w:tblPrEx>
          <w:tblW w:w="0" w:type="auto"/>
          <w:jc w:val="left"/>
          <w:tblInd w:w="1572" w:type="dxa"/>
          <w:tblLayout w:type="fixed"/>
          <w:tblCellMar>
            <w:top w:w="0" w:type="dxa"/>
            <w:left w:w="0" w:type="dxa"/>
            <w:bottom w:w="0" w:type="dxa"/>
            <w:right w:w="0" w:type="dxa"/>
          </w:tblCellMar>
          <w:tblLook w:val="01E0"/>
        </w:tblPrEx>
        <w:trPr>
          <w:trHeight w:val="1629"/>
          <w:jc w:val="left"/>
        </w:trPr>
        <w:tc>
          <w:tcPr>
            <w:tcW w:w="4383" w:type="dxa"/>
          </w:tcPr>
          <w:p>
            <w:pPr>
              <w:pStyle w:val="TableParagraph"/>
              <w:spacing w:before="163"/>
              <w:ind w:left="860"/>
              <w:rPr>
                <w:sz w:val="36"/>
              </w:rPr>
            </w:pPr>
            <w:r>
              <w:rPr>
                <w:sz w:val="36"/>
              </w:rPr>
              <w:t>设计规模：</w:t>
            </w:r>
          </w:p>
          <w:p>
            <w:pPr>
              <w:pStyle w:val="TableParagraph"/>
              <w:numPr>
                <w:ilvl w:val="0"/>
                <w:numId w:val="33"/>
              </w:numPr>
              <w:tabs>
                <w:tab w:val="left" w:pos="679"/>
                <w:tab w:val="left" w:pos="680"/>
              </w:tabs>
              <w:spacing w:before="313" w:after="0" w:line="240" w:lineRule="auto"/>
              <w:ind w:left="680" w:right="0" w:hanging="630"/>
              <w:jc w:val="left"/>
              <w:rPr>
                <w:sz w:val="36"/>
              </w:rPr>
            </w:pPr>
            <w:r>
              <w:rPr>
                <w:sz w:val="36"/>
              </w:rPr>
              <w:t>浆板机废水参数：</w:t>
            </w:r>
          </w:p>
        </w:tc>
        <w:tc>
          <w:tcPr>
            <w:tcW w:w="1903" w:type="dxa"/>
          </w:tcPr>
          <w:p>
            <w:pPr>
              <w:pStyle w:val="TableParagraph"/>
              <w:rPr>
                <w:rFonts w:ascii="Times New Roman"/>
                <w:sz w:val="36"/>
              </w:rPr>
            </w:pPr>
          </w:p>
        </w:tc>
        <w:tc>
          <w:tcPr>
            <w:tcW w:w="3525" w:type="dxa"/>
          </w:tcPr>
          <w:p>
            <w:pPr>
              <w:pStyle w:val="TableParagraph"/>
              <w:spacing w:before="163"/>
              <w:ind w:left="105"/>
              <w:rPr>
                <w:sz w:val="36"/>
              </w:rPr>
            </w:pPr>
            <w:r>
              <w:rPr>
                <w:sz w:val="36"/>
              </w:rPr>
              <w:t>10000 m</w:t>
            </w:r>
            <w:r>
              <w:rPr>
                <w:position w:val="3"/>
                <w:sz w:val="18"/>
              </w:rPr>
              <w:t>3</w:t>
            </w:r>
            <w:r>
              <w:rPr>
                <w:sz w:val="36"/>
              </w:rPr>
              <w:t>/d</w:t>
            </w:r>
          </w:p>
        </w:tc>
      </w:tr>
      <w:tr>
        <w:tblPrEx>
          <w:tblW w:w="0" w:type="auto"/>
          <w:jc w:val="left"/>
          <w:tblInd w:w="1572" w:type="dxa"/>
          <w:tblLayout w:type="fixed"/>
          <w:tblCellMar>
            <w:top w:w="0" w:type="dxa"/>
            <w:left w:w="0" w:type="dxa"/>
            <w:bottom w:w="0" w:type="dxa"/>
            <w:right w:w="0" w:type="dxa"/>
          </w:tblCellMar>
          <w:tblLook w:val="01E0"/>
        </w:tblPrEx>
        <w:trPr>
          <w:trHeight w:val="830"/>
          <w:jc w:val="left"/>
        </w:trPr>
        <w:tc>
          <w:tcPr>
            <w:tcW w:w="4383" w:type="dxa"/>
          </w:tcPr>
          <w:p>
            <w:pPr>
              <w:pStyle w:val="TableParagraph"/>
              <w:spacing w:before="205"/>
              <w:ind w:left="860"/>
              <w:rPr>
                <w:sz w:val="36"/>
              </w:rPr>
            </w:pPr>
            <w:r>
              <w:rPr>
                <w:sz w:val="36"/>
              </w:rPr>
              <w:t>CODcr ：</w:t>
            </w:r>
          </w:p>
        </w:tc>
        <w:tc>
          <w:tcPr>
            <w:tcW w:w="1903" w:type="dxa"/>
          </w:tcPr>
          <w:p>
            <w:pPr>
              <w:pStyle w:val="TableParagraph"/>
              <w:rPr>
                <w:rFonts w:ascii="Times New Roman"/>
                <w:sz w:val="36"/>
              </w:rPr>
            </w:pPr>
          </w:p>
        </w:tc>
        <w:tc>
          <w:tcPr>
            <w:tcW w:w="3525" w:type="dxa"/>
          </w:tcPr>
          <w:p>
            <w:pPr>
              <w:pStyle w:val="TableParagraph"/>
              <w:spacing w:before="205"/>
              <w:ind w:left="529"/>
              <w:rPr>
                <w:sz w:val="36"/>
              </w:rPr>
            </w:pPr>
            <w:r>
              <w:rPr>
                <w:sz w:val="36"/>
              </w:rPr>
              <w:t>1000mg/l</w:t>
            </w:r>
          </w:p>
        </w:tc>
      </w:tr>
      <w:tr>
        <w:tblPrEx>
          <w:tblW w:w="0" w:type="auto"/>
          <w:jc w:val="left"/>
          <w:tblInd w:w="1572" w:type="dxa"/>
          <w:tblLayout w:type="fixed"/>
          <w:tblCellMar>
            <w:top w:w="0" w:type="dxa"/>
            <w:left w:w="0" w:type="dxa"/>
            <w:bottom w:w="0" w:type="dxa"/>
            <w:right w:w="0" w:type="dxa"/>
          </w:tblCellMar>
          <w:tblLook w:val="01E0"/>
        </w:tblPrEx>
        <w:trPr>
          <w:trHeight w:val="788"/>
          <w:jc w:val="left"/>
        </w:trPr>
        <w:tc>
          <w:tcPr>
            <w:tcW w:w="4383" w:type="dxa"/>
          </w:tcPr>
          <w:p>
            <w:pPr>
              <w:pStyle w:val="TableParagraph"/>
              <w:spacing w:before="164"/>
              <w:ind w:left="860"/>
              <w:rPr>
                <w:sz w:val="36"/>
              </w:rPr>
            </w:pPr>
            <w:r>
              <w:rPr>
                <w:sz w:val="36"/>
              </w:rPr>
              <w:t>BOD5 :</w:t>
            </w:r>
          </w:p>
        </w:tc>
        <w:tc>
          <w:tcPr>
            <w:tcW w:w="1903" w:type="dxa"/>
          </w:tcPr>
          <w:p>
            <w:pPr>
              <w:pStyle w:val="TableParagraph"/>
              <w:rPr>
                <w:rFonts w:ascii="Times New Roman"/>
                <w:sz w:val="36"/>
              </w:rPr>
            </w:pPr>
          </w:p>
        </w:tc>
        <w:tc>
          <w:tcPr>
            <w:tcW w:w="3525" w:type="dxa"/>
          </w:tcPr>
          <w:p>
            <w:pPr>
              <w:pStyle w:val="TableParagraph"/>
              <w:spacing w:before="164"/>
              <w:ind w:left="954"/>
              <w:rPr>
                <w:sz w:val="36"/>
              </w:rPr>
            </w:pPr>
            <w:r>
              <w:rPr>
                <w:sz w:val="36"/>
              </w:rPr>
              <w:t>550 mg/l</w:t>
            </w:r>
          </w:p>
        </w:tc>
      </w:tr>
      <w:tr>
        <w:tblPrEx>
          <w:tblW w:w="0" w:type="auto"/>
          <w:jc w:val="left"/>
          <w:tblInd w:w="1572" w:type="dxa"/>
          <w:tblLayout w:type="fixed"/>
          <w:tblCellMar>
            <w:top w:w="0" w:type="dxa"/>
            <w:left w:w="0" w:type="dxa"/>
            <w:bottom w:w="0" w:type="dxa"/>
            <w:right w:w="0" w:type="dxa"/>
          </w:tblCellMar>
          <w:tblLook w:val="01E0"/>
        </w:tblPrEx>
        <w:trPr>
          <w:trHeight w:val="788"/>
          <w:jc w:val="left"/>
        </w:trPr>
        <w:tc>
          <w:tcPr>
            <w:tcW w:w="4383" w:type="dxa"/>
          </w:tcPr>
          <w:p>
            <w:pPr>
              <w:pStyle w:val="TableParagraph"/>
              <w:spacing w:before="163"/>
              <w:ind w:left="860"/>
              <w:rPr>
                <w:sz w:val="36"/>
              </w:rPr>
            </w:pPr>
            <w:r>
              <w:rPr>
                <w:sz w:val="36"/>
              </w:rPr>
              <w:t>TSS :</w:t>
            </w:r>
          </w:p>
        </w:tc>
        <w:tc>
          <w:tcPr>
            <w:tcW w:w="1903" w:type="dxa"/>
          </w:tcPr>
          <w:p>
            <w:pPr>
              <w:pStyle w:val="TableParagraph"/>
              <w:rPr>
                <w:rFonts w:ascii="Times New Roman"/>
                <w:sz w:val="36"/>
              </w:rPr>
            </w:pPr>
          </w:p>
        </w:tc>
        <w:tc>
          <w:tcPr>
            <w:tcW w:w="3525" w:type="dxa"/>
          </w:tcPr>
          <w:p>
            <w:pPr>
              <w:pStyle w:val="TableParagraph"/>
              <w:spacing w:before="163"/>
              <w:ind w:left="1804"/>
              <w:rPr>
                <w:sz w:val="36"/>
              </w:rPr>
            </w:pPr>
            <w:r>
              <w:rPr>
                <w:sz w:val="36"/>
              </w:rPr>
              <w:t>500 mg/l</w:t>
            </w:r>
          </w:p>
        </w:tc>
      </w:tr>
      <w:tr>
        <w:tblPrEx>
          <w:tblW w:w="0" w:type="auto"/>
          <w:jc w:val="left"/>
          <w:tblInd w:w="1572" w:type="dxa"/>
          <w:tblLayout w:type="fixed"/>
          <w:tblCellMar>
            <w:top w:w="0" w:type="dxa"/>
            <w:left w:w="0" w:type="dxa"/>
            <w:bottom w:w="0" w:type="dxa"/>
            <w:right w:w="0" w:type="dxa"/>
          </w:tblCellMar>
          <w:tblLook w:val="01E0"/>
        </w:tblPrEx>
        <w:trPr>
          <w:trHeight w:val="788"/>
          <w:jc w:val="left"/>
        </w:trPr>
        <w:tc>
          <w:tcPr>
            <w:tcW w:w="4383" w:type="dxa"/>
          </w:tcPr>
          <w:p>
            <w:pPr>
              <w:pStyle w:val="TableParagraph"/>
              <w:spacing w:before="163"/>
              <w:ind w:left="860"/>
              <w:rPr>
                <w:sz w:val="36"/>
              </w:rPr>
            </w:pPr>
            <w:r>
              <w:rPr>
                <w:sz w:val="36"/>
              </w:rPr>
              <w:t>PH 值 ：</w:t>
            </w:r>
          </w:p>
        </w:tc>
        <w:tc>
          <w:tcPr>
            <w:tcW w:w="1903" w:type="dxa"/>
          </w:tcPr>
          <w:p>
            <w:pPr>
              <w:pStyle w:val="TableParagraph"/>
              <w:rPr>
                <w:rFonts w:ascii="Times New Roman"/>
                <w:sz w:val="36"/>
              </w:rPr>
            </w:pPr>
          </w:p>
        </w:tc>
        <w:tc>
          <w:tcPr>
            <w:tcW w:w="3525" w:type="dxa"/>
          </w:tcPr>
          <w:p>
            <w:pPr>
              <w:pStyle w:val="TableParagraph"/>
              <w:spacing w:before="163"/>
              <w:ind w:left="954"/>
              <w:rPr>
                <w:sz w:val="36"/>
              </w:rPr>
            </w:pPr>
            <w:r>
              <w:rPr>
                <w:sz w:val="36"/>
              </w:rPr>
              <w:t>7.0—8.0</w:t>
            </w:r>
          </w:p>
        </w:tc>
      </w:tr>
      <w:tr>
        <w:tblPrEx>
          <w:tblW w:w="0" w:type="auto"/>
          <w:jc w:val="left"/>
          <w:tblInd w:w="1572" w:type="dxa"/>
          <w:tblLayout w:type="fixed"/>
          <w:tblCellMar>
            <w:top w:w="0" w:type="dxa"/>
            <w:left w:w="0" w:type="dxa"/>
            <w:bottom w:w="0" w:type="dxa"/>
            <w:right w:w="0" w:type="dxa"/>
          </w:tblCellMar>
          <w:tblLook w:val="01E0"/>
        </w:tblPrEx>
        <w:trPr>
          <w:trHeight w:val="788"/>
          <w:jc w:val="left"/>
        </w:trPr>
        <w:tc>
          <w:tcPr>
            <w:tcW w:w="4383" w:type="dxa"/>
          </w:tcPr>
          <w:p>
            <w:pPr>
              <w:pStyle w:val="TableParagraph"/>
              <w:spacing w:before="163"/>
              <w:ind w:left="860"/>
              <w:rPr>
                <w:sz w:val="36"/>
              </w:rPr>
            </w:pPr>
            <w:r>
              <w:rPr>
                <w:sz w:val="36"/>
              </w:rPr>
              <w:t>水 温 ：</w:t>
            </w:r>
          </w:p>
        </w:tc>
        <w:tc>
          <w:tcPr>
            <w:tcW w:w="1903" w:type="dxa"/>
          </w:tcPr>
          <w:p>
            <w:pPr>
              <w:pStyle w:val="TableParagraph"/>
              <w:rPr>
                <w:rFonts w:ascii="Times New Roman"/>
                <w:sz w:val="36"/>
              </w:rPr>
            </w:pPr>
          </w:p>
        </w:tc>
        <w:tc>
          <w:tcPr>
            <w:tcW w:w="3525" w:type="dxa"/>
          </w:tcPr>
          <w:p>
            <w:pPr>
              <w:pStyle w:val="TableParagraph"/>
              <w:spacing w:before="163"/>
              <w:ind w:left="954"/>
              <w:rPr>
                <w:sz w:val="36"/>
              </w:rPr>
            </w:pPr>
            <w:r>
              <w:rPr>
                <w:sz w:val="36"/>
              </w:rPr>
              <w:t>30—40℃</w:t>
            </w:r>
          </w:p>
        </w:tc>
      </w:tr>
      <w:tr>
        <w:tblPrEx>
          <w:tblW w:w="0" w:type="auto"/>
          <w:jc w:val="left"/>
          <w:tblInd w:w="1572" w:type="dxa"/>
          <w:tblLayout w:type="fixed"/>
          <w:tblCellMar>
            <w:top w:w="0" w:type="dxa"/>
            <w:left w:w="0" w:type="dxa"/>
            <w:bottom w:w="0" w:type="dxa"/>
            <w:right w:w="0" w:type="dxa"/>
          </w:tblCellMar>
          <w:tblLook w:val="01E0"/>
        </w:tblPrEx>
        <w:trPr>
          <w:trHeight w:val="574"/>
          <w:jc w:val="left"/>
        </w:trPr>
        <w:tc>
          <w:tcPr>
            <w:tcW w:w="4383" w:type="dxa"/>
          </w:tcPr>
          <w:p>
            <w:pPr>
              <w:pStyle w:val="TableParagraph"/>
              <w:spacing w:before="163" w:line="391" w:lineRule="exact"/>
              <w:ind w:left="860"/>
              <w:rPr>
                <w:sz w:val="36"/>
              </w:rPr>
            </w:pPr>
            <w:r>
              <w:rPr>
                <w:sz w:val="36"/>
              </w:rPr>
              <w:t>设计排水量：</w:t>
            </w:r>
          </w:p>
        </w:tc>
        <w:tc>
          <w:tcPr>
            <w:tcW w:w="1903" w:type="dxa"/>
          </w:tcPr>
          <w:p>
            <w:pPr>
              <w:pStyle w:val="TableParagraph"/>
              <w:rPr>
                <w:rFonts w:ascii="Times New Roman"/>
                <w:sz w:val="36"/>
              </w:rPr>
            </w:pPr>
          </w:p>
        </w:tc>
        <w:tc>
          <w:tcPr>
            <w:tcW w:w="3525" w:type="dxa"/>
          </w:tcPr>
          <w:p>
            <w:pPr>
              <w:pStyle w:val="TableParagraph"/>
              <w:spacing w:before="163" w:line="391" w:lineRule="exact"/>
              <w:ind w:left="105"/>
              <w:rPr>
                <w:sz w:val="36"/>
              </w:rPr>
            </w:pPr>
            <w:r>
              <w:rPr>
                <w:sz w:val="36"/>
              </w:rPr>
              <w:t>6000m</w:t>
            </w:r>
            <w:r>
              <w:rPr>
                <w:position w:val="3"/>
                <w:sz w:val="18"/>
              </w:rPr>
              <w:t>3</w:t>
            </w:r>
            <w:r>
              <w:rPr>
                <w:sz w:val="36"/>
              </w:rPr>
              <w:t>/d</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15"/>
        </w:rPr>
      </w:pPr>
    </w:p>
    <w:p>
      <w:pPr>
        <w:pStyle w:val="BodyText"/>
        <w:spacing w:before="50"/>
        <w:ind w:left="733"/>
      </w:pPr>
      <w:r>
        <w:t>注：</w:t>
      </w:r>
    </w:p>
    <w:p>
      <w:pPr>
        <w:spacing w:after="0"/>
        <w:sectPr>
          <w:pgSz w:w="17870" w:h="25260"/>
          <w:pgMar w:top="2440" w:right="940" w:bottom="280" w:left="1420" w:header="708" w:footer="708"/>
          <w:pgNumType w:start="38"/>
          <w:cols w:space="708"/>
        </w:sectPr>
      </w:pPr>
    </w:p>
    <w:p>
      <w:pPr>
        <w:pStyle w:val="BodyText"/>
        <w:spacing w:before="24"/>
        <w:ind w:left="733"/>
      </w:pPr>
      <w:r>
        <w:drawing>
          <wp:anchor distT="0" distB="0" distL="0" distR="0" simplePos="0" relativeHeight="251698176" behindDoc="1" locked="0" layoutInCell="1" allowOverlap="1">
            <wp:simplePos x="0" y="0"/>
            <wp:positionH relativeFrom="page">
              <wp:posOffset>1358900</wp:posOffset>
            </wp:positionH>
            <wp:positionV relativeFrom="paragraph">
              <wp:posOffset>272415</wp:posOffset>
            </wp:positionV>
            <wp:extent cx="1625600" cy="38100"/>
            <wp:effectExtent l="0" t="0" r="0" b="0"/>
            <wp:wrapNone/>
            <wp:docPr id="3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26.png"/>
                    <pic:cNvPicPr/>
                  </pic:nvPicPr>
                  <pic:blipFill>
                    <a:blip xmlns:r="http://schemas.openxmlformats.org/officeDocument/2006/relationships" r:embed="rId29" cstate="print"/>
                    <a:stretch>
                      <a:fillRect/>
                    </a:stretch>
                  </pic:blipFill>
                  <pic:spPr>
                    <a:xfrm>
                      <a:off x="0" y="0"/>
                      <a:ext cx="1625600" cy="38100"/>
                    </a:xfrm>
                    <a:prstGeom prst="rect">
                      <a:avLst/>
                    </a:prstGeom>
                  </pic:spPr>
                </pic:pic>
              </a:graphicData>
            </a:graphic>
          </wp:anchor>
        </w:drawing>
      </w:r>
      <w:r>
        <w:t>设计整体计划：</w:t>
      </w:r>
    </w:p>
    <w:p>
      <w:pPr>
        <w:pStyle w:val="BodyText"/>
      </w:pPr>
    </w:p>
    <w:p>
      <w:pPr>
        <w:pStyle w:val="BodyText"/>
        <w:spacing w:before="320"/>
        <w:ind w:left="733"/>
      </w:pPr>
      <w:r>
        <w:t>由于瑞丰规划一期先上 15 万吨杨木化机浆和 10 万吨的浆板纸机，二期准备再上 15 万吨</w:t>
      </w:r>
    </w:p>
    <w:p>
      <w:pPr>
        <w:pStyle w:val="BodyText"/>
        <w:spacing w:before="241" w:line="364" w:lineRule="auto"/>
        <w:ind w:left="308" w:right="972"/>
      </w:pPr>
      <w:r>
        <w:rPr>
          <w:spacing w:val="-18"/>
        </w:rPr>
        <w:t xml:space="preserve">化机浆和 </w:t>
      </w:r>
      <w:r>
        <w:t>30</w:t>
      </w:r>
      <w:r>
        <w:rPr>
          <w:spacing w:val="-11"/>
        </w:rPr>
        <w:t xml:space="preserve"> 万吨的造纸机项目，帕克公司将一次总体规划，并分步实施，为二期项目预留</w:t>
      </w:r>
      <w:r>
        <w:t>场地。</w:t>
      </w:r>
    </w:p>
    <w:p>
      <w:pPr>
        <w:pStyle w:val="BodyText"/>
        <w:spacing w:before="181"/>
        <w:ind w:left="985"/>
      </w:pPr>
      <w:r>
        <w:t>招标文件 2.3 要求，本次设计废水处理系统处理能力为：</w:t>
      </w:r>
    </w:p>
    <w:p>
      <w:pPr>
        <w:pStyle w:val="BodyText"/>
        <w:spacing w:before="11"/>
        <w:rPr>
          <w:sz w:val="32"/>
        </w:rPr>
      </w:pPr>
    </w:p>
    <w:p>
      <w:pPr>
        <w:pStyle w:val="ListParagraph"/>
        <w:numPr>
          <w:ilvl w:val="3"/>
          <w:numId w:val="51"/>
        </w:numPr>
        <w:tabs>
          <w:tab w:val="left" w:pos="2425"/>
          <w:tab w:val="left" w:pos="2426"/>
          <w:tab w:val="left" w:pos="5831"/>
        </w:tabs>
        <w:spacing w:before="0" w:after="0" w:line="240" w:lineRule="auto"/>
        <w:ind w:left="2425" w:right="0" w:hanging="721"/>
        <w:jc w:val="left"/>
        <w:rPr>
          <w:sz w:val="36"/>
        </w:rPr>
      </w:pPr>
      <w:r>
        <w:rPr>
          <w:sz w:val="36"/>
        </w:rPr>
        <w:t>厌氧系统</w:t>
        <w:tab/>
        <w:t>10000 m</w:t>
      </w:r>
      <w:r>
        <w:rPr>
          <w:position w:val="3"/>
          <w:sz w:val="18"/>
        </w:rPr>
        <w:t>3</w:t>
      </w:r>
      <w:r>
        <w:rPr>
          <w:sz w:val="36"/>
        </w:rPr>
        <w:t>/d</w:t>
      </w:r>
    </w:p>
    <w:p>
      <w:pPr>
        <w:pStyle w:val="BodyText"/>
        <w:spacing w:before="11"/>
        <w:rPr>
          <w:sz w:val="32"/>
        </w:rPr>
      </w:pPr>
    </w:p>
    <w:p>
      <w:pPr>
        <w:pStyle w:val="ListParagraph"/>
        <w:numPr>
          <w:ilvl w:val="3"/>
          <w:numId w:val="51"/>
        </w:numPr>
        <w:tabs>
          <w:tab w:val="left" w:pos="2246"/>
          <w:tab w:val="left" w:pos="6565"/>
        </w:tabs>
        <w:spacing w:before="1" w:after="0" w:line="240" w:lineRule="auto"/>
        <w:ind w:left="2245" w:right="0" w:hanging="541"/>
        <w:jc w:val="left"/>
        <w:rPr>
          <w:sz w:val="36"/>
        </w:rPr>
      </w:pPr>
      <w:r>
        <w:rPr>
          <w:sz w:val="36"/>
        </w:rPr>
        <w:t>好氧系统</w:t>
        <w:tab/>
        <w:t>16000 m</w:t>
      </w:r>
      <w:r>
        <w:rPr>
          <w:position w:val="3"/>
          <w:sz w:val="18"/>
        </w:rPr>
        <w:t>3</w:t>
      </w:r>
      <w:r>
        <w:rPr>
          <w:sz w:val="36"/>
        </w:rPr>
        <w:t>/d</w:t>
      </w:r>
    </w:p>
    <w:p>
      <w:pPr>
        <w:pStyle w:val="BodyText"/>
        <w:spacing w:before="1"/>
        <w:rPr>
          <w:sz w:val="43"/>
        </w:rPr>
      </w:pPr>
    </w:p>
    <w:p>
      <w:pPr>
        <w:pStyle w:val="Heading2"/>
        <w:numPr>
          <w:ilvl w:val="2"/>
          <w:numId w:val="51"/>
        </w:numPr>
        <w:tabs>
          <w:tab w:val="left" w:pos="1816"/>
          <w:tab w:val="left" w:pos="1817"/>
        </w:tabs>
        <w:spacing w:before="1" w:after="0" w:line="240" w:lineRule="auto"/>
        <w:ind w:left="1817" w:right="0" w:hanging="1513"/>
        <w:jc w:val="left"/>
      </w:pPr>
      <w:r>
        <w:t>污水处理能力和出水水质指标</w:t>
      </w:r>
    </w:p>
    <w:p>
      <w:pPr>
        <w:pStyle w:val="BodyText"/>
        <w:spacing w:before="330" w:line="458" w:lineRule="auto"/>
        <w:ind w:left="985" w:right="7245"/>
      </w:pPr>
      <w:r>
        <w:rPr>
          <w:spacing w:val="-19"/>
        </w:rPr>
        <w:t xml:space="preserve">招标文件 </w:t>
      </w:r>
      <w:r>
        <w:t>2.4</w:t>
      </w:r>
      <w:r>
        <w:rPr>
          <w:spacing w:val="-11"/>
        </w:rPr>
        <w:t xml:space="preserve"> 要求，污水处理后排放指标为： </w:t>
      </w:r>
      <w:r>
        <w:t>a</w:t>
      </w:r>
      <w:r>
        <w:rPr>
          <w:spacing w:val="2"/>
        </w:rPr>
        <w:t>、厌氧处理后排放指标：</w:t>
      </w:r>
    </w:p>
    <w:p>
      <w:pPr>
        <w:spacing w:after="0" w:line="458" w:lineRule="auto"/>
        <w:sectPr>
          <w:pgSz w:w="17870" w:h="25260"/>
          <w:pgMar w:top="1820" w:right="940" w:bottom="280" w:left="1420" w:header="708" w:footer="708"/>
          <w:pgNumType w:start="39"/>
          <w:cols w:space="708"/>
        </w:sectPr>
      </w:pPr>
    </w:p>
    <w:p>
      <w:pPr>
        <w:pStyle w:val="BodyText"/>
        <w:tabs>
          <w:tab w:val="left" w:pos="2785"/>
          <w:tab w:val="left" w:pos="3325"/>
          <w:tab w:val="left" w:pos="4766"/>
        </w:tabs>
        <w:spacing w:before="2" w:line="458" w:lineRule="auto"/>
        <w:ind w:left="1705" w:right="2067"/>
      </w:pPr>
      <w:r>
        <w:t>SCODcr</w:t>
        <w:tab/>
        <w:tab/>
        <w:t>去除率</w:t>
        <w:tab/>
        <w:t xml:space="preserve">≥ </w:t>
      </w:r>
      <w:r>
        <w:rPr>
          <w:spacing w:val="-6"/>
        </w:rPr>
        <w:t xml:space="preserve">65% </w:t>
      </w:r>
      <w:r>
        <w:t>BOD5</w:t>
        <w:tab/>
        <w:t>去除率</w:t>
        <w:tab/>
        <w:t xml:space="preserve">≥ </w:t>
      </w:r>
      <w:r>
        <w:rPr>
          <w:spacing w:val="-6"/>
        </w:rPr>
        <w:t>80%</w:t>
      </w:r>
    </w:p>
    <w:p>
      <w:pPr>
        <w:pStyle w:val="BodyText"/>
        <w:spacing w:before="3"/>
        <w:ind w:left="985"/>
      </w:pPr>
      <w:r>
        <w:t>b、好氧处理后排放指标</w:t>
      </w:r>
    </w:p>
    <w:p>
      <w:pPr>
        <w:pStyle w:val="BodyText"/>
        <w:spacing w:before="10"/>
        <w:rPr>
          <w:sz w:val="32"/>
        </w:rPr>
      </w:pPr>
    </w:p>
    <w:p>
      <w:pPr>
        <w:pStyle w:val="BodyText"/>
        <w:tabs>
          <w:tab w:val="left" w:pos="6205"/>
        </w:tabs>
        <w:spacing w:before="1"/>
        <w:ind w:left="1705"/>
      </w:pPr>
      <w:r>
        <w:t>CODcr ：</w:t>
        <w:tab/>
        <w:t>&lt;400mg/l</w:t>
      </w:r>
    </w:p>
    <w:p>
      <w:pPr>
        <w:pStyle w:val="BodyText"/>
        <w:spacing w:before="10"/>
        <w:rPr>
          <w:sz w:val="32"/>
        </w:rPr>
      </w:pPr>
    </w:p>
    <w:p>
      <w:pPr>
        <w:pStyle w:val="BodyText"/>
        <w:tabs>
          <w:tab w:val="left" w:pos="6475"/>
        </w:tabs>
        <w:spacing w:line="405" w:lineRule="exact"/>
        <w:ind w:left="1705"/>
      </w:pPr>
      <w:r>
        <w:t>BOD</w:t>
      </w:r>
      <w:r>
        <w:rPr>
          <w:spacing w:val="-90"/>
        </w:rPr>
        <w:t xml:space="preserve"> </w:t>
      </w:r>
      <w:r>
        <w:t>：</w:t>
        <w:tab/>
        <w:t xml:space="preserve">&lt;70 </w:t>
      </w:r>
      <w:r>
        <w:rPr>
          <w:spacing w:val="-5"/>
        </w:rPr>
        <w:t>mg/l</w:t>
      </w:r>
    </w:p>
    <w:p>
      <w:pPr>
        <w:spacing w:before="0" w:line="175" w:lineRule="exact"/>
        <w:ind w:left="2245" w:right="0" w:firstLine="0"/>
        <w:jc w:val="left"/>
        <w:rPr>
          <w:sz w:val="18"/>
        </w:rPr>
      </w:pPr>
      <w:r>
        <w:rPr>
          <w:sz w:val="18"/>
        </w:rPr>
        <w:t>5</w:t>
      </w:r>
    </w:p>
    <w:p>
      <w:pPr>
        <w:pStyle w:val="BodyText"/>
        <w:spacing w:before="2"/>
        <w:ind w:left="850"/>
      </w:pPr>
      <w:r>
        <w:br w:type="column"/>
      </w:r>
      <w:r>
        <w:t>（实际设计能力：≥</w:t>
      </w:r>
    </w:p>
    <w:p>
      <w:pPr>
        <w:pStyle w:val="BodyText"/>
        <w:spacing w:before="2"/>
        <w:ind w:left="140"/>
      </w:pPr>
      <w:r>
        <w:br w:type="column"/>
      </w:r>
      <w:r>
        <w:t>70%）</w:t>
      </w:r>
    </w:p>
    <w:p>
      <w:pPr>
        <w:spacing w:after="0"/>
        <w:sectPr>
          <w:type w:val="continuous"/>
          <w:pgSz w:w="17870" w:h="25260"/>
          <w:pgMar w:top="1720" w:right="940" w:bottom="280" w:left="1420" w:header="708" w:footer="708"/>
          <w:pgNumType w:start="40"/>
          <w:cols w:num="3" w:space="708" w:equalWidth="0">
            <w:col w:w="7916" w:space="40"/>
            <w:col w:w="4091" w:space="39"/>
            <w:col w:w="3424" w:space="0"/>
          </w:cols>
        </w:sectPr>
      </w:pPr>
    </w:p>
    <w:p>
      <w:pPr>
        <w:pStyle w:val="BodyText"/>
        <w:spacing w:before="10"/>
        <w:rPr>
          <w:sz w:val="19"/>
        </w:rPr>
      </w:pPr>
    </w:p>
    <w:p>
      <w:pPr>
        <w:pStyle w:val="BodyText"/>
        <w:tabs>
          <w:tab w:val="left" w:pos="6817"/>
        </w:tabs>
        <w:spacing w:before="49"/>
        <w:ind w:left="1705"/>
      </w:pPr>
      <w:r>
        <w:t>TSS：</w:t>
        <w:tab/>
        <w:t>&lt;100 mg/l</w:t>
      </w:r>
    </w:p>
    <w:p>
      <w:pPr>
        <w:pStyle w:val="BodyText"/>
        <w:spacing w:before="12"/>
        <w:rPr>
          <w:sz w:val="32"/>
        </w:rPr>
      </w:pPr>
    </w:p>
    <w:p>
      <w:pPr>
        <w:pStyle w:val="BodyText"/>
        <w:tabs>
          <w:tab w:val="left" w:pos="7015"/>
        </w:tabs>
        <w:ind w:left="1705"/>
      </w:pPr>
      <w:r>
        <w:t>PH</w:t>
      </w:r>
      <w:r>
        <w:rPr>
          <w:spacing w:val="-90"/>
        </w:rPr>
        <w:t xml:space="preserve"> </w:t>
      </w:r>
      <w:r>
        <w:t>值 ：</w:t>
        <w:tab/>
        <w:t>6.0—9.0</w:t>
      </w:r>
    </w:p>
    <w:p>
      <w:pPr>
        <w:spacing w:after="0"/>
        <w:sectPr>
          <w:type w:val="continuous"/>
          <w:pgSz w:w="17870" w:h="25260"/>
          <w:pgMar w:top="1720" w:right="940" w:bottom="280" w:left="1420" w:header="708" w:footer="708"/>
          <w:pgNumType w:start="41"/>
          <w:cols w:space="708"/>
        </w:sectPr>
      </w:pPr>
    </w:p>
    <w:p>
      <w:pPr>
        <w:pStyle w:val="Heading1"/>
        <w:numPr>
          <w:ilvl w:val="1"/>
          <w:numId w:val="35"/>
        </w:numPr>
        <w:tabs>
          <w:tab w:val="left" w:pos="2857"/>
          <w:tab w:val="left" w:pos="2858"/>
        </w:tabs>
        <w:spacing w:before="21" w:after="0" w:line="240" w:lineRule="auto"/>
        <w:ind w:left="2857" w:right="0" w:hanging="1157"/>
        <w:jc w:val="left"/>
      </w:pPr>
      <w:r>
        <w:t>工艺描述</w:t>
      </w:r>
    </w:p>
    <w:p>
      <w:pPr>
        <w:pStyle w:val="BodyText"/>
        <w:spacing w:before="12"/>
        <w:rPr>
          <w:b/>
          <w:sz w:val="51"/>
        </w:rPr>
      </w:pPr>
    </w:p>
    <w:p>
      <w:pPr>
        <w:pStyle w:val="BodyText"/>
        <w:ind w:left="2252"/>
      </w:pPr>
      <w:r>
        <w:t>全面的描述将在下述每个工艺单元逐步展开。</w:t>
      </w:r>
    </w:p>
    <w:p>
      <w:pPr>
        <w:pStyle w:val="BodyText"/>
      </w:pPr>
    </w:p>
    <w:p>
      <w:pPr>
        <w:pStyle w:val="Heading2"/>
        <w:numPr>
          <w:ilvl w:val="2"/>
          <w:numId w:val="32"/>
        </w:numPr>
        <w:tabs>
          <w:tab w:val="left" w:pos="1583"/>
        </w:tabs>
        <w:spacing w:before="272" w:after="0" w:line="240" w:lineRule="auto"/>
        <w:ind w:left="1583" w:right="0" w:hanging="1279"/>
        <w:jc w:val="left"/>
      </w:pPr>
      <w:r>
        <w:rPr>
          <w:spacing w:val="-22"/>
        </w:rPr>
        <w:t xml:space="preserve">高浓度 </w:t>
      </w:r>
      <w:r>
        <w:t>APMP</w:t>
      </w:r>
      <w:r>
        <w:rPr>
          <w:spacing w:val="-13"/>
        </w:rPr>
        <w:t xml:space="preserve"> 废水的预处理</w:t>
      </w:r>
    </w:p>
    <w:p>
      <w:pPr>
        <w:pStyle w:val="BodyText"/>
        <w:spacing w:before="7"/>
        <w:rPr>
          <w:b/>
          <w:sz w:val="30"/>
        </w:rPr>
      </w:pPr>
    </w:p>
    <w:p>
      <w:pPr>
        <w:pStyle w:val="BodyText"/>
        <w:ind w:left="2252"/>
      </w:pPr>
      <w:r>
        <w:t>APMP 的废水在进入生物处理之前，首先进行预处理。</w:t>
      </w:r>
    </w:p>
    <w:p>
      <w:pPr>
        <w:pStyle w:val="BodyText"/>
      </w:pPr>
    </w:p>
    <w:p>
      <w:pPr>
        <w:pStyle w:val="Heading4"/>
        <w:numPr>
          <w:ilvl w:val="3"/>
          <w:numId w:val="32"/>
        </w:numPr>
        <w:tabs>
          <w:tab w:val="left" w:pos="2007"/>
          <w:tab w:val="left" w:pos="2008"/>
        </w:tabs>
        <w:spacing w:before="320" w:after="0" w:line="240" w:lineRule="auto"/>
        <w:ind w:left="2007" w:right="0" w:hanging="1700"/>
        <w:jc w:val="left"/>
      </w:pPr>
      <w:r>
        <w:rPr>
          <w:spacing w:val="3"/>
        </w:rPr>
        <w:t>机械格栅/</w:t>
      </w:r>
      <w:r>
        <w:t>集水井</w:t>
      </w:r>
    </w:p>
    <w:p>
      <w:pPr>
        <w:pStyle w:val="BodyText"/>
        <w:spacing w:before="11"/>
        <w:rPr>
          <w:b/>
          <w:sz w:val="32"/>
        </w:rPr>
      </w:pPr>
    </w:p>
    <w:p>
      <w:pPr>
        <w:pStyle w:val="BodyText"/>
        <w:spacing w:line="364" w:lineRule="auto"/>
        <w:ind w:left="308" w:right="612" w:firstLine="670"/>
      </w:pPr>
      <w:r>
        <w:t>废水经过的第一步物化预处理是用连续运转的机械格栅（5mm）去除废水中的大块杂物如碎屑、大纤维等，以保护后续运转部件的安全，随后废水流入后续的集水井。参照帕克公司</w:t>
      </w:r>
      <w:r>
        <w:rPr>
          <w:spacing w:val="-23"/>
        </w:rPr>
        <w:t xml:space="preserve">在荷兰 </w:t>
      </w:r>
      <w:r>
        <w:t>Erbeek</w:t>
      </w:r>
      <w:r>
        <w:rPr>
          <w:spacing w:val="-11"/>
        </w:rPr>
        <w:t xml:space="preserve"> 的制浆造纸污水处理厂的成熟设计，格栅采用间歇式的运装方式：当废水由下</w:t>
      </w:r>
      <w:r>
        <w:t>水道流入污水处理厂，其先通过静止的格栅，水中的大的木屑和纤维首先被截留在格栅的表面，同时在格栅的空隙上形成搭桥的过滤作用（功能类似于制浆造纸的多圆盘纤维回收</w:t>
      </w:r>
    </w:p>
    <w:p>
      <w:pPr>
        <w:pStyle w:val="BodyText"/>
        <w:spacing w:before="5" w:line="364" w:lineRule="auto"/>
        <w:ind w:left="308" w:right="610"/>
      </w:pPr>
      <w:r>
        <w:t>机），大部分细小的纤维也会被截留，这样污水流通过格栅的速度将变慢，集水井的水位将升高，当液位探测仪探到高液位时（可以预先设置），</w:t>
      </w:r>
      <w:r>
        <w:rPr>
          <w:spacing w:val="-30"/>
        </w:rPr>
        <w:t xml:space="preserve">通过 </w:t>
      </w:r>
      <w:r>
        <w:t>PLC</w:t>
      </w:r>
      <w:r>
        <w:rPr>
          <w:spacing w:val="-60"/>
        </w:rPr>
        <w:t xml:space="preserve"> 或 </w:t>
      </w:r>
      <w:r>
        <w:t>DCS</w:t>
      </w:r>
      <w:r>
        <w:rPr>
          <w:spacing w:val="-11"/>
        </w:rPr>
        <w:t xml:space="preserve"> 启动格栅，将其截留</w:t>
      </w:r>
      <w:r>
        <w:rPr>
          <w:spacing w:val="-51"/>
        </w:rPr>
        <w:t xml:space="preserve">的 </w:t>
      </w:r>
      <w:r>
        <w:t>SS</w:t>
      </w:r>
      <w:r>
        <w:rPr>
          <w:spacing w:val="-12"/>
        </w:rPr>
        <w:t xml:space="preserve"> 提升排出，这样格栅的通过污水的能力恢复，集水井的液位下降到低液位，格栅将停止</w:t>
      </w:r>
      <w:r>
        <w:rPr>
          <w:spacing w:val="-4"/>
        </w:rPr>
        <w:t xml:space="preserve">运转。这样设计一方面过滤的效果较好，不仅可以过滤大的 </w:t>
      </w:r>
      <w:r>
        <w:t>SS，</w:t>
      </w:r>
      <w:r>
        <w:rPr>
          <w:spacing w:val="-9"/>
        </w:rPr>
        <w:t xml:space="preserve">还能过滤一部分细小的 </w:t>
      </w:r>
      <w:r>
        <w:rPr>
          <w:spacing w:val="-6"/>
        </w:rPr>
        <w:t xml:space="preserve">SS， </w:t>
      </w:r>
      <w:r>
        <w:t>同时还能够节省电力的消耗。</w:t>
      </w:r>
    </w:p>
    <w:p>
      <w:pPr>
        <w:pStyle w:val="BodyText"/>
        <w:spacing w:before="6"/>
        <w:rPr>
          <w:sz w:val="28"/>
        </w:rPr>
      </w:pPr>
    </w:p>
    <w:p>
      <w:pPr>
        <w:pStyle w:val="Heading4"/>
        <w:numPr>
          <w:ilvl w:val="3"/>
          <w:numId w:val="32"/>
        </w:numPr>
        <w:tabs>
          <w:tab w:val="left" w:pos="2007"/>
          <w:tab w:val="left" w:pos="2008"/>
        </w:tabs>
        <w:spacing w:before="0" w:after="0" w:line="240" w:lineRule="auto"/>
        <w:ind w:left="2007" w:right="0" w:hanging="1700"/>
        <w:jc w:val="left"/>
      </w:pPr>
      <w:r>
        <w:rPr>
          <w:w w:val="95"/>
        </w:rPr>
        <w:t>初沉池</w:t>
      </w:r>
    </w:p>
    <w:p>
      <w:pPr>
        <w:pStyle w:val="BodyText"/>
        <w:spacing w:before="12"/>
        <w:rPr>
          <w:b/>
          <w:sz w:val="32"/>
        </w:rPr>
      </w:pPr>
    </w:p>
    <w:p>
      <w:pPr>
        <w:pStyle w:val="BodyText"/>
        <w:spacing w:line="364" w:lineRule="auto"/>
        <w:ind w:left="308" w:right="610" w:firstLine="670"/>
      </w:pPr>
      <w:r>
        <w:rPr>
          <w:spacing w:val="-6"/>
        </w:rPr>
        <w:t xml:space="preserve">幅流式初沉池，设计表面负荷为 </w:t>
      </w:r>
      <w:r>
        <w:t>0.75m</w:t>
      </w:r>
      <w:r>
        <w:rPr>
          <w:position w:val="3"/>
          <w:sz w:val="18"/>
        </w:rPr>
        <w:t>3</w:t>
      </w:r>
      <w:r>
        <w:t>/m</w:t>
      </w:r>
      <w:r>
        <w:rPr>
          <w:position w:val="3"/>
          <w:sz w:val="18"/>
        </w:rPr>
        <w:t>2</w:t>
      </w:r>
      <w:r>
        <w:t>/h</w:t>
      </w:r>
      <w:r>
        <w:rPr>
          <w:spacing w:val="-24"/>
        </w:rPr>
        <w:t xml:space="preserve"> 左右，直径为 </w:t>
      </w:r>
      <w:r>
        <w:t>26</w:t>
      </w:r>
      <w:r>
        <w:rPr>
          <w:spacing w:val="-24"/>
        </w:rPr>
        <w:t xml:space="preserve"> 米。废水中的 </w:t>
      </w:r>
      <w:r>
        <w:t>SS（设计负</w:t>
      </w:r>
      <w:r>
        <w:rPr>
          <w:spacing w:val="-46"/>
        </w:rPr>
        <w:t xml:space="preserve">荷 </w:t>
      </w:r>
      <w:r>
        <w:t>5750Kg/d）在初沉池中仅依靠重力下沉。沉降污泥在初沉池依靠刮泥机收集，并在此被高浓初沉污泥泵（一用一备）</w:t>
      </w:r>
      <w:r>
        <w:rPr>
          <w:spacing w:val="-4"/>
        </w:rPr>
        <w:t xml:space="preserve">直接输送到污水处理厂的污泥脱水间。由于此废水中的 </w:t>
      </w:r>
      <w:r>
        <w:t>SS</w:t>
      </w:r>
      <w:r>
        <w:rPr>
          <w:spacing w:val="-30"/>
        </w:rPr>
        <w:t xml:space="preserve"> 仅有675mg/l，</w:t>
      </w:r>
      <w:r>
        <w:rPr>
          <w:spacing w:val="-38"/>
        </w:rPr>
        <w:t xml:space="preserve">比较低，并此类 </w:t>
      </w:r>
      <w:r>
        <w:t>SS</w:t>
      </w:r>
      <w:r>
        <w:rPr>
          <w:spacing w:val="-14"/>
        </w:rPr>
        <w:t xml:space="preserve"> 主要是轻质的木屑和纤维，沉降性较差，其在 </w:t>
      </w:r>
      <w:r>
        <w:t>IC</w:t>
      </w:r>
      <w:r>
        <w:rPr>
          <w:spacing w:val="-17"/>
        </w:rPr>
        <w:t xml:space="preserve"> 反应器中完全</w:t>
      </w:r>
      <w:r>
        <w:t>可以冲出来，这样可以无需设立初沉池，可以设立一个旋转过滤网也就够了，但参照湖南岳阳纸业的运行经验，废水中实际上会含有较大数量的木屑，这样设立初沉池的效果要好。可以考虑在初沉池前设立机械弧形筛。</w:t>
      </w:r>
    </w:p>
    <w:p>
      <w:pPr>
        <w:spacing w:after="0" w:line="364" w:lineRule="auto"/>
        <w:sectPr>
          <w:pgSz w:w="17870" w:h="25260"/>
          <w:pgMar w:top="2260" w:right="940" w:bottom="280" w:left="1420" w:header="708" w:footer="708"/>
          <w:pgNumType w:start="42"/>
          <w:cols w:space="708"/>
        </w:sectPr>
      </w:pPr>
    </w:p>
    <w:p>
      <w:pPr>
        <w:pStyle w:val="Heading4"/>
        <w:numPr>
          <w:ilvl w:val="3"/>
          <w:numId w:val="32"/>
        </w:numPr>
        <w:tabs>
          <w:tab w:val="left" w:pos="2007"/>
          <w:tab w:val="left" w:pos="2008"/>
        </w:tabs>
        <w:spacing w:before="24" w:after="0" w:line="240" w:lineRule="auto"/>
        <w:ind w:left="2007" w:right="0" w:hanging="1700"/>
        <w:jc w:val="left"/>
      </w:pPr>
      <w:r>
        <w:t>冷却塔</w:t>
      </w:r>
    </w:p>
    <w:p>
      <w:pPr>
        <w:pStyle w:val="BodyText"/>
        <w:spacing w:before="8"/>
        <w:rPr>
          <w:b/>
          <w:sz w:val="37"/>
        </w:rPr>
      </w:pPr>
    </w:p>
    <w:p>
      <w:pPr>
        <w:pStyle w:val="BodyText"/>
        <w:spacing w:line="364" w:lineRule="auto"/>
        <w:ind w:left="1583" w:right="598" w:firstLine="669"/>
      </w:pPr>
      <w:r>
        <w:t>APMP</w:t>
      </w:r>
      <w:r>
        <w:rPr>
          <w:spacing w:val="-10"/>
        </w:rPr>
        <w:t xml:space="preserve"> 的制浆废水的水温一般比较高，需要冷却处理。逆流式机械通风冷却塔用</w:t>
      </w:r>
      <w:r>
        <w:rPr>
          <w:spacing w:val="-19"/>
        </w:rPr>
        <w:t xml:space="preserve">于废水 温度高于 </w:t>
      </w:r>
      <w:r>
        <w:t>38℃时废水的冷却降温。如果温度高于设定值，冷却塔的污水泵将</w:t>
      </w:r>
      <w:r>
        <w:rPr>
          <w:spacing w:val="-1"/>
        </w:rPr>
        <w:t>会自动开启，将废水泵入冷却塔处理后，再靠重力流入的调节预酸化池；如果温度低于设计的温度值，则污水泵会自动关闭。是否需要将废水送至冷却塔将取决于进调节</w:t>
      </w:r>
      <w:r>
        <w:t>池的废水的温度。</w:t>
      </w:r>
    </w:p>
    <w:p>
      <w:pPr>
        <w:pStyle w:val="BodyText"/>
        <w:spacing w:before="7"/>
        <w:rPr>
          <w:sz w:val="42"/>
        </w:rPr>
      </w:pPr>
    </w:p>
    <w:p>
      <w:pPr>
        <w:pStyle w:val="Heading4"/>
        <w:numPr>
          <w:ilvl w:val="3"/>
          <w:numId w:val="32"/>
        </w:numPr>
        <w:tabs>
          <w:tab w:val="left" w:pos="2007"/>
          <w:tab w:val="left" w:pos="2008"/>
        </w:tabs>
        <w:spacing w:before="0" w:after="0" w:line="240" w:lineRule="auto"/>
        <w:ind w:left="2007" w:right="0" w:hanging="1700"/>
        <w:jc w:val="left"/>
      </w:pPr>
      <w:r>
        <w:t>高浓度废水调节池</w:t>
      </w:r>
    </w:p>
    <w:p>
      <w:pPr>
        <w:pStyle w:val="BodyText"/>
        <w:spacing w:before="8"/>
        <w:rPr>
          <w:b/>
          <w:sz w:val="37"/>
        </w:rPr>
      </w:pPr>
    </w:p>
    <w:p>
      <w:pPr>
        <w:pStyle w:val="BodyText"/>
        <w:spacing w:line="364" w:lineRule="auto"/>
        <w:ind w:left="1583" w:right="747" w:firstLine="669"/>
      </w:pPr>
      <w:r>
        <w:t>高浓度废水调节池，有效容积为 1,670M</w:t>
      </w:r>
      <w:r>
        <w:rPr>
          <w:position w:val="3"/>
          <w:sz w:val="18"/>
        </w:rPr>
        <w:t>3</w:t>
      </w:r>
      <w:r>
        <w:t>，其主要的功能是调节水质和水量。调节池中装有两台潜水搅拌机以维持调节池内均匀混合及防止固形物的沉淀。</w:t>
      </w:r>
    </w:p>
    <w:p>
      <w:pPr>
        <w:pStyle w:val="BodyText"/>
        <w:spacing w:before="7"/>
        <w:rPr>
          <w:sz w:val="38"/>
        </w:rPr>
      </w:pPr>
    </w:p>
    <w:p>
      <w:pPr>
        <w:pStyle w:val="Heading2"/>
        <w:numPr>
          <w:ilvl w:val="2"/>
          <w:numId w:val="32"/>
        </w:numPr>
        <w:tabs>
          <w:tab w:val="left" w:pos="1816"/>
          <w:tab w:val="left" w:pos="1817"/>
        </w:tabs>
        <w:spacing w:before="0" w:after="0" w:line="240" w:lineRule="auto"/>
        <w:ind w:left="1817" w:right="0" w:hanging="1513"/>
        <w:jc w:val="left"/>
      </w:pPr>
      <w:r>
        <w:t>厌氧处理</w:t>
      </w:r>
    </w:p>
    <w:p>
      <w:pPr>
        <w:pStyle w:val="BodyText"/>
        <w:spacing w:before="7"/>
        <w:rPr>
          <w:b/>
          <w:sz w:val="30"/>
        </w:rPr>
      </w:pPr>
    </w:p>
    <w:p>
      <w:pPr>
        <w:pStyle w:val="BodyText"/>
        <w:spacing w:before="1" w:line="364" w:lineRule="auto"/>
        <w:ind w:left="1583" w:right="646" w:firstLine="669"/>
      </w:pPr>
      <w:r>
        <w:t>高浓度污水经过两级厌氧处理。在第一级（预酸化池）废水被充分预酸化 ， 在第二级 （IC 内循环厌氧反应器）中，大部分有机污染物被最终转化为沼气。</w:t>
      </w:r>
    </w:p>
    <w:p>
      <w:pPr>
        <w:pStyle w:val="BodyText"/>
        <w:spacing w:before="4"/>
        <w:rPr>
          <w:sz w:val="42"/>
        </w:rPr>
      </w:pPr>
    </w:p>
    <w:p>
      <w:pPr>
        <w:pStyle w:val="Heading4"/>
        <w:numPr>
          <w:ilvl w:val="3"/>
          <w:numId w:val="32"/>
        </w:numPr>
        <w:tabs>
          <w:tab w:val="left" w:pos="2007"/>
          <w:tab w:val="left" w:pos="2008"/>
        </w:tabs>
        <w:spacing w:before="0" w:after="0" w:line="240" w:lineRule="auto"/>
        <w:ind w:left="2007" w:right="0" w:hanging="1700"/>
        <w:jc w:val="left"/>
      </w:pPr>
      <w:r>
        <w:t>生物过程</w:t>
      </w:r>
    </w:p>
    <w:p>
      <w:pPr>
        <w:pStyle w:val="BodyText"/>
        <w:spacing w:before="11"/>
        <w:rPr>
          <w:b/>
          <w:sz w:val="46"/>
        </w:rPr>
      </w:pPr>
    </w:p>
    <w:p>
      <w:pPr>
        <w:pStyle w:val="BodyText"/>
        <w:ind w:left="1586"/>
      </w:pPr>
      <w:r>
        <w:t>厌氧反应主要将可生物降解性 COD 转化为沼气。整个生物厌氧反应过程可描述为</w:t>
      </w:r>
    </w:p>
    <w:p>
      <w:pPr>
        <w:pStyle w:val="BodyText"/>
        <w:rPr>
          <w:sz w:val="20"/>
        </w:rPr>
      </w:pPr>
    </w:p>
    <w:p>
      <w:pPr>
        <w:pStyle w:val="BodyText"/>
        <w:spacing w:before="11"/>
        <w:rPr>
          <w:sz w:val="27"/>
        </w:rPr>
      </w:pPr>
    </w:p>
    <w:p>
      <w:pPr>
        <w:spacing w:after="0"/>
        <w:rPr>
          <w:sz w:val="27"/>
        </w:rPr>
        <w:sectPr>
          <w:pgSz w:w="17870" w:h="25260"/>
          <w:pgMar w:top="1820" w:right="940" w:bottom="280" w:left="1420" w:header="708" w:footer="708"/>
          <w:pgNumType w:start="43"/>
          <w:cols w:space="708"/>
        </w:sectPr>
      </w:pPr>
    </w:p>
    <w:p>
      <w:pPr>
        <w:pStyle w:val="BodyText"/>
        <w:tabs>
          <w:tab w:val="left" w:pos="2842"/>
        </w:tabs>
        <w:spacing w:before="49" w:line="405" w:lineRule="exact"/>
        <w:ind w:left="1583"/>
      </w:pPr>
      <w:r>
        <w:t>COD</w:t>
        <w:tab/>
        <w:t>CH</w:t>
      </w:r>
    </w:p>
    <w:p>
      <w:pPr>
        <w:spacing w:before="0" w:line="174" w:lineRule="exact"/>
        <w:ind w:left="0" w:right="0" w:firstLine="0"/>
        <w:jc w:val="right"/>
        <w:rPr>
          <w:sz w:val="18"/>
        </w:rPr>
      </w:pPr>
      <w:r>
        <w:rPr>
          <w:sz w:val="18"/>
        </w:rPr>
        <w:t>4</w:t>
      </w:r>
    </w:p>
    <w:p>
      <w:pPr>
        <w:pStyle w:val="BodyText"/>
        <w:spacing w:before="49" w:line="405" w:lineRule="exact"/>
        <w:ind w:left="140"/>
      </w:pPr>
      <w:r>
        <w:br w:type="column"/>
      </w:r>
      <w:r>
        <w:t>+ CO</w:t>
      </w:r>
    </w:p>
    <w:p>
      <w:pPr>
        <w:spacing w:before="0" w:line="174" w:lineRule="exact"/>
        <w:ind w:left="0" w:right="0" w:firstLine="0"/>
        <w:jc w:val="right"/>
        <w:rPr>
          <w:sz w:val="18"/>
        </w:rPr>
      </w:pPr>
      <w:r>
        <w:rPr>
          <w:sz w:val="18"/>
        </w:rPr>
        <w:t>2</w:t>
      </w:r>
    </w:p>
    <w:p>
      <w:pPr>
        <w:pStyle w:val="BodyText"/>
        <w:spacing w:before="49"/>
        <w:ind w:left="140"/>
      </w:pPr>
      <w:r>
        <w:br w:type="column"/>
      </w:r>
      <w:r>
        <w:t>+新生厌氧污泥</w:t>
      </w:r>
    </w:p>
    <w:p>
      <w:pPr>
        <w:spacing w:after="0"/>
        <w:sectPr>
          <w:type w:val="continuous"/>
          <w:pgSz w:w="17870" w:h="25260"/>
          <w:pgMar w:top="1720" w:right="940" w:bottom="280" w:left="1420" w:header="708" w:footer="708"/>
          <w:pgNumType w:start="44"/>
          <w:cols w:num="3" w:space="708" w:equalWidth="0">
            <w:col w:w="3294" w:space="40"/>
            <w:col w:w="951" w:space="39"/>
            <w:col w:w="11186" w:space="0"/>
          </w:cols>
        </w:sectPr>
      </w:pPr>
    </w:p>
    <w:p>
      <w:pPr>
        <w:pStyle w:val="BodyText"/>
        <w:rPr>
          <w:sz w:val="20"/>
        </w:rPr>
      </w:pPr>
    </w:p>
    <w:p>
      <w:pPr>
        <w:pStyle w:val="BodyText"/>
        <w:spacing w:before="12"/>
        <w:rPr>
          <w:sz w:val="27"/>
        </w:rPr>
      </w:pPr>
    </w:p>
    <w:p>
      <w:pPr>
        <w:pStyle w:val="Heading4"/>
        <w:numPr>
          <w:ilvl w:val="3"/>
          <w:numId w:val="32"/>
        </w:numPr>
        <w:tabs>
          <w:tab w:val="left" w:pos="2007"/>
          <w:tab w:val="left" w:pos="2008"/>
        </w:tabs>
        <w:spacing w:before="49" w:after="0" w:line="240" w:lineRule="auto"/>
        <w:ind w:left="2007" w:right="0" w:hanging="1700"/>
        <w:jc w:val="left"/>
      </w:pPr>
      <w:r>
        <w:t>预酸化池</w:t>
      </w:r>
    </w:p>
    <w:p>
      <w:pPr>
        <w:pStyle w:val="BodyText"/>
        <w:spacing w:before="8"/>
        <w:rPr>
          <w:b/>
          <w:sz w:val="37"/>
        </w:rPr>
      </w:pPr>
    </w:p>
    <w:p>
      <w:pPr>
        <w:pStyle w:val="BodyText"/>
        <w:spacing w:line="364" w:lineRule="auto"/>
        <w:ind w:left="1583" w:right="648" w:firstLine="669"/>
      </w:pPr>
      <w:r>
        <w:t>经过预处理单元的高浓度出水进入厌氧处理单元的第一步预酸化池，该池有效容积为 836m</w:t>
      </w:r>
      <w:r>
        <w:rPr>
          <w:position w:val="3"/>
          <w:sz w:val="18"/>
        </w:rPr>
        <w:t>3</w:t>
      </w:r>
      <w:r>
        <w:t>，水力停留时间依照调节预酸化度的要求，初步设定在 2 个小时。</w:t>
      </w:r>
    </w:p>
    <w:p>
      <w:pPr>
        <w:pStyle w:val="BodyText"/>
        <w:rPr>
          <w:sz w:val="33"/>
        </w:rPr>
      </w:pPr>
    </w:p>
    <w:p>
      <w:pPr>
        <w:pStyle w:val="BodyText"/>
        <w:spacing w:line="364" w:lineRule="auto"/>
        <w:ind w:left="1583" w:right="826" w:firstLine="669"/>
      </w:pPr>
      <w:r>
        <w:t>废水中的有机污染物在此池中被酸化菌部分酸化为挥发性脂肪酸（VFA），以为发生在后续（IC）厌氧反应器内的产甲烷阶段提供一定的反应底物。</w:t>
      </w:r>
    </w:p>
    <w:p>
      <w:pPr>
        <w:pStyle w:val="BodyText"/>
        <w:spacing w:before="1"/>
        <w:rPr>
          <w:sz w:val="33"/>
        </w:rPr>
      </w:pPr>
    </w:p>
    <w:p>
      <w:pPr>
        <w:pStyle w:val="BodyText"/>
        <w:spacing w:line="364" w:lineRule="auto"/>
        <w:ind w:left="1583" w:right="648" w:firstLine="669"/>
      </w:pPr>
      <w:r>
        <w:t>在调节预酸化池中，将自动计量投加生化反应所需要的营养盐，包括氮（尿素计量泵，来自尿素储罐），和磷（磷酸计量泵，来自磷酸储罐 ）。厌氧系统所投加的</w:t>
      </w:r>
    </w:p>
    <w:p>
      <w:pPr>
        <w:spacing w:after="0" w:line="364" w:lineRule="auto"/>
        <w:sectPr>
          <w:type w:val="continuous"/>
          <w:pgSz w:w="17870" w:h="25260"/>
          <w:pgMar w:top="1720" w:right="940" w:bottom="280" w:left="1420" w:header="708" w:footer="708"/>
          <w:pgNumType w:start="45"/>
          <w:cols w:space="708"/>
        </w:sectPr>
      </w:pPr>
    </w:p>
    <w:p>
      <w:pPr>
        <w:pStyle w:val="BodyText"/>
        <w:spacing w:before="24" w:line="364" w:lineRule="auto"/>
        <w:ind w:left="1583" w:right="598"/>
      </w:pPr>
      <w:r>
        <w:t>营养盐，不仅可以满足厌氧的需要，而且可以满足后续好氧反应的需要，这样好氧系统无需投加氮和 磷。</w:t>
      </w:r>
    </w:p>
    <w:p>
      <w:pPr>
        <w:pStyle w:val="BodyText"/>
        <w:rPr>
          <w:sz w:val="33"/>
        </w:rPr>
      </w:pPr>
    </w:p>
    <w:p>
      <w:pPr>
        <w:pStyle w:val="BodyText"/>
        <w:spacing w:line="364" w:lineRule="auto"/>
        <w:ind w:left="1583" w:right="775" w:firstLine="669"/>
        <w:jc w:val="both"/>
      </w:pPr>
      <w:r>
        <w:rPr>
          <w:spacing w:val="-8"/>
        </w:rPr>
        <w:t xml:space="preserve">由于预酸化的作用可能使 </w:t>
      </w:r>
      <w:r>
        <w:t>pH</w:t>
      </w:r>
      <w:r>
        <w:rPr>
          <w:spacing w:val="-10"/>
        </w:rPr>
        <w:t xml:space="preserve"> 值降低，为了准确保证废水进行厌氧生物反应所需要的 pH</w:t>
      </w:r>
      <w:r>
        <w:rPr>
          <w:spacing w:val="-14"/>
        </w:rPr>
        <w:t xml:space="preserve"> 条件，根据在线监测反馈回的预酸化池内的 </w:t>
      </w:r>
      <w:r>
        <w:t>pH</w:t>
      </w:r>
      <w:r>
        <w:rPr>
          <w:spacing w:val="-31"/>
        </w:rPr>
        <w:t xml:space="preserve"> 值情况和 </w:t>
      </w:r>
      <w:r>
        <w:t>DCS/PLC</w:t>
      </w:r>
      <w:r>
        <w:rPr>
          <w:spacing w:val="-19"/>
        </w:rPr>
        <w:t xml:space="preserve"> 参数的设</w:t>
      </w:r>
      <w:r>
        <w:rPr>
          <w:spacing w:val="-27"/>
        </w:rPr>
        <w:t xml:space="preserve">定，自动控制投加 </w:t>
      </w:r>
      <w:r>
        <w:t>NaOH（来自碱储罐）</w:t>
      </w:r>
      <w:r>
        <w:rPr>
          <w:spacing w:val="-45"/>
        </w:rPr>
        <w:t xml:space="preserve">或 </w:t>
      </w:r>
      <w:r>
        <w:t>HCL（来自酸罐）</w:t>
      </w:r>
      <w:r>
        <w:rPr>
          <w:spacing w:val="-13"/>
        </w:rPr>
        <w:t xml:space="preserve">以调节废水的 </w:t>
      </w:r>
      <w:r>
        <w:t>pH</w:t>
      </w:r>
      <w:r>
        <w:rPr>
          <w:spacing w:val="-27"/>
        </w:rPr>
        <w:t xml:space="preserve"> 值。测</w:t>
      </w:r>
      <w:r>
        <w:rPr>
          <w:spacing w:val="-7"/>
        </w:rPr>
        <w:t xml:space="preserve">量循环泵也安装于此以保证 </w:t>
      </w:r>
      <w:r>
        <w:t>pH</w:t>
      </w:r>
      <w:r>
        <w:rPr>
          <w:spacing w:val="-10"/>
        </w:rPr>
        <w:t xml:space="preserve"> 测量的全面性和准确性。</w:t>
      </w:r>
    </w:p>
    <w:p>
      <w:pPr>
        <w:pStyle w:val="BodyText"/>
        <w:spacing w:before="3"/>
        <w:rPr>
          <w:sz w:val="33"/>
        </w:rPr>
      </w:pPr>
    </w:p>
    <w:p>
      <w:pPr>
        <w:pStyle w:val="BodyText"/>
        <w:spacing w:line="364" w:lineRule="auto"/>
        <w:ind w:left="1583" w:right="598" w:firstLine="669"/>
        <w:jc w:val="both"/>
      </w:pPr>
      <w:r>
        <w:t>为了使预酸化池内废水的水质、水量和投加化学药品的充分混合，避免局部过度酸化，并同时防止固体颗粒沉淀，依靠进口的潜水搅拌机（两台），</w:t>
      </w:r>
      <w:r>
        <w:rPr>
          <w:spacing w:val="-3"/>
        </w:rPr>
        <w:t>使预酸化池内的</w:t>
      </w:r>
      <w:r>
        <w:t>废水得到充分的混合。</w:t>
      </w:r>
    </w:p>
    <w:p>
      <w:pPr>
        <w:pStyle w:val="BodyText"/>
        <w:spacing w:before="5"/>
        <w:rPr>
          <w:sz w:val="42"/>
        </w:rPr>
      </w:pPr>
    </w:p>
    <w:p>
      <w:pPr>
        <w:pStyle w:val="Heading4"/>
        <w:numPr>
          <w:ilvl w:val="3"/>
          <w:numId w:val="32"/>
        </w:numPr>
        <w:tabs>
          <w:tab w:val="left" w:pos="2007"/>
          <w:tab w:val="left" w:pos="2008"/>
        </w:tabs>
        <w:spacing w:before="0" w:after="0" w:line="240" w:lineRule="auto"/>
        <w:ind w:left="2007" w:right="0" w:hanging="1700"/>
        <w:jc w:val="left"/>
      </w:pPr>
      <w:r>
        <w:rPr>
          <w:w w:val="95"/>
        </w:rPr>
        <w:t>循环罐</w:t>
      </w:r>
    </w:p>
    <w:p>
      <w:pPr>
        <w:pStyle w:val="BodyText"/>
        <w:spacing w:before="8"/>
        <w:rPr>
          <w:b/>
          <w:sz w:val="37"/>
        </w:rPr>
      </w:pPr>
    </w:p>
    <w:p>
      <w:pPr>
        <w:pStyle w:val="BodyText"/>
        <w:spacing w:line="364" w:lineRule="auto"/>
        <w:ind w:left="1583" w:right="747" w:firstLine="669"/>
      </w:pPr>
      <w:r>
        <w:t>调节预酸化罐出水被泵入循环罐，该罐的容积是 380m</w:t>
      </w:r>
      <w:r>
        <w:rPr>
          <w:position w:val="3"/>
          <w:sz w:val="18"/>
        </w:rPr>
        <w:t>3</w:t>
      </w:r>
      <w:r>
        <w:t>。进水流量被一个电磁流量计和控制阀自动控制，根据在线监测的预酸化池液位进行调节。</w:t>
      </w:r>
    </w:p>
    <w:p>
      <w:pPr>
        <w:pStyle w:val="BodyText"/>
        <w:spacing w:before="3"/>
        <w:rPr>
          <w:sz w:val="28"/>
        </w:rPr>
      </w:pPr>
    </w:p>
    <w:p>
      <w:pPr>
        <w:pStyle w:val="BodyText"/>
        <w:spacing w:line="364" w:lineRule="auto"/>
        <w:ind w:left="1583" w:right="596" w:firstLine="669"/>
      </w:pPr>
      <w:r>
        <w:rPr>
          <w:spacing w:val="-8"/>
        </w:rPr>
        <w:t xml:space="preserve">在循环罐内，原废水量和 </w:t>
      </w:r>
      <w:r>
        <w:t>IC</w:t>
      </w:r>
      <w:r>
        <w:rPr>
          <w:spacing w:val="-14"/>
        </w:rPr>
        <w:t xml:space="preserve"> 反应器总出水量的一部分水量进行混合后输入 </w:t>
      </w:r>
      <w:r>
        <w:t>IC</w:t>
      </w:r>
      <w:r>
        <w:rPr>
          <w:spacing w:val="-45"/>
        </w:rPr>
        <w:t xml:space="preserve"> 反应器，这种混合依靠一根特殊设计的循环罐立管（X201）</w:t>
      </w:r>
      <w:r>
        <w:rPr>
          <w:spacing w:val="-43"/>
        </w:rPr>
        <w:t>来完成，同时循环罐立管将</w:t>
      </w:r>
      <w:r>
        <w:t>IC</w:t>
      </w:r>
      <w:r>
        <w:rPr>
          <w:spacing w:val="-10"/>
        </w:rPr>
        <w:t xml:space="preserve"> 反应器出水的另一剩余部分，也就是相当于原废水量的水流分配流出厌氧系统， 进行后续好氧处理而排出。</w:t>
      </w:r>
    </w:p>
    <w:p>
      <w:pPr>
        <w:pStyle w:val="BodyText"/>
        <w:spacing w:before="184" w:line="364" w:lineRule="auto"/>
        <w:ind w:left="1583" w:right="595" w:firstLine="669"/>
      </w:pPr>
      <w:r>
        <w:rPr>
          <w:spacing w:val="-13"/>
        </w:rPr>
        <w:t xml:space="preserve">原废水经过与 </w:t>
      </w:r>
      <w:r>
        <w:t>IC</w:t>
      </w:r>
      <w:r>
        <w:rPr>
          <w:spacing w:val="-15"/>
        </w:rPr>
        <w:t xml:space="preserve"> 出水在循环池混合后，将以恒定 </w:t>
      </w:r>
      <w:r>
        <w:t>750m</w:t>
      </w:r>
      <w:r>
        <w:rPr>
          <w:position w:val="3"/>
          <w:sz w:val="18"/>
        </w:rPr>
        <w:t>3</w:t>
      </w:r>
      <w:r>
        <w:t>/hr（18000m</w:t>
      </w:r>
      <w:r>
        <w:rPr>
          <w:position w:val="3"/>
          <w:sz w:val="18"/>
        </w:rPr>
        <w:t>3</w:t>
      </w:r>
      <w:r>
        <w:t>/d）的流量</w:t>
      </w:r>
      <w:r>
        <w:rPr>
          <w:spacing w:val="-30"/>
        </w:rPr>
        <w:t xml:space="preserve">输入 </w:t>
      </w:r>
      <w:r>
        <w:t>IC</w:t>
      </w:r>
      <w:r>
        <w:rPr>
          <w:spacing w:val="-19"/>
        </w:rPr>
        <w:t xml:space="preserve"> 反应器，籍以维持在 </w:t>
      </w:r>
      <w:r>
        <w:t>IC</w:t>
      </w:r>
      <w:r>
        <w:rPr>
          <w:spacing w:val="-17"/>
        </w:rPr>
        <w:t xml:space="preserve"> 反应器内的上升流速在 </w:t>
      </w:r>
      <w:r>
        <w:t>8m/hr</w:t>
      </w:r>
      <w:r>
        <w:rPr>
          <w:spacing w:val="-12"/>
        </w:rPr>
        <w:t xml:space="preserve"> 左右，在这样的上流速</w:t>
      </w:r>
      <w:r>
        <w:rPr>
          <w:spacing w:val="-1"/>
        </w:rPr>
        <w:t>度下，厌氧颗粒污泥由于具有良好的沉降性而将阻留在厌氧反应器内，同时悬浮纤维很容易冲洗出反应器从而避免了在反应器内积累的危险。这样设计对于系统的稳定性</w:t>
      </w:r>
      <w:r>
        <w:t>有很大的作用，即无论进水的波动是多少，IC</w:t>
      </w:r>
      <w:r>
        <w:rPr>
          <w:spacing w:val="-11"/>
        </w:rPr>
        <w:t xml:space="preserve"> 反应器的进水流量是恒定，原废水多时，IC</w:t>
      </w:r>
      <w:r>
        <w:rPr>
          <w:spacing w:val="-10"/>
        </w:rPr>
        <w:t xml:space="preserve"> 回流量就少；原废水少时，</w:t>
      </w:r>
      <w:r>
        <w:t>IC</w:t>
      </w:r>
      <w:r>
        <w:rPr>
          <w:spacing w:val="-17"/>
        </w:rPr>
        <w:t xml:space="preserve"> 回流量就多。系统冲出的 </w:t>
      </w:r>
      <w:r>
        <w:t>SS</w:t>
      </w:r>
      <w:r>
        <w:rPr>
          <w:spacing w:val="-14"/>
        </w:rPr>
        <w:t xml:space="preserve"> 主要都是惰性的物</w:t>
      </w:r>
      <w:r>
        <w:rPr>
          <w:spacing w:val="-12"/>
        </w:rPr>
        <w:t xml:space="preserve">质，并不表观为 </w:t>
      </w:r>
      <w:r>
        <w:t>BOD，排入后续的好氧系统后不会消耗氧，这些出水中的悬浮物质</w:t>
      </w:r>
    </w:p>
    <w:p>
      <w:pPr>
        <w:pStyle w:val="BodyText"/>
        <w:spacing w:before="7" w:line="364" w:lineRule="auto"/>
        <w:ind w:left="1583" w:right="598"/>
      </w:pPr>
      <w:r>
        <w:t>（SS）很容易在后续好氧活性污泥法的二次沉淀池内被好氧絮状污泥捕捉沉淀而最终得以去除。</w:t>
      </w:r>
    </w:p>
    <w:p>
      <w:pPr>
        <w:spacing w:after="0" w:line="364" w:lineRule="auto"/>
        <w:sectPr>
          <w:pgSz w:w="17870" w:h="25260"/>
          <w:pgMar w:top="1820" w:right="940" w:bottom="280" w:left="1420" w:header="708" w:footer="708"/>
          <w:pgNumType w:start="46"/>
          <w:cols w:space="708"/>
        </w:sectPr>
      </w:pPr>
    </w:p>
    <w:p>
      <w:pPr>
        <w:pStyle w:val="BodyText"/>
        <w:spacing w:before="24" w:line="364" w:lineRule="auto"/>
        <w:ind w:left="1583" w:right="687" w:firstLine="669"/>
      </w:pPr>
      <w:r>
        <w:rPr>
          <w:spacing w:val="-9"/>
        </w:rPr>
        <w:t xml:space="preserve">另一方面，循环罐能对 </w:t>
      </w:r>
      <w:r>
        <w:t>IC</w:t>
      </w:r>
      <w:r>
        <w:rPr>
          <w:spacing w:val="-10"/>
        </w:rPr>
        <w:t xml:space="preserve"> 反应器内的生物过程起到非常稳定的作用，让预酸化废水（偏酸）</w:t>
      </w:r>
      <w:r>
        <w:rPr>
          <w:spacing w:val="-5"/>
        </w:rPr>
        <w:t xml:space="preserve">与 </w:t>
      </w:r>
      <w:r>
        <w:t>IC</w:t>
      </w:r>
      <w:r>
        <w:rPr>
          <w:spacing w:val="-16"/>
        </w:rPr>
        <w:t xml:space="preserve"> 反应器出水</w:t>
      </w:r>
      <w:r>
        <w:t>（偏碱）</w:t>
      </w:r>
      <w:r>
        <w:rPr>
          <w:spacing w:val="-1"/>
        </w:rPr>
        <w:t>进行循环混合，不仅能大大降低预酸化的碱</w:t>
      </w:r>
      <w:r>
        <w:rPr>
          <w:spacing w:val="-3"/>
        </w:rPr>
        <w:t xml:space="preserve">的用量，而且将废水中毒性物质稀释到甲烷菌可以承受的浓度而保持 </w:t>
      </w:r>
      <w:r>
        <w:t>IC</w:t>
      </w:r>
      <w:r>
        <w:rPr>
          <w:spacing w:val="-16"/>
        </w:rPr>
        <w:t xml:space="preserve"> 反应器内甲烷菌高的活性。</w:t>
      </w:r>
    </w:p>
    <w:p>
      <w:pPr>
        <w:pStyle w:val="BodyText"/>
        <w:spacing w:before="245" w:line="364" w:lineRule="auto"/>
        <w:ind w:left="1583" w:right="685" w:firstLine="669"/>
      </w:pPr>
      <w:r>
        <w:rPr>
          <w:spacing w:val="-15"/>
        </w:rPr>
        <w:t xml:space="preserve">在最终进入 </w:t>
      </w:r>
      <w:r>
        <w:t>IC</w:t>
      </w:r>
      <w:r>
        <w:rPr>
          <w:spacing w:val="-13"/>
        </w:rPr>
        <w:t xml:space="preserve"> 反应器前，为了准确保证废水进行厌氧生物反应所需要的 </w:t>
      </w:r>
      <w:r>
        <w:t>pH</w:t>
      </w:r>
      <w:r>
        <w:rPr>
          <w:spacing w:val="-45"/>
        </w:rPr>
        <w:t xml:space="preserve"> 条</w:t>
      </w:r>
      <w:r>
        <w:rPr>
          <w:spacing w:val="-48"/>
        </w:rPr>
        <w:t xml:space="preserve">件，根据在线监测反馈回的循环罐内的 </w:t>
      </w:r>
      <w:r>
        <w:t>pH</w:t>
      </w:r>
      <w:r>
        <w:rPr>
          <w:spacing w:val="-16"/>
        </w:rPr>
        <w:t xml:space="preserve"> 值情况，通过自动计量投加 </w:t>
      </w:r>
      <w:r>
        <w:t>NaOH</w:t>
      </w:r>
      <w:r>
        <w:rPr>
          <w:spacing w:val="-60"/>
        </w:rPr>
        <w:t xml:space="preserve"> 和 </w:t>
      </w:r>
      <w:r>
        <w:rPr>
          <w:spacing w:val="-4"/>
        </w:rPr>
        <w:t xml:space="preserve">HCL， </w:t>
      </w:r>
      <w:r>
        <w:rPr>
          <w:spacing w:val="-10"/>
        </w:rPr>
        <w:t xml:space="preserve">以最终修正废水的 </w:t>
      </w:r>
      <w:r>
        <w:t>pH</w:t>
      </w:r>
      <w:r>
        <w:rPr>
          <w:spacing w:val="-15"/>
        </w:rPr>
        <w:t xml:space="preserve"> 值。测量循环泵也安装于此以保证 </w:t>
      </w:r>
      <w:r>
        <w:t>pH</w:t>
      </w:r>
      <w:r>
        <w:rPr>
          <w:spacing w:val="-10"/>
        </w:rPr>
        <w:t xml:space="preserve"> 测量的全面性和准确性</w:t>
      </w:r>
    </w:p>
    <w:p>
      <w:pPr>
        <w:pStyle w:val="BodyText"/>
        <w:spacing w:before="2"/>
        <w:rPr>
          <w:sz w:val="33"/>
        </w:rPr>
      </w:pPr>
    </w:p>
    <w:p>
      <w:pPr>
        <w:pStyle w:val="BodyText"/>
        <w:ind w:left="2251" w:right="1818"/>
        <w:jc w:val="center"/>
      </w:pPr>
      <w:r>
        <w:rPr>
          <w:spacing w:val="-10"/>
        </w:rPr>
        <w:t xml:space="preserve">依靠自动计量投加 </w:t>
      </w:r>
      <w:r>
        <w:t>NaOH</w:t>
      </w:r>
      <w:r>
        <w:rPr>
          <w:spacing w:val="-60"/>
        </w:rPr>
        <w:t xml:space="preserve"> 和 </w:t>
      </w:r>
      <w:r>
        <w:t>HCL，</w:t>
      </w:r>
      <w:r>
        <w:rPr>
          <w:spacing w:val="-15"/>
        </w:rPr>
        <w:t xml:space="preserve">循环罐内的 </w:t>
      </w:r>
      <w:r>
        <w:t>pH</w:t>
      </w:r>
      <w:r>
        <w:rPr>
          <w:spacing w:val="-10"/>
        </w:rPr>
        <w:t xml:space="preserve"> 值也能够自动进行调节。</w:t>
      </w:r>
    </w:p>
    <w:p>
      <w:pPr>
        <w:pStyle w:val="BodyText"/>
      </w:pPr>
    </w:p>
    <w:p>
      <w:pPr>
        <w:pStyle w:val="Heading4"/>
        <w:numPr>
          <w:ilvl w:val="3"/>
          <w:numId w:val="32"/>
        </w:numPr>
        <w:tabs>
          <w:tab w:val="left" w:pos="2007"/>
          <w:tab w:val="left" w:pos="2008"/>
        </w:tabs>
        <w:spacing w:before="319" w:after="0" w:line="240" w:lineRule="auto"/>
        <w:ind w:left="2007" w:right="0" w:hanging="1700"/>
        <w:jc w:val="left"/>
      </w:pPr>
      <w:r>
        <w:t>IC</w:t>
      </w:r>
      <w:r>
        <w:rPr>
          <w:spacing w:val="-9"/>
        </w:rPr>
        <w:t xml:space="preserve"> 内循环 厌氧反应器</w:t>
      </w:r>
    </w:p>
    <w:p>
      <w:pPr>
        <w:pStyle w:val="BodyText"/>
        <w:spacing w:before="8"/>
        <w:rPr>
          <w:b/>
          <w:sz w:val="37"/>
        </w:rPr>
      </w:pPr>
    </w:p>
    <w:p>
      <w:pPr>
        <w:pStyle w:val="BodyText"/>
        <w:tabs>
          <w:tab w:val="left" w:pos="13594"/>
        </w:tabs>
        <w:spacing w:line="364" w:lineRule="auto"/>
        <w:ind w:left="1583" w:right="596" w:firstLine="669"/>
      </w:pPr>
      <w:r>
        <w:t>废水自循环罐泵输入</w:t>
      </w:r>
      <w:r>
        <w:rPr>
          <w:spacing w:val="-90"/>
        </w:rPr>
        <w:t xml:space="preserve"> </w:t>
      </w:r>
      <w:r>
        <w:t>IC</w:t>
      </w:r>
      <w:r>
        <w:rPr>
          <w:spacing w:val="-90"/>
        </w:rPr>
        <w:t xml:space="preserve"> </w:t>
      </w:r>
      <w:r>
        <w:t>内循环厌氧反应器，反应器容积</w:t>
      </w:r>
      <w:r>
        <w:rPr>
          <w:spacing w:val="-89"/>
        </w:rPr>
        <w:t xml:space="preserve"> </w:t>
      </w:r>
      <w:r>
        <w:t>2250m</w:t>
      </w:r>
      <w:r>
        <w:rPr>
          <w:position w:val="3"/>
          <w:sz w:val="18"/>
        </w:rPr>
        <w:t>3</w:t>
      </w:r>
      <w:r>
        <w:t>（直径</w:t>
        <w:tab/>
        <w:t>=11m</w:t>
      </w:r>
      <w:r>
        <w:rPr>
          <w:spacing w:val="-90"/>
        </w:rPr>
        <w:t xml:space="preserve"> </w:t>
      </w:r>
      <w:r>
        <w:t>高H=24m）。电磁流量计和控制阀自动控制</w:t>
      </w:r>
      <w:r>
        <w:rPr>
          <w:spacing w:val="-89"/>
        </w:rPr>
        <w:t xml:space="preserve"> </w:t>
      </w:r>
      <w:r>
        <w:t>IC</w:t>
      </w:r>
      <w:r>
        <w:rPr>
          <w:spacing w:val="-90"/>
        </w:rPr>
        <w:t xml:space="preserve"> </w:t>
      </w:r>
      <w:r>
        <w:t>反应器的进流，以保持一个稳定的输入</w:t>
      </w:r>
      <w:r>
        <w:rPr>
          <w:spacing w:val="-17"/>
        </w:rPr>
        <w:t>流</w:t>
      </w:r>
      <w:r>
        <w:t>量。</w:t>
      </w:r>
    </w:p>
    <w:p>
      <w:pPr>
        <w:pStyle w:val="BodyText"/>
        <w:spacing w:before="2"/>
        <w:rPr>
          <w:sz w:val="33"/>
        </w:rPr>
      </w:pPr>
    </w:p>
    <w:p>
      <w:pPr>
        <w:pStyle w:val="BodyText"/>
        <w:spacing w:line="364" w:lineRule="auto"/>
        <w:ind w:left="1583" w:right="867" w:firstLine="669"/>
        <w:jc w:val="both"/>
      </w:pPr>
      <w:r>
        <w:t>IC</w:t>
      </w:r>
      <w:r>
        <w:rPr>
          <w:spacing w:val="-10"/>
        </w:rPr>
        <w:t xml:space="preserve"> 反应器出水依靠重力流入特殊设计的循环池立管</w:t>
      </w:r>
      <w:r>
        <w:t>（安置在循环罐内）。一部</w:t>
      </w:r>
      <w:r>
        <w:rPr>
          <w:spacing w:val="-7"/>
        </w:rPr>
        <w:t xml:space="preserve">分废水与新进水混合后进入 </w:t>
      </w:r>
      <w:r>
        <w:t>IC，</w:t>
      </w:r>
      <w:r>
        <w:rPr>
          <w:spacing w:val="-1"/>
        </w:rPr>
        <w:t>另一部分水靠重力流入筛选池与低浓度污水混合进</w:t>
      </w:r>
      <w:r>
        <w:t>入活性污泥系统处理。</w:t>
      </w:r>
    </w:p>
    <w:p>
      <w:pPr>
        <w:pStyle w:val="BodyText"/>
        <w:spacing w:before="4"/>
        <w:rPr>
          <w:sz w:val="42"/>
        </w:rPr>
      </w:pPr>
    </w:p>
    <w:p>
      <w:pPr>
        <w:pStyle w:val="Heading4"/>
        <w:numPr>
          <w:ilvl w:val="3"/>
          <w:numId w:val="32"/>
        </w:numPr>
        <w:tabs>
          <w:tab w:val="left" w:pos="2007"/>
          <w:tab w:val="left" w:pos="2008"/>
        </w:tabs>
        <w:spacing w:before="1" w:after="0" w:line="240" w:lineRule="auto"/>
        <w:ind w:left="2007" w:right="0" w:hanging="1700"/>
        <w:jc w:val="left"/>
      </w:pPr>
      <w:r>
        <w:t>厌氧颗粒污泥池</w:t>
      </w:r>
    </w:p>
    <w:p>
      <w:pPr>
        <w:pStyle w:val="BodyText"/>
        <w:spacing w:before="7"/>
        <w:rPr>
          <w:b/>
          <w:sz w:val="37"/>
        </w:rPr>
      </w:pPr>
    </w:p>
    <w:p>
      <w:pPr>
        <w:pStyle w:val="BodyText"/>
        <w:spacing w:before="1" w:line="364" w:lineRule="auto"/>
        <w:ind w:left="1583" w:right="826" w:firstLine="669"/>
        <w:jc w:val="both"/>
      </w:pPr>
      <w:r>
        <w:t>IC</w:t>
      </w:r>
      <w:r>
        <w:rPr>
          <w:spacing w:val="-14"/>
        </w:rPr>
        <w:t xml:space="preserve"> 厌氧反应器产生的厌氧污泥是成颗粒状，自然干度在 </w:t>
      </w:r>
      <w:r>
        <w:t>10</w:t>
      </w:r>
      <w:r>
        <w:rPr>
          <w:spacing w:val="-2"/>
        </w:rPr>
        <w:t>％左右，具有生物接</w:t>
      </w:r>
      <w:r>
        <w:t>种价值，日产量非常少，仅需简单的收集保存于厌氧颗粒污泥池即可。</w:t>
      </w:r>
    </w:p>
    <w:p>
      <w:pPr>
        <w:pStyle w:val="BodyText"/>
        <w:spacing w:before="1"/>
        <w:rPr>
          <w:sz w:val="33"/>
        </w:rPr>
      </w:pPr>
    </w:p>
    <w:p>
      <w:pPr>
        <w:pStyle w:val="BodyText"/>
        <w:spacing w:line="364" w:lineRule="auto"/>
        <w:ind w:left="1583" w:right="543" w:firstLine="669"/>
      </w:pPr>
      <w:r>
        <w:rPr>
          <w:spacing w:val="-9"/>
        </w:rPr>
        <w:t xml:space="preserve">厌氧污泥储池设计在 </w:t>
      </w:r>
      <w:r>
        <w:t>1100m</w:t>
      </w:r>
      <w:r>
        <w:rPr>
          <w:position w:val="3"/>
          <w:sz w:val="18"/>
        </w:rPr>
        <w:t xml:space="preserve">3 </w:t>
      </w:r>
      <w:r>
        <w:t>左右，以储存一次生物启动种泥量。依靠可正反运转</w:t>
      </w:r>
      <w:r>
        <w:rPr>
          <w:spacing w:val="-9"/>
        </w:rPr>
        <w:t xml:space="preserve">的厌氧污泥螺杆泵在 </w:t>
      </w:r>
      <w:r>
        <w:t>IC</w:t>
      </w:r>
      <w:r>
        <w:rPr>
          <w:spacing w:val="-10"/>
        </w:rPr>
        <w:t xml:space="preserve"> 反应器和厌氧污泥池间泵送：在生物启动时，它将预先在厌</w:t>
      </w:r>
      <w:r>
        <w:rPr>
          <w:spacing w:val="-15"/>
        </w:rPr>
        <w:t xml:space="preserve">氧污泥储池存放的厌氧接种颗粒污泥泵入 </w:t>
      </w:r>
      <w:r>
        <w:t>IC</w:t>
      </w:r>
      <w:r>
        <w:rPr>
          <w:spacing w:val="-15"/>
        </w:rPr>
        <w:t xml:space="preserve"> 反应器内，在正常运行后又可以将 </w:t>
      </w:r>
      <w:r>
        <w:t>IC</w:t>
      </w:r>
      <w:r>
        <w:rPr>
          <w:spacing w:val="-53"/>
        </w:rPr>
        <w:t xml:space="preserve"> 反</w:t>
      </w:r>
      <w:r>
        <w:t>应器内产生的多余的厌氧颗粒污泥泵回反应器内储存。</w:t>
      </w:r>
    </w:p>
    <w:p>
      <w:pPr>
        <w:pStyle w:val="BodyText"/>
        <w:spacing w:before="9"/>
        <w:rPr>
          <w:sz w:val="38"/>
        </w:rPr>
      </w:pPr>
    </w:p>
    <w:p>
      <w:pPr>
        <w:pStyle w:val="Heading2"/>
        <w:numPr>
          <w:ilvl w:val="2"/>
          <w:numId w:val="32"/>
        </w:numPr>
        <w:tabs>
          <w:tab w:val="left" w:pos="1583"/>
        </w:tabs>
        <w:spacing w:before="0" w:after="0" w:line="240" w:lineRule="auto"/>
        <w:ind w:left="1583" w:right="0" w:hanging="1279"/>
        <w:jc w:val="left"/>
      </w:pPr>
      <w:r>
        <w:t>低浓度浆板纸机废水的预处理</w:t>
      </w:r>
    </w:p>
    <w:p>
      <w:pPr>
        <w:pStyle w:val="BodyText"/>
        <w:spacing w:before="11"/>
        <w:rPr>
          <w:b/>
          <w:sz w:val="39"/>
        </w:rPr>
      </w:pPr>
    </w:p>
    <w:p>
      <w:pPr>
        <w:pStyle w:val="BodyText"/>
        <w:ind w:left="1158"/>
      </w:pPr>
      <w:r>
        <w:t>低浓浆板纸机的废水在进入生物处理之前，首先进行预处理。</w:t>
      </w:r>
    </w:p>
    <w:p>
      <w:pPr>
        <w:spacing w:after="0"/>
        <w:sectPr>
          <w:pgSz w:w="17870" w:h="25260"/>
          <w:pgMar w:top="1820" w:right="940" w:bottom="280" w:left="1420" w:header="708" w:footer="708"/>
          <w:pgNumType w:start="47"/>
          <w:cols w:space="708"/>
        </w:sectPr>
      </w:pPr>
    </w:p>
    <w:p>
      <w:pPr>
        <w:pStyle w:val="Heading4"/>
        <w:numPr>
          <w:ilvl w:val="3"/>
          <w:numId w:val="32"/>
        </w:numPr>
        <w:tabs>
          <w:tab w:val="left" w:pos="2008"/>
        </w:tabs>
        <w:spacing w:before="24" w:after="0" w:line="240" w:lineRule="auto"/>
        <w:ind w:left="2007" w:right="0" w:hanging="1700"/>
        <w:jc w:val="both"/>
      </w:pPr>
      <w:r>
        <w:rPr>
          <w:spacing w:val="3"/>
        </w:rPr>
        <w:t>机械格栅/</w:t>
      </w:r>
      <w:r>
        <w:t>集水井</w:t>
      </w:r>
    </w:p>
    <w:p>
      <w:pPr>
        <w:pStyle w:val="BodyText"/>
        <w:spacing w:before="11"/>
        <w:rPr>
          <w:b/>
          <w:sz w:val="46"/>
        </w:rPr>
      </w:pPr>
    </w:p>
    <w:p>
      <w:pPr>
        <w:pStyle w:val="BodyText"/>
        <w:spacing w:before="1" w:line="364" w:lineRule="auto"/>
        <w:ind w:left="308" w:right="610" w:firstLine="1800"/>
      </w:pPr>
      <w:r>
        <w:t>废水经过的第一步物化预处理是用连续运转的机械格栅（5mm）去除废水中的大块杂物如碎屑、大纤维等，以保护后续运转部件的安全，随后废水流入后续的集水井。同样此格栅的运转方式同高浓废水的格栅一样，均采用间歇式的运转方式。</w:t>
      </w:r>
    </w:p>
    <w:p>
      <w:pPr>
        <w:pStyle w:val="BodyText"/>
        <w:spacing w:before="4"/>
        <w:rPr>
          <w:sz w:val="42"/>
        </w:rPr>
      </w:pPr>
    </w:p>
    <w:p>
      <w:pPr>
        <w:pStyle w:val="Heading4"/>
        <w:numPr>
          <w:ilvl w:val="3"/>
          <w:numId w:val="32"/>
        </w:numPr>
        <w:tabs>
          <w:tab w:val="left" w:pos="2008"/>
        </w:tabs>
        <w:spacing w:before="0" w:after="0" w:line="240" w:lineRule="auto"/>
        <w:ind w:left="2007" w:right="0" w:hanging="1700"/>
        <w:jc w:val="both"/>
      </w:pPr>
      <w:r>
        <w:t>弧形筛</w:t>
      </w:r>
    </w:p>
    <w:p>
      <w:pPr>
        <w:pStyle w:val="BodyText"/>
        <w:spacing w:before="12"/>
        <w:rPr>
          <w:b/>
          <w:sz w:val="32"/>
        </w:rPr>
      </w:pPr>
    </w:p>
    <w:p>
      <w:pPr>
        <w:pStyle w:val="BodyText"/>
        <w:ind w:left="978"/>
      </w:pPr>
      <w:r>
        <w:t>弧形筛设立在调节池的上部。废水从集水井泵送到弧形筛（e=0.3mm），大部分的 SS</w:t>
      </w:r>
    </w:p>
    <w:p>
      <w:pPr>
        <w:pStyle w:val="BodyText"/>
        <w:spacing w:before="241" w:line="364" w:lineRule="auto"/>
        <w:ind w:left="308" w:right="793"/>
      </w:pPr>
      <w:r>
        <w:t>（主要是流失的纤维）经过筛过滤回收后，掉入下部的污泥斗后，积累到一定数量后，可以一并运送至制浆车间回用。</w:t>
      </w:r>
    </w:p>
    <w:p>
      <w:pPr>
        <w:pStyle w:val="BodyText"/>
        <w:spacing w:before="2"/>
        <w:rPr>
          <w:sz w:val="28"/>
        </w:rPr>
      </w:pPr>
    </w:p>
    <w:p>
      <w:pPr>
        <w:pStyle w:val="Heading4"/>
        <w:numPr>
          <w:ilvl w:val="3"/>
          <w:numId w:val="32"/>
        </w:numPr>
        <w:tabs>
          <w:tab w:val="left" w:pos="2008"/>
        </w:tabs>
        <w:spacing w:before="1" w:after="0" w:line="240" w:lineRule="auto"/>
        <w:ind w:left="2007" w:right="0" w:hanging="1700"/>
        <w:jc w:val="both"/>
      </w:pPr>
      <w:r>
        <w:t>低浓废水调节池</w:t>
      </w:r>
    </w:p>
    <w:p>
      <w:pPr>
        <w:pStyle w:val="BodyText"/>
        <w:spacing w:before="11"/>
        <w:rPr>
          <w:b/>
          <w:sz w:val="46"/>
        </w:rPr>
      </w:pPr>
    </w:p>
    <w:p>
      <w:pPr>
        <w:pStyle w:val="BodyText"/>
        <w:spacing w:line="364" w:lineRule="auto"/>
        <w:ind w:left="308" w:right="700" w:firstLine="1390"/>
        <w:jc w:val="both"/>
      </w:pPr>
      <w:r>
        <w:rPr>
          <w:spacing w:val="-7"/>
        </w:rPr>
        <w:t xml:space="preserve">低浓废水调节池有效容积为 </w:t>
      </w:r>
      <w:r>
        <w:t>500m</w:t>
      </w:r>
      <w:r>
        <w:rPr>
          <w:position w:val="3"/>
          <w:sz w:val="18"/>
        </w:rPr>
        <w:t>3</w:t>
      </w:r>
      <w:r>
        <w:rPr>
          <w:spacing w:val="-30"/>
        </w:rPr>
        <w:t xml:space="preserve">，为 </w:t>
      </w:r>
      <w:r>
        <w:t>6,000m</w:t>
      </w:r>
      <w:r>
        <w:rPr>
          <w:position w:val="3"/>
          <w:sz w:val="18"/>
        </w:rPr>
        <w:t>3</w:t>
      </w:r>
      <w:r>
        <w:t>/d</w:t>
      </w:r>
      <w:r>
        <w:rPr>
          <w:spacing w:val="-22"/>
        </w:rPr>
        <w:t xml:space="preserve"> 的浓度废水提供 </w:t>
      </w:r>
      <w:r>
        <w:t>2</w:t>
      </w:r>
      <w:r>
        <w:rPr>
          <w:spacing w:val="-13"/>
        </w:rPr>
        <w:t xml:space="preserve"> 小时的水质水量调节时间。依靠池底的潜水搅拌机（两台），使调节池内的废水得到充分的混合。造纸废水通常比较稳定，这样设立调节池的水力停留时间比较短。浆板机的废水相对比较纯净，SS</w:t>
      </w:r>
      <w:r>
        <w:rPr>
          <w:spacing w:val="-54"/>
        </w:rPr>
        <w:t xml:space="preserve"> 含</w:t>
      </w:r>
      <w:r>
        <w:t>量比较少，可以无需设立初沉池。</w:t>
      </w:r>
    </w:p>
    <w:p>
      <w:pPr>
        <w:pStyle w:val="Heading2"/>
        <w:numPr>
          <w:ilvl w:val="2"/>
          <w:numId w:val="32"/>
        </w:numPr>
        <w:tabs>
          <w:tab w:val="left" w:pos="2008"/>
        </w:tabs>
        <w:spacing w:before="316" w:after="0" w:line="240" w:lineRule="auto"/>
        <w:ind w:left="2007" w:right="0" w:hanging="1704"/>
        <w:jc w:val="both"/>
      </w:pPr>
      <w:r>
        <w:rPr>
          <w:w w:val="95"/>
        </w:rPr>
        <w:t>好氧处理</w:t>
      </w:r>
    </w:p>
    <w:p>
      <w:pPr>
        <w:pStyle w:val="BodyText"/>
        <w:spacing w:before="151"/>
        <w:ind w:left="1583"/>
      </w:pPr>
      <w:r>
        <w:t>生物过程</w:t>
      </w:r>
    </w:p>
    <w:p>
      <w:pPr>
        <w:pStyle w:val="BodyText"/>
        <w:spacing w:before="7"/>
        <w:rPr>
          <w:sz w:val="29"/>
        </w:rPr>
      </w:pPr>
    </w:p>
    <w:p>
      <w:pPr>
        <w:spacing w:after="0"/>
        <w:rPr>
          <w:sz w:val="29"/>
        </w:rPr>
        <w:sectPr>
          <w:pgSz w:w="17870" w:h="25260"/>
          <w:pgMar w:top="1820" w:right="940" w:bottom="280" w:left="1420" w:header="708" w:footer="708"/>
          <w:pgNumType w:start="48"/>
          <w:cols w:space="708"/>
        </w:sectPr>
      </w:pPr>
    </w:p>
    <w:p>
      <w:pPr>
        <w:pStyle w:val="BodyText"/>
        <w:spacing w:before="49" w:line="405" w:lineRule="exact"/>
        <w:ind w:left="2252"/>
      </w:pPr>
      <w:r>
        <w:rPr>
          <w:spacing w:val="-5"/>
        </w:rPr>
        <w:t xml:space="preserve">好氧处理的主要目的是将可生物降解的 </w:t>
      </w:r>
      <w:r>
        <w:t>COD</w:t>
      </w:r>
      <w:r>
        <w:rPr>
          <w:spacing w:val="-37"/>
        </w:rPr>
        <w:t xml:space="preserve"> 转化为 </w:t>
      </w:r>
      <w:r>
        <w:t>CO</w:t>
      </w:r>
    </w:p>
    <w:p>
      <w:pPr>
        <w:spacing w:before="0" w:line="174" w:lineRule="exact"/>
        <w:ind w:left="0" w:right="0" w:firstLine="0"/>
        <w:jc w:val="right"/>
        <w:rPr>
          <w:sz w:val="18"/>
        </w:rPr>
      </w:pPr>
      <w:r>
        <w:rPr>
          <w:sz w:val="18"/>
        </w:rPr>
        <w:t>2</w:t>
      </w:r>
    </w:p>
    <w:p>
      <w:pPr>
        <w:pStyle w:val="BodyText"/>
        <w:spacing w:before="49" w:line="405" w:lineRule="exact"/>
        <w:ind w:left="3"/>
      </w:pPr>
      <w:r>
        <w:br w:type="column"/>
      </w:r>
      <w:r>
        <w:rPr>
          <w:spacing w:val="-45"/>
        </w:rPr>
        <w:t xml:space="preserve">和 </w:t>
      </w:r>
      <w:r>
        <w:t>H</w:t>
      </w:r>
      <w:r>
        <w:rPr>
          <w:spacing w:val="-90"/>
        </w:rPr>
        <w:t xml:space="preserve"> </w:t>
      </w:r>
      <w:r>
        <w:t>O。在活性污泥系统发</w:t>
      </w:r>
    </w:p>
    <w:p>
      <w:pPr>
        <w:spacing w:before="0" w:line="174" w:lineRule="exact"/>
        <w:ind w:left="634" w:right="0" w:firstLine="0"/>
        <w:jc w:val="left"/>
        <w:rPr>
          <w:sz w:val="18"/>
        </w:rPr>
      </w:pPr>
      <w:r>
        <w:rPr>
          <w:sz w:val="18"/>
        </w:rPr>
        <w:t>2</w:t>
      </w:r>
    </w:p>
    <w:p>
      <w:pPr>
        <w:spacing w:after="0" w:line="174" w:lineRule="exact"/>
        <w:jc w:val="left"/>
        <w:rPr>
          <w:sz w:val="18"/>
        </w:rPr>
        <w:sectPr>
          <w:type w:val="continuous"/>
          <w:pgSz w:w="17870" w:h="25260"/>
          <w:pgMar w:top="1720" w:right="940" w:bottom="280" w:left="1420" w:header="708" w:footer="708"/>
          <w:pgNumType w:start="49"/>
          <w:cols w:num="2" w:space="708" w:equalWidth="0">
            <w:col w:w="10715" w:space="40"/>
            <w:col w:w="4755" w:space="0"/>
          </w:cols>
        </w:sectPr>
      </w:pPr>
    </w:p>
    <w:p>
      <w:pPr>
        <w:pStyle w:val="BodyText"/>
        <w:spacing w:before="123"/>
        <w:ind w:left="1583"/>
      </w:pPr>
      <w:r>
        <w:t>生的整个生物反应可用下式描述:</w:t>
      </w:r>
    </w:p>
    <w:p>
      <w:pPr>
        <w:pStyle w:val="BodyText"/>
        <w:rPr>
          <w:sz w:val="20"/>
        </w:rPr>
      </w:pPr>
    </w:p>
    <w:p>
      <w:pPr>
        <w:pStyle w:val="BodyText"/>
        <w:spacing w:before="11"/>
        <w:rPr>
          <w:sz w:val="27"/>
        </w:rPr>
      </w:pPr>
    </w:p>
    <w:p>
      <w:pPr>
        <w:spacing w:after="0"/>
        <w:rPr>
          <w:sz w:val="27"/>
        </w:rPr>
        <w:sectPr>
          <w:type w:val="continuous"/>
          <w:pgSz w:w="17870" w:h="25260"/>
          <w:pgMar w:top="1720" w:right="940" w:bottom="280" w:left="1420" w:header="708" w:footer="708"/>
          <w:pgNumType w:start="50"/>
          <w:cols w:space="708"/>
        </w:sectPr>
      </w:pPr>
    </w:p>
    <w:p>
      <w:pPr>
        <w:pStyle w:val="BodyText"/>
        <w:spacing w:before="49" w:line="405" w:lineRule="exact"/>
        <w:ind w:left="2252"/>
      </w:pPr>
      <w:r>
        <w:t>COD + O</w:t>
      </w:r>
    </w:p>
    <w:p>
      <w:pPr>
        <w:spacing w:before="0" w:line="174" w:lineRule="exact"/>
        <w:ind w:left="0" w:right="0" w:firstLine="0"/>
        <w:jc w:val="right"/>
        <w:rPr>
          <w:sz w:val="18"/>
        </w:rPr>
      </w:pPr>
      <w:r>
        <w:rPr>
          <w:sz w:val="18"/>
        </w:rPr>
        <w:t>2</w:t>
      </w:r>
    </w:p>
    <w:p>
      <w:pPr>
        <w:pStyle w:val="BodyText"/>
        <w:spacing w:before="49" w:line="405" w:lineRule="exact"/>
        <w:ind w:left="680"/>
      </w:pPr>
      <w:r>
        <w:br w:type="column"/>
      </w:r>
      <w:r>
        <w:t>CO</w:t>
      </w:r>
      <w:r>
        <w:rPr>
          <w:spacing w:val="30"/>
        </w:rPr>
        <w:t xml:space="preserve"> + </w:t>
      </w:r>
      <w:r>
        <w:t>H</w:t>
      </w:r>
      <w:r>
        <w:rPr>
          <w:spacing w:val="-90"/>
        </w:rPr>
        <w:t xml:space="preserve"> </w:t>
      </w:r>
      <w:r>
        <w:t>O + 新好氧污泥</w:t>
      </w:r>
    </w:p>
    <w:p>
      <w:pPr>
        <w:tabs>
          <w:tab w:val="left" w:pos="1850"/>
        </w:tabs>
        <w:spacing w:before="0" w:line="174" w:lineRule="exact"/>
        <w:ind w:left="1040" w:right="0" w:firstLine="0"/>
        <w:jc w:val="left"/>
        <w:rPr>
          <w:sz w:val="18"/>
        </w:rPr>
      </w:pPr>
      <w:r>
        <w:rPr>
          <w:sz w:val="18"/>
        </w:rPr>
        <w:t>2</w:t>
        <w:tab/>
        <w:t>2</w:t>
      </w:r>
    </w:p>
    <w:p>
      <w:pPr>
        <w:spacing w:after="0" w:line="174" w:lineRule="exact"/>
        <w:jc w:val="left"/>
        <w:rPr>
          <w:sz w:val="18"/>
        </w:rPr>
        <w:sectPr>
          <w:type w:val="continuous"/>
          <w:pgSz w:w="17870" w:h="25260"/>
          <w:pgMar w:top="1720" w:right="940" w:bottom="280" w:left="1420" w:header="708" w:footer="708"/>
          <w:pgNumType w:start="51"/>
          <w:cols w:num="2" w:space="708" w:equalWidth="0">
            <w:col w:w="3603" w:space="40"/>
            <w:col w:w="11867" w:space="0"/>
          </w:cols>
        </w:sectPr>
      </w:pPr>
    </w:p>
    <w:p>
      <w:pPr>
        <w:pStyle w:val="BodyText"/>
        <w:rPr>
          <w:sz w:val="20"/>
        </w:rPr>
      </w:pPr>
    </w:p>
    <w:p>
      <w:pPr>
        <w:pStyle w:val="BodyText"/>
        <w:spacing w:before="8"/>
        <w:rPr>
          <w:sz w:val="18"/>
        </w:rPr>
      </w:pPr>
    </w:p>
    <w:p>
      <w:pPr>
        <w:pStyle w:val="BodyText"/>
        <w:spacing w:before="49" w:line="364" w:lineRule="auto"/>
        <w:ind w:left="1583" w:right="827" w:firstLine="669"/>
      </w:pPr>
      <w:r>
        <w:t>实质上这就是一个氧化净化过程.。如上式所示，部分有机物将用于新菌体污泥合成的碳，这部分污泥将作为剩余污泥排出。</w:t>
      </w:r>
    </w:p>
    <w:p>
      <w:pPr>
        <w:pStyle w:val="BodyText"/>
        <w:rPr>
          <w:sz w:val="33"/>
        </w:rPr>
      </w:pPr>
    </w:p>
    <w:p>
      <w:pPr>
        <w:pStyle w:val="BodyText"/>
        <w:spacing w:line="364" w:lineRule="auto"/>
        <w:ind w:left="1583" w:right="587" w:firstLine="669"/>
      </w:pPr>
      <w:r>
        <w:t>为使有机污染物顺利转化，这里必须将两个参数控制得当。一是维持曝气池中足够的溶解氧浓度为提供微生物充足的氧，通常溶氧浓度在 1~3mg/l。二是曝气池中维持足够的活性污泥浓度以进行生物转化，在制浆造纸工业污泥浓度通常维持在3~8gTSS/l。</w:t>
      </w:r>
    </w:p>
    <w:p>
      <w:pPr>
        <w:spacing w:after="0" w:line="364" w:lineRule="auto"/>
        <w:sectPr>
          <w:type w:val="continuous"/>
          <w:pgSz w:w="17870" w:h="25260"/>
          <w:pgMar w:top="1720" w:right="940" w:bottom="280" w:left="1420" w:header="708" w:footer="708"/>
          <w:pgNumType w:start="52"/>
          <w:cols w:space="708"/>
        </w:sectPr>
      </w:pPr>
    </w:p>
    <w:p>
      <w:pPr>
        <w:pStyle w:val="Heading4"/>
        <w:numPr>
          <w:ilvl w:val="3"/>
          <w:numId w:val="32"/>
        </w:numPr>
        <w:tabs>
          <w:tab w:val="left" w:pos="2328"/>
          <w:tab w:val="left" w:pos="2329"/>
        </w:tabs>
        <w:spacing w:before="24" w:after="0" w:line="240" w:lineRule="auto"/>
        <w:ind w:left="2328" w:right="0" w:hanging="2021"/>
        <w:jc w:val="left"/>
      </w:pPr>
      <w:r>
        <w:rPr>
          <w:spacing w:val="3"/>
        </w:rPr>
        <w:t>分配/</w:t>
      </w:r>
      <w:r>
        <w:t>筛选池</w:t>
      </w:r>
    </w:p>
    <w:p>
      <w:pPr>
        <w:pStyle w:val="BodyText"/>
        <w:spacing w:before="8"/>
        <w:rPr>
          <w:b/>
          <w:sz w:val="37"/>
        </w:rPr>
      </w:pPr>
    </w:p>
    <w:p>
      <w:pPr>
        <w:pStyle w:val="BodyText"/>
        <w:spacing w:line="364" w:lineRule="auto"/>
        <w:ind w:left="308" w:right="842" w:firstLine="670"/>
      </w:pPr>
      <w:r>
        <w:t>从厌氧的循环罐的出水、低浓造纸废水和二沉池的回流污泥将由分配池分配后在筛选池内混合，设计有效容积为 350m</w:t>
      </w:r>
      <w:r>
        <w:rPr>
          <w:position w:val="3"/>
          <w:sz w:val="18"/>
        </w:rPr>
        <w:t>3</w:t>
      </w:r>
      <w:r>
        <w:t>，停留时间约为 0.5 小时。</w:t>
      </w:r>
    </w:p>
    <w:p>
      <w:pPr>
        <w:pStyle w:val="BodyText"/>
        <w:spacing w:before="243" w:line="364" w:lineRule="auto"/>
        <w:ind w:left="308" w:right="842" w:firstLine="670"/>
      </w:pPr>
      <w:r>
        <w:t>设立筛选池的目的是为了防止后续的好氧出现污泥膨胀。回流污泥进入体积较小的筛选池内，其有机物的浓度较高。通过以下的两种方式去选择菌胶团细菌同时抑制丝状菌的生长：</w:t>
      </w:r>
    </w:p>
    <w:p>
      <w:pPr>
        <w:pStyle w:val="ListParagraph"/>
        <w:numPr>
          <w:ilvl w:val="4"/>
          <w:numId w:val="32"/>
        </w:numPr>
        <w:tabs>
          <w:tab w:val="left" w:pos="1519"/>
        </w:tabs>
        <w:spacing w:before="230" w:after="0" w:line="372" w:lineRule="auto"/>
        <w:ind w:left="1518" w:right="662" w:hanging="540"/>
        <w:jc w:val="both"/>
        <w:rPr>
          <w:sz w:val="36"/>
        </w:rPr>
      </w:pPr>
      <w:r>
        <w:rPr>
          <w:spacing w:val="-1"/>
          <w:sz w:val="36"/>
        </w:rPr>
        <w:t>利用菌胶团细菌与丝状菌的生长速率的差异，高浓下，菌胶团细菌对于有机物的利用</w:t>
      </w:r>
      <w:r>
        <w:rPr>
          <w:sz w:val="36"/>
        </w:rPr>
        <w:t>率高于丝状菌，因而对于其的生长有利；</w:t>
      </w:r>
    </w:p>
    <w:p>
      <w:pPr>
        <w:pStyle w:val="ListParagraph"/>
        <w:numPr>
          <w:ilvl w:val="4"/>
          <w:numId w:val="32"/>
        </w:numPr>
        <w:tabs>
          <w:tab w:val="left" w:pos="1519"/>
        </w:tabs>
        <w:spacing w:before="216" w:after="0" w:line="369" w:lineRule="auto"/>
        <w:ind w:left="1518" w:right="662" w:hanging="540"/>
        <w:jc w:val="both"/>
        <w:rPr>
          <w:sz w:val="36"/>
        </w:rPr>
      </w:pPr>
      <w:r>
        <w:rPr>
          <w:spacing w:val="-1"/>
          <w:sz w:val="36"/>
        </w:rPr>
        <w:t>菌胶团菌比丝状菌更高的基质积累能力，当回流污泥进入筛选池内，各种菌群会迅速吸收有机质并将其储存在细胞内以利于将来利用，调整自己适应新的环境。菌胶团菌</w:t>
      </w:r>
      <w:r>
        <w:rPr>
          <w:sz w:val="36"/>
        </w:rPr>
        <w:t>调整自己的速度要快于丝状菌，这样其将会被筛选出来。</w:t>
      </w:r>
    </w:p>
    <w:p>
      <w:pPr>
        <w:pStyle w:val="BodyText"/>
        <w:spacing w:before="230" w:line="364" w:lineRule="auto"/>
        <w:ind w:left="308" w:right="842" w:firstLine="670"/>
      </w:pPr>
      <w:r>
        <w:t>从厌氧的循环罐的所排出的厌氧处理后的出水和二沉池的回流污泥将由配水池分配后均匀进入后面的两列好氧曝气池中。</w:t>
      </w:r>
    </w:p>
    <w:p>
      <w:pPr>
        <w:pStyle w:val="BodyText"/>
        <w:spacing w:before="4"/>
        <w:rPr>
          <w:sz w:val="28"/>
        </w:rPr>
      </w:pPr>
    </w:p>
    <w:p>
      <w:pPr>
        <w:pStyle w:val="Heading4"/>
        <w:numPr>
          <w:ilvl w:val="3"/>
          <w:numId w:val="32"/>
        </w:numPr>
        <w:tabs>
          <w:tab w:val="left" w:pos="2007"/>
          <w:tab w:val="left" w:pos="2008"/>
        </w:tabs>
        <w:spacing w:before="0" w:after="0" w:line="240" w:lineRule="auto"/>
        <w:ind w:left="2007" w:right="0" w:hanging="1700"/>
        <w:jc w:val="left"/>
      </w:pPr>
      <w:r>
        <w:t>曝气池</w:t>
      </w:r>
    </w:p>
    <w:p>
      <w:pPr>
        <w:pStyle w:val="BodyText"/>
        <w:spacing w:before="8"/>
        <w:rPr>
          <w:b/>
          <w:sz w:val="37"/>
        </w:rPr>
      </w:pPr>
    </w:p>
    <w:p>
      <w:pPr>
        <w:pStyle w:val="BodyText"/>
        <w:spacing w:line="364" w:lineRule="auto"/>
        <w:ind w:left="1583" w:right="657" w:firstLine="669"/>
      </w:pPr>
      <w:r>
        <w:t>好氧曝气池设计为双线制，推流式,曝气池的水深选择为 5m，每列的平面尺寸为22x66m。</w:t>
      </w:r>
    </w:p>
    <w:p>
      <w:pPr>
        <w:pStyle w:val="BodyText"/>
        <w:rPr>
          <w:sz w:val="33"/>
        </w:rPr>
      </w:pPr>
    </w:p>
    <w:p>
      <w:pPr>
        <w:pStyle w:val="BodyText"/>
        <w:ind w:left="2252"/>
      </w:pPr>
      <w:r>
        <w:t>曝气方式采用表曝的方式，无需建立鼓风机房及设置大量的布气管道和曝气头，</w:t>
      </w:r>
    </w:p>
    <w:p>
      <w:pPr>
        <w:pStyle w:val="BodyText"/>
        <w:rPr>
          <w:sz w:val="15"/>
        </w:rPr>
      </w:pPr>
    </w:p>
    <w:p>
      <w:pPr>
        <w:spacing w:after="0"/>
        <w:rPr>
          <w:sz w:val="15"/>
        </w:rPr>
        <w:sectPr>
          <w:pgSz w:w="17870" w:h="25260"/>
          <w:pgMar w:top="1820" w:right="940" w:bottom="280" w:left="1420" w:header="708" w:footer="708"/>
          <w:pgNumType w:start="53"/>
          <w:cols w:space="708"/>
        </w:sectPr>
      </w:pPr>
    </w:p>
    <w:p>
      <w:pPr>
        <w:pStyle w:val="BodyText"/>
        <w:spacing w:before="50" w:line="405" w:lineRule="exact"/>
        <w:ind w:left="1583"/>
      </w:pPr>
      <w:r>
        <w:rPr>
          <w:spacing w:val="-4"/>
        </w:rPr>
        <w:t xml:space="preserve">设施简单，集中，处理效果好。在曝气池中发生实质性的 </w:t>
      </w:r>
      <w:r>
        <w:t>COD</w:t>
      </w:r>
      <w:r>
        <w:rPr>
          <w:spacing w:val="-60"/>
        </w:rPr>
        <w:t xml:space="preserve"> 到 </w:t>
      </w:r>
      <w:r>
        <w:t>CO</w:t>
      </w:r>
    </w:p>
    <w:p>
      <w:pPr>
        <w:spacing w:before="0" w:line="175" w:lineRule="exact"/>
        <w:ind w:left="0" w:right="0" w:firstLine="0"/>
        <w:jc w:val="right"/>
        <w:rPr>
          <w:sz w:val="18"/>
        </w:rPr>
      </w:pPr>
      <w:r>
        <w:rPr>
          <w:sz w:val="18"/>
        </w:rPr>
        <w:t>2</w:t>
      </w:r>
    </w:p>
    <w:p>
      <w:pPr>
        <w:pStyle w:val="BodyText"/>
        <w:spacing w:before="50" w:line="405" w:lineRule="exact"/>
        <w:ind w:left="3"/>
      </w:pPr>
      <w:r>
        <w:br w:type="column"/>
      </w:r>
      <w:r>
        <w:rPr>
          <w:spacing w:val="-45"/>
        </w:rPr>
        <w:t xml:space="preserve">和 </w:t>
      </w:r>
      <w:r>
        <w:t>H</w:t>
      </w:r>
      <w:r>
        <w:rPr>
          <w:spacing w:val="-90"/>
        </w:rPr>
        <w:t xml:space="preserve"> </w:t>
      </w:r>
      <w:r>
        <w:t>O</w:t>
      </w:r>
      <w:r>
        <w:rPr>
          <w:spacing w:val="-19"/>
        </w:rPr>
        <w:t xml:space="preserve"> 转化。部</w:t>
      </w:r>
    </w:p>
    <w:p>
      <w:pPr>
        <w:spacing w:before="0" w:line="175" w:lineRule="exact"/>
        <w:ind w:left="633" w:right="0" w:firstLine="0"/>
        <w:jc w:val="left"/>
        <w:rPr>
          <w:sz w:val="18"/>
        </w:rPr>
      </w:pPr>
      <w:r>
        <w:rPr>
          <w:sz w:val="18"/>
        </w:rPr>
        <w:t>2</w:t>
      </w:r>
    </w:p>
    <w:p>
      <w:pPr>
        <w:spacing w:after="0" w:line="175" w:lineRule="exact"/>
        <w:jc w:val="left"/>
        <w:rPr>
          <w:sz w:val="18"/>
        </w:rPr>
        <w:sectPr>
          <w:type w:val="continuous"/>
          <w:pgSz w:w="17870" w:h="25260"/>
          <w:pgMar w:top="1720" w:right="940" w:bottom="280" w:left="1420" w:header="708" w:footer="708"/>
          <w:pgNumType w:start="54"/>
          <w:cols w:num="2" w:space="708" w:equalWidth="0">
            <w:col w:w="12206" w:space="40"/>
            <w:col w:w="3264" w:space="0"/>
          </w:cols>
        </w:sectPr>
      </w:pPr>
    </w:p>
    <w:p>
      <w:pPr>
        <w:pStyle w:val="BodyText"/>
        <w:spacing w:before="122" w:line="364" w:lineRule="auto"/>
        <w:ind w:left="1583" w:right="598"/>
      </w:pPr>
      <w:r>
        <w:t>分有机污染物转化成污泥（生物生长），因为整个系统的污泥量由于生长而增加，曝气池的污泥量将会上升。为保持曝气池的污泥量在预设值，必须将剩余污泥从 系统中取出。</w:t>
      </w:r>
    </w:p>
    <w:p>
      <w:pPr>
        <w:pStyle w:val="BodyText"/>
        <w:spacing w:before="1"/>
        <w:rPr>
          <w:sz w:val="33"/>
        </w:rPr>
      </w:pPr>
    </w:p>
    <w:p>
      <w:pPr>
        <w:pStyle w:val="BodyText"/>
        <w:spacing w:line="364" w:lineRule="auto"/>
        <w:ind w:left="1583" w:right="598" w:firstLine="669"/>
        <w:jc w:val="both"/>
      </w:pPr>
      <w:r>
        <w:t>在每一条曝气池的末端安装溶氧仪以连续监测每一条曝气池的溶解氧。帕克公司将对于曝气池的水位高度作可调设计，将可以通过调整出水水位档板的高低来调节表曝机的浸水深度，从而控制曝气量和运行功率，这样曝气机无需设立变频控制。</w:t>
      </w:r>
    </w:p>
    <w:p>
      <w:pPr>
        <w:spacing w:after="0" w:line="364" w:lineRule="auto"/>
        <w:jc w:val="both"/>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0" w:history="1">
        <w:r>
          <w:rPr>
            <w:rFonts w:ascii="SimSun" w:eastAsia="SimSun" w:hAnsi="SimSun" w:cs="SimSun"/>
            <w:b/>
            <w:bCs/>
            <w:color w:val="0000EE"/>
            <w:sz w:val="30"/>
            <w:szCs w:val="30"/>
            <w:u w:val="single" w:color="0000EE"/>
          </w:rPr>
          <w:t>https://d.book118.com/156041055032010033</w:t>
        </w:r>
      </w:hyperlink>
    </w:p>
    <w:p>
      <w:pPr>
        <w:spacing w:after="0" w:line="364" w:lineRule="auto"/>
        <w:jc w:val="both"/>
      </w:pPr>
    </w:p>
    <w:sectPr>
      <w:type w:val="continuous"/>
      <w:pgSz w:w="17870" w:h="25260"/>
      <w:pgMar w:top="1720" w:right="940" w:bottom="280" w:left="1420" w:header="708" w:footer="708"/>
      <w:pgNumType w:start="55"/>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Symbol">
    <w:altName w:val="Symbol"/>
    <w:charset w:val="02"/>
    <w:family w:val="roman"/>
    <w:pitch w:val="variable"/>
    <w:sig w:usb0="00000000" w:usb1="00000000" w:usb2="00000000" w:usb3="00000000" w:csb0="80000000" w:csb1="00000000"/>
  </w:font>
  <w:font w:name="幼圆">
    <w:altName w:val="幼圆"/>
    <w:charset w:val="86"/>
    <w:family w:val="modern"/>
    <w:pitch w:val="fixed"/>
    <w:sig w:usb0="00000000" w:usb1="00000000" w:usb2="00000000" w:usb3="00000000" w:csb0="00040000" w:csb1="00000000"/>
  </w:font>
  <w:font w:name="仿宋">
    <w:altName w:val="仿宋"/>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Wingdings">
    <w:altName w:val="Wingdings"/>
    <w:charset w:val="02"/>
    <w:family w:val="auto"/>
    <w:pitch w:val="variable"/>
    <w:sig w:usb0="00000000" w:usb1="00000000" w:usb2="00000000" w:usb3="00000000" w:csb0="80000000" w:csb1="00000000"/>
  </w:font>
  <w:font w:name="微软雅黑">
    <w:altName w:val="微软雅黑"/>
    <w:charset w:val="86"/>
    <w:family w:val="swiss"/>
    <w:pitch w:val="variable"/>
    <w:sig w:usb0="00000000" w:usb1="00000000" w:usb2="00000000" w:usb3="00000000" w:csb0="00040000" w:csb1="00000000"/>
  </w:font>
  <w:font w:name="Tahoma">
    <w:altName w:val="Tahoma"/>
    <w:charset w:val="00"/>
    <w:family w:val="swiss"/>
    <w:pitch w:val="variable"/>
    <w:sig w:usb0="00000000" w:usb1="00000000" w:usb2="00000000" w:usb3="00000000" w:csb0="00000001" w:csb1="00000000"/>
  </w:font>
  <w:font w:name="Marlett">
    <w:altName w:val="Marlett"/>
    <w:charset w:val="02"/>
    <w:family w:val="auto"/>
    <w:pitch w:val="variable"/>
    <w:sig w:usb0="00000000" w:usb1="00000000" w:usb2="00000000" w:usb3="00000000" w:csb0="80000000" w:csb1="00000000"/>
  </w:font>
  <w:font w:name="Wingdings 2">
    <w:altName w:val="Wingdings 2"/>
    <w:charset w:val="02"/>
    <w:family w:val="roman"/>
    <w:pitch w:val="variable"/>
    <w:sig w:usb0="00000000" w:usb1="00000000" w:usb2="00000000" w:usb3="00000000" w:csb0="8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9C989"/>
    <w:multiLevelType w:val="hybridMultilevel"/>
    <w:tmpl w:val="00000000"/>
    <w:lvl w:ilvl="0">
      <w:start w:val="1"/>
      <w:numFmt w:val="decimal"/>
      <w:lvlText w:val="%1."/>
      <w:lvlJc w:val="left"/>
      <w:pPr>
        <w:ind w:left="848" w:hanging="541"/>
        <w:jc w:val="left"/>
      </w:pPr>
      <w:rPr>
        <w:rFonts w:ascii="宋体" w:eastAsia="宋体" w:hAnsi="宋体" w:cs="宋体" w:hint="default"/>
        <w:w w:val="100"/>
        <w:sz w:val="36"/>
        <w:szCs w:val="36"/>
      </w:rPr>
    </w:lvl>
    <w:lvl w:ilvl="1">
      <w:start w:val="0"/>
      <w:numFmt w:val="bullet"/>
      <w:lvlText w:val=""/>
      <w:lvlJc w:val="left"/>
      <w:pPr>
        <w:ind w:left="1388" w:hanging="540"/>
      </w:pPr>
      <w:rPr>
        <w:rFonts w:ascii="Symbol" w:eastAsia="Symbol" w:hAnsi="Symbol" w:cs="Symbol" w:hint="default"/>
        <w:w w:val="100"/>
        <w:sz w:val="36"/>
        <w:szCs w:val="36"/>
      </w:rPr>
    </w:lvl>
    <w:lvl w:ilvl="2">
      <w:start w:val="0"/>
      <w:numFmt w:val="bullet"/>
      <w:lvlText w:val="•"/>
      <w:lvlJc w:val="left"/>
      <w:pPr>
        <w:ind w:left="2949" w:hanging="540"/>
      </w:pPr>
      <w:rPr>
        <w:rFonts w:hint="default"/>
      </w:rPr>
    </w:lvl>
    <w:lvl w:ilvl="3">
      <w:start w:val="0"/>
      <w:numFmt w:val="bullet"/>
      <w:lvlText w:val="•"/>
      <w:lvlJc w:val="left"/>
      <w:pPr>
        <w:ind w:left="4518" w:hanging="540"/>
      </w:pPr>
      <w:rPr>
        <w:rFonts w:hint="default"/>
      </w:rPr>
    </w:lvl>
    <w:lvl w:ilvl="4">
      <w:start w:val="0"/>
      <w:numFmt w:val="bullet"/>
      <w:lvlText w:val="•"/>
      <w:lvlJc w:val="left"/>
      <w:pPr>
        <w:ind w:left="6087" w:hanging="540"/>
      </w:pPr>
      <w:rPr>
        <w:rFonts w:hint="default"/>
      </w:rPr>
    </w:lvl>
    <w:lvl w:ilvl="5">
      <w:start w:val="0"/>
      <w:numFmt w:val="bullet"/>
      <w:lvlText w:val="•"/>
      <w:lvlJc w:val="left"/>
      <w:pPr>
        <w:ind w:left="7656" w:hanging="540"/>
      </w:pPr>
      <w:rPr>
        <w:rFonts w:hint="default"/>
      </w:rPr>
    </w:lvl>
    <w:lvl w:ilvl="6">
      <w:start w:val="0"/>
      <w:numFmt w:val="bullet"/>
      <w:lvlText w:val="•"/>
      <w:lvlJc w:val="left"/>
      <w:pPr>
        <w:ind w:left="9226" w:hanging="540"/>
      </w:pPr>
      <w:rPr>
        <w:rFonts w:hint="default"/>
      </w:rPr>
    </w:lvl>
    <w:lvl w:ilvl="7">
      <w:start w:val="0"/>
      <w:numFmt w:val="bullet"/>
      <w:lvlText w:val="•"/>
      <w:lvlJc w:val="left"/>
      <w:pPr>
        <w:ind w:left="10795" w:hanging="540"/>
      </w:pPr>
      <w:rPr>
        <w:rFonts w:hint="default"/>
      </w:rPr>
    </w:lvl>
    <w:lvl w:ilvl="8">
      <w:start w:val="0"/>
      <w:numFmt w:val="bullet"/>
      <w:lvlText w:val="•"/>
      <w:lvlJc w:val="left"/>
      <w:pPr>
        <w:ind w:left="12364" w:hanging="540"/>
      </w:pPr>
      <w:rPr>
        <w:rFonts w:hint="default"/>
      </w:rPr>
    </w:lvl>
  </w:abstractNum>
  <w:abstractNum w:abstractNumId="1">
    <w:nsid w:val="022EC660"/>
    <w:multiLevelType w:val="hybridMultilevel"/>
    <w:tmpl w:val="00000000"/>
    <w:lvl w:ilvl="0">
      <w:start w:val="0"/>
      <w:numFmt w:val="bullet"/>
      <w:lvlText w:val=""/>
      <w:lvlJc w:val="left"/>
      <w:pPr>
        <w:ind w:left="2058" w:hanging="540"/>
      </w:pPr>
      <w:rPr>
        <w:rFonts w:ascii="Symbol" w:eastAsia="Symbol" w:hAnsi="Symbol" w:cs="Symbol" w:hint="default"/>
        <w:w w:val="100"/>
        <w:sz w:val="36"/>
        <w:szCs w:val="36"/>
      </w:rPr>
    </w:lvl>
    <w:lvl w:ilvl="1">
      <w:start w:val="0"/>
      <w:numFmt w:val="bullet"/>
      <w:lvlText w:val="•"/>
      <w:lvlJc w:val="left"/>
      <w:pPr>
        <w:ind w:left="3404" w:hanging="540"/>
      </w:pPr>
      <w:rPr>
        <w:rFonts w:hint="default"/>
      </w:rPr>
    </w:lvl>
    <w:lvl w:ilvl="2">
      <w:start w:val="0"/>
      <w:numFmt w:val="bullet"/>
      <w:lvlText w:val="•"/>
      <w:lvlJc w:val="left"/>
      <w:pPr>
        <w:ind w:left="4748" w:hanging="540"/>
      </w:pPr>
      <w:rPr>
        <w:rFonts w:hint="default"/>
      </w:rPr>
    </w:lvl>
    <w:lvl w:ilvl="3">
      <w:start w:val="0"/>
      <w:numFmt w:val="bullet"/>
      <w:lvlText w:val="•"/>
      <w:lvlJc w:val="left"/>
      <w:pPr>
        <w:ind w:left="6092" w:hanging="540"/>
      </w:pPr>
      <w:rPr>
        <w:rFonts w:hint="default"/>
      </w:rPr>
    </w:lvl>
    <w:lvl w:ilvl="4">
      <w:start w:val="0"/>
      <w:numFmt w:val="bullet"/>
      <w:lvlText w:val="•"/>
      <w:lvlJc w:val="left"/>
      <w:pPr>
        <w:ind w:left="7437" w:hanging="540"/>
      </w:pPr>
      <w:rPr>
        <w:rFonts w:hint="default"/>
      </w:rPr>
    </w:lvl>
    <w:lvl w:ilvl="5">
      <w:start w:val="0"/>
      <w:numFmt w:val="bullet"/>
      <w:lvlText w:val="•"/>
      <w:lvlJc w:val="left"/>
      <w:pPr>
        <w:ind w:left="8781" w:hanging="540"/>
      </w:pPr>
      <w:rPr>
        <w:rFonts w:hint="default"/>
      </w:rPr>
    </w:lvl>
    <w:lvl w:ilvl="6">
      <w:start w:val="0"/>
      <w:numFmt w:val="bullet"/>
      <w:lvlText w:val="•"/>
      <w:lvlJc w:val="left"/>
      <w:pPr>
        <w:ind w:left="10125" w:hanging="540"/>
      </w:pPr>
      <w:rPr>
        <w:rFonts w:hint="default"/>
      </w:rPr>
    </w:lvl>
    <w:lvl w:ilvl="7">
      <w:start w:val="0"/>
      <w:numFmt w:val="bullet"/>
      <w:lvlText w:val="•"/>
      <w:lvlJc w:val="left"/>
      <w:pPr>
        <w:ind w:left="11470" w:hanging="540"/>
      </w:pPr>
      <w:rPr>
        <w:rFonts w:hint="default"/>
      </w:rPr>
    </w:lvl>
    <w:lvl w:ilvl="8">
      <w:start w:val="0"/>
      <w:numFmt w:val="bullet"/>
      <w:lvlText w:val="•"/>
      <w:lvlJc w:val="left"/>
      <w:pPr>
        <w:ind w:left="12814" w:hanging="540"/>
      </w:pPr>
      <w:rPr>
        <w:rFonts w:hint="default"/>
      </w:rPr>
    </w:lvl>
  </w:abstractNum>
  <w:abstractNum w:abstractNumId="2">
    <w:nsid w:val="0603C7E4"/>
    <w:multiLevelType w:val="hybridMultilevel"/>
    <w:tmpl w:val="00000000"/>
    <w:lvl w:ilvl="0">
      <w:start w:val="5"/>
      <w:numFmt w:val="decimal"/>
      <w:lvlText w:val="%1"/>
      <w:lvlJc w:val="left"/>
      <w:pPr>
        <w:ind w:left="2007" w:hanging="1159"/>
        <w:jc w:val="left"/>
      </w:pPr>
      <w:rPr>
        <w:rFonts w:hint="default"/>
      </w:rPr>
    </w:lvl>
    <w:lvl w:ilvl="1">
      <w:start w:val="1"/>
      <w:numFmt w:val="decimal"/>
      <w:lvlText w:val="%1.%2"/>
      <w:lvlJc w:val="left"/>
      <w:pPr>
        <w:ind w:left="2007" w:hanging="1159"/>
        <w:jc w:val="right"/>
      </w:pPr>
      <w:rPr>
        <w:rFonts w:ascii="仿宋" w:eastAsia="仿宋" w:hAnsi="仿宋" w:cs="仿宋" w:hint="default"/>
        <w:b/>
        <w:bCs/>
        <w:w w:val="98"/>
        <w:sz w:val="48"/>
        <w:szCs w:val="48"/>
      </w:rPr>
    </w:lvl>
    <w:lvl w:ilvl="2">
      <w:start w:val="0"/>
      <w:numFmt w:val="bullet"/>
      <w:lvlText w:val=""/>
      <w:lvlJc w:val="left"/>
      <w:pPr>
        <w:ind w:left="2123" w:hanging="1145"/>
      </w:pPr>
      <w:rPr>
        <w:rFonts w:ascii="Symbol" w:eastAsia="Symbol" w:hAnsi="Symbol" w:cs="Symbol" w:hint="default"/>
        <w:w w:val="100"/>
        <w:sz w:val="36"/>
        <w:szCs w:val="36"/>
      </w:rPr>
    </w:lvl>
    <w:lvl w:ilvl="3">
      <w:start w:val="0"/>
      <w:numFmt w:val="bullet"/>
      <w:lvlText w:val="•"/>
      <w:lvlJc w:val="left"/>
      <w:pPr>
        <w:ind w:left="5094" w:hanging="1145"/>
      </w:pPr>
      <w:rPr>
        <w:rFonts w:hint="default"/>
      </w:rPr>
    </w:lvl>
    <w:lvl w:ilvl="4">
      <w:start w:val="0"/>
      <w:numFmt w:val="bullet"/>
      <w:lvlText w:val="•"/>
      <w:lvlJc w:val="left"/>
      <w:pPr>
        <w:ind w:left="6581" w:hanging="1145"/>
      </w:pPr>
      <w:rPr>
        <w:rFonts w:hint="default"/>
      </w:rPr>
    </w:lvl>
    <w:lvl w:ilvl="5">
      <w:start w:val="0"/>
      <w:numFmt w:val="bullet"/>
      <w:lvlText w:val="•"/>
      <w:lvlJc w:val="left"/>
      <w:pPr>
        <w:ind w:left="8068" w:hanging="1145"/>
      </w:pPr>
      <w:rPr>
        <w:rFonts w:hint="default"/>
      </w:rPr>
    </w:lvl>
    <w:lvl w:ilvl="6">
      <w:start w:val="0"/>
      <w:numFmt w:val="bullet"/>
      <w:lvlText w:val="•"/>
      <w:lvlJc w:val="left"/>
      <w:pPr>
        <w:ind w:left="9555" w:hanging="1145"/>
      </w:pPr>
      <w:rPr>
        <w:rFonts w:hint="default"/>
      </w:rPr>
    </w:lvl>
    <w:lvl w:ilvl="7">
      <w:start w:val="0"/>
      <w:numFmt w:val="bullet"/>
      <w:lvlText w:val="•"/>
      <w:lvlJc w:val="left"/>
      <w:pPr>
        <w:ind w:left="11042" w:hanging="1145"/>
      </w:pPr>
      <w:rPr>
        <w:rFonts w:hint="default"/>
      </w:rPr>
    </w:lvl>
    <w:lvl w:ilvl="8">
      <w:start w:val="0"/>
      <w:numFmt w:val="bullet"/>
      <w:lvlText w:val="•"/>
      <w:lvlJc w:val="left"/>
      <w:pPr>
        <w:ind w:left="12529" w:hanging="1145"/>
      </w:pPr>
      <w:rPr>
        <w:rFonts w:hint="default"/>
      </w:rPr>
    </w:lvl>
  </w:abstractNum>
  <w:abstractNum w:abstractNumId="3">
    <w:nsid w:val="06DB5313"/>
    <w:multiLevelType w:val="hybridMultilevel"/>
    <w:tmpl w:val="00000000"/>
    <w:lvl w:ilvl="0">
      <w:start w:val="0"/>
      <w:numFmt w:val="bullet"/>
      <w:lvlText w:val="◗"/>
      <w:lvlJc w:val="left"/>
      <w:pPr>
        <w:ind w:left="1280" w:hanging="540"/>
      </w:pPr>
      <w:rPr>
        <w:rFonts w:ascii="Marlett" w:eastAsia="Marlett" w:hAnsi="Marlett" w:cs="Marlett" w:hint="default"/>
        <w:w w:val="149"/>
        <w:sz w:val="36"/>
        <w:szCs w:val="36"/>
      </w:rPr>
    </w:lvl>
    <w:lvl w:ilvl="1">
      <w:start w:val="0"/>
      <w:numFmt w:val="bullet"/>
      <w:lvlText w:val="•"/>
      <w:lvlJc w:val="left"/>
      <w:pPr>
        <w:ind w:left="2702" w:hanging="540"/>
      </w:pPr>
      <w:rPr>
        <w:rFonts w:hint="default"/>
      </w:rPr>
    </w:lvl>
    <w:lvl w:ilvl="2">
      <w:start w:val="0"/>
      <w:numFmt w:val="bullet"/>
      <w:lvlText w:val="•"/>
      <w:lvlJc w:val="left"/>
      <w:pPr>
        <w:ind w:left="4124" w:hanging="540"/>
      </w:pPr>
      <w:rPr>
        <w:rFonts w:hint="default"/>
      </w:rPr>
    </w:lvl>
    <w:lvl w:ilvl="3">
      <w:start w:val="0"/>
      <w:numFmt w:val="bullet"/>
      <w:lvlText w:val="•"/>
      <w:lvlJc w:val="left"/>
      <w:pPr>
        <w:ind w:left="5546" w:hanging="540"/>
      </w:pPr>
      <w:rPr>
        <w:rFonts w:hint="default"/>
      </w:rPr>
    </w:lvl>
    <w:lvl w:ilvl="4">
      <w:start w:val="0"/>
      <w:numFmt w:val="bullet"/>
      <w:lvlText w:val="•"/>
      <w:lvlJc w:val="left"/>
      <w:pPr>
        <w:ind w:left="6969" w:hanging="540"/>
      </w:pPr>
      <w:rPr>
        <w:rFonts w:hint="default"/>
      </w:rPr>
    </w:lvl>
    <w:lvl w:ilvl="5">
      <w:start w:val="0"/>
      <w:numFmt w:val="bullet"/>
      <w:lvlText w:val="•"/>
      <w:lvlJc w:val="left"/>
      <w:pPr>
        <w:ind w:left="8391" w:hanging="540"/>
      </w:pPr>
      <w:rPr>
        <w:rFonts w:hint="default"/>
      </w:rPr>
    </w:lvl>
    <w:lvl w:ilvl="6">
      <w:start w:val="0"/>
      <w:numFmt w:val="bullet"/>
      <w:lvlText w:val="•"/>
      <w:lvlJc w:val="left"/>
      <w:pPr>
        <w:ind w:left="9813" w:hanging="540"/>
      </w:pPr>
      <w:rPr>
        <w:rFonts w:hint="default"/>
      </w:rPr>
    </w:lvl>
    <w:lvl w:ilvl="7">
      <w:start w:val="0"/>
      <w:numFmt w:val="bullet"/>
      <w:lvlText w:val="•"/>
      <w:lvlJc w:val="left"/>
      <w:pPr>
        <w:ind w:left="11236" w:hanging="540"/>
      </w:pPr>
      <w:rPr>
        <w:rFonts w:hint="default"/>
      </w:rPr>
    </w:lvl>
    <w:lvl w:ilvl="8">
      <w:start w:val="0"/>
      <w:numFmt w:val="bullet"/>
      <w:lvlText w:val="•"/>
      <w:lvlJc w:val="left"/>
      <w:pPr>
        <w:ind w:left="12658" w:hanging="540"/>
      </w:pPr>
      <w:rPr>
        <w:rFonts w:hint="default"/>
      </w:rPr>
    </w:lvl>
  </w:abstractNum>
  <w:abstractNum w:abstractNumId="4">
    <w:nsid w:val="08348D6D"/>
    <w:multiLevelType w:val="hybridMultilevel"/>
    <w:tmpl w:val="00000000"/>
    <w:lvl w:ilvl="0">
      <w:start w:val="0"/>
      <w:numFmt w:val="bullet"/>
      <w:lvlText w:val=""/>
      <w:lvlJc w:val="left"/>
      <w:pPr>
        <w:ind w:left="1518" w:hanging="540"/>
      </w:pPr>
      <w:rPr>
        <w:rFonts w:ascii="Symbol" w:eastAsia="Symbol" w:hAnsi="Symbol" w:cs="Symbol" w:hint="default"/>
        <w:w w:val="100"/>
        <w:sz w:val="36"/>
        <w:szCs w:val="36"/>
      </w:rPr>
    </w:lvl>
    <w:lvl w:ilvl="1">
      <w:start w:val="0"/>
      <w:numFmt w:val="bullet"/>
      <w:lvlText w:val="•"/>
      <w:lvlJc w:val="left"/>
      <w:pPr>
        <w:ind w:left="2918" w:hanging="540"/>
      </w:pPr>
      <w:rPr>
        <w:rFonts w:hint="default"/>
      </w:rPr>
    </w:lvl>
    <w:lvl w:ilvl="2">
      <w:start w:val="0"/>
      <w:numFmt w:val="bullet"/>
      <w:lvlText w:val="•"/>
      <w:lvlJc w:val="left"/>
      <w:pPr>
        <w:ind w:left="4316" w:hanging="540"/>
      </w:pPr>
      <w:rPr>
        <w:rFonts w:hint="default"/>
      </w:rPr>
    </w:lvl>
    <w:lvl w:ilvl="3">
      <w:start w:val="0"/>
      <w:numFmt w:val="bullet"/>
      <w:lvlText w:val="•"/>
      <w:lvlJc w:val="left"/>
      <w:pPr>
        <w:ind w:left="5714" w:hanging="540"/>
      </w:pPr>
      <w:rPr>
        <w:rFonts w:hint="default"/>
      </w:rPr>
    </w:lvl>
    <w:lvl w:ilvl="4">
      <w:start w:val="0"/>
      <w:numFmt w:val="bullet"/>
      <w:lvlText w:val="•"/>
      <w:lvlJc w:val="left"/>
      <w:pPr>
        <w:ind w:left="7113" w:hanging="540"/>
      </w:pPr>
      <w:rPr>
        <w:rFonts w:hint="default"/>
      </w:rPr>
    </w:lvl>
    <w:lvl w:ilvl="5">
      <w:start w:val="0"/>
      <w:numFmt w:val="bullet"/>
      <w:lvlText w:val="•"/>
      <w:lvlJc w:val="left"/>
      <w:pPr>
        <w:ind w:left="8511" w:hanging="540"/>
      </w:pPr>
      <w:rPr>
        <w:rFonts w:hint="default"/>
      </w:rPr>
    </w:lvl>
    <w:lvl w:ilvl="6">
      <w:start w:val="0"/>
      <w:numFmt w:val="bullet"/>
      <w:lvlText w:val="•"/>
      <w:lvlJc w:val="left"/>
      <w:pPr>
        <w:ind w:left="9909" w:hanging="540"/>
      </w:pPr>
      <w:rPr>
        <w:rFonts w:hint="default"/>
      </w:rPr>
    </w:lvl>
    <w:lvl w:ilvl="7">
      <w:start w:val="0"/>
      <w:numFmt w:val="bullet"/>
      <w:lvlText w:val="•"/>
      <w:lvlJc w:val="left"/>
      <w:pPr>
        <w:ind w:left="11308" w:hanging="540"/>
      </w:pPr>
      <w:rPr>
        <w:rFonts w:hint="default"/>
      </w:rPr>
    </w:lvl>
    <w:lvl w:ilvl="8">
      <w:start w:val="0"/>
      <w:numFmt w:val="bullet"/>
      <w:lvlText w:val="•"/>
      <w:lvlJc w:val="left"/>
      <w:pPr>
        <w:ind w:left="12706" w:hanging="540"/>
      </w:pPr>
      <w:rPr>
        <w:rFonts w:hint="default"/>
      </w:rPr>
    </w:lvl>
  </w:abstractNum>
  <w:abstractNum w:abstractNumId="5">
    <w:nsid w:val="0B0BDAC5"/>
    <w:multiLevelType w:val="hybridMultilevel"/>
    <w:tmpl w:val="00000000"/>
    <w:lvl w:ilvl="0">
      <w:start w:val="1"/>
      <w:numFmt w:val="decimal"/>
      <w:lvlText w:val="%1"/>
      <w:lvlJc w:val="left"/>
      <w:pPr>
        <w:ind w:left="1388" w:hanging="1081"/>
        <w:jc w:val="left"/>
      </w:pPr>
      <w:rPr>
        <w:rFonts w:hint="default"/>
      </w:rPr>
    </w:lvl>
    <w:lvl w:ilvl="1">
      <w:start w:val="1"/>
      <w:numFmt w:val="decimal"/>
      <w:lvlText w:val="%1.%2"/>
      <w:lvlJc w:val="left"/>
      <w:pPr>
        <w:ind w:left="1388" w:hanging="1081"/>
        <w:jc w:val="left"/>
      </w:pPr>
      <w:rPr>
        <w:rFonts w:ascii="仿宋" w:eastAsia="仿宋" w:hAnsi="仿宋" w:cs="仿宋" w:hint="default"/>
        <w:b/>
        <w:bCs/>
        <w:w w:val="98"/>
        <w:sz w:val="48"/>
        <w:szCs w:val="48"/>
      </w:rPr>
    </w:lvl>
    <w:lvl w:ilvl="2">
      <w:start w:val="1"/>
      <w:numFmt w:val="decimal"/>
      <w:lvlText w:val="%1.%2.%3"/>
      <w:lvlJc w:val="left"/>
      <w:pPr>
        <w:ind w:left="1583" w:hanging="1279"/>
        <w:jc w:val="left"/>
      </w:pPr>
      <w:rPr>
        <w:rFonts w:ascii="仿宋" w:eastAsia="仿宋" w:hAnsi="仿宋" w:cs="仿宋" w:hint="default"/>
        <w:b/>
        <w:bCs/>
        <w:w w:val="99"/>
        <w:sz w:val="42"/>
        <w:szCs w:val="42"/>
      </w:rPr>
    </w:lvl>
    <w:lvl w:ilvl="3">
      <w:start w:val="0"/>
      <w:numFmt w:val="bullet"/>
      <w:lvlText w:val="•"/>
      <w:lvlJc w:val="left"/>
      <w:pPr>
        <w:ind w:left="4674" w:hanging="1279"/>
      </w:pPr>
      <w:rPr>
        <w:rFonts w:hint="default"/>
      </w:rPr>
    </w:lvl>
    <w:lvl w:ilvl="4">
      <w:start w:val="0"/>
      <w:numFmt w:val="bullet"/>
      <w:lvlText w:val="•"/>
      <w:lvlJc w:val="left"/>
      <w:pPr>
        <w:ind w:left="6221" w:hanging="1279"/>
      </w:pPr>
      <w:rPr>
        <w:rFonts w:hint="default"/>
      </w:rPr>
    </w:lvl>
    <w:lvl w:ilvl="5">
      <w:start w:val="0"/>
      <w:numFmt w:val="bullet"/>
      <w:lvlText w:val="•"/>
      <w:lvlJc w:val="left"/>
      <w:pPr>
        <w:ind w:left="7768" w:hanging="1279"/>
      </w:pPr>
      <w:rPr>
        <w:rFonts w:hint="default"/>
      </w:rPr>
    </w:lvl>
    <w:lvl w:ilvl="6">
      <w:start w:val="0"/>
      <w:numFmt w:val="bullet"/>
      <w:lvlText w:val="•"/>
      <w:lvlJc w:val="left"/>
      <w:pPr>
        <w:ind w:left="9315" w:hanging="1279"/>
      </w:pPr>
      <w:rPr>
        <w:rFonts w:hint="default"/>
      </w:rPr>
    </w:lvl>
    <w:lvl w:ilvl="7">
      <w:start w:val="0"/>
      <w:numFmt w:val="bullet"/>
      <w:lvlText w:val="•"/>
      <w:lvlJc w:val="left"/>
      <w:pPr>
        <w:ind w:left="10862" w:hanging="1279"/>
      </w:pPr>
      <w:rPr>
        <w:rFonts w:hint="default"/>
      </w:rPr>
    </w:lvl>
    <w:lvl w:ilvl="8">
      <w:start w:val="0"/>
      <w:numFmt w:val="bullet"/>
      <w:lvlText w:val="•"/>
      <w:lvlJc w:val="left"/>
      <w:pPr>
        <w:ind w:left="12409" w:hanging="1279"/>
      </w:pPr>
      <w:rPr>
        <w:rFonts w:hint="default"/>
      </w:rPr>
    </w:lvl>
  </w:abstractNum>
  <w:abstractNum w:abstractNumId="6">
    <w:nsid w:val="0D315099"/>
    <w:multiLevelType w:val="hybridMultilevel"/>
    <w:tmpl w:val="00000000"/>
    <w:lvl w:ilvl="0">
      <w:start w:val="1"/>
      <w:numFmt w:val="lowerLetter"/>
      <w:lvlText w:val="%1)"/>
      <w:lvlJc w:val="left"/>
      <w:pPr>
        <w:ind w:left="2432" w:hanging="504"/>
        <w:jc w:val="left"/>
      </w:pPr>
      <w:rPr>
        <w:rFonts w:ascii="仿宋" w:eastAsia="仿宋" w:hAnsi="仿宋" w:cs="仿宋" w:hint="default"/>
        <w:w w:val="100"/>
        <w:sz w:val="36"/>
        <w:szCs w:val="36"/>
      </w:rPr>
    </w:lvl>
    <w:lvl w:ilvl="1">
      <w:start w:val="0"/>
      <w:numFmt w:val="bullet"/>
      <w:lvlText w:val="•"/>
      <w:lvlJc w:val="left"/>
      <w:pPr>
        <w:ind w:left="3746" w:hanging="504"/>
      </w:pPr>
      <w:rPr>
        <w:rFonts w:hint="default"/>
      </w:rPr>
    </w:lvl>
    <w:lvl w:ilvl="2">
      <w:start w:val="0"/>
      <w:numFmt w:val="bullet"/>
      <w:lvlText w:val="•"/>
      <w:lvlJc w:val="left"/>
      <w:pPr>
        <w:ind w:left="5052" w:hanging="504"/>
      </w:pPr>
      <w:rPr>
        <w:rFonts w:hint="default"/>
      </w:rPr>
    </w:lvl>
    <w:lvl w:ilvl="3">
      <w:start w:val="0"/>
      <w:numFmt w:val="bullet"/>
      <w:lvlText w:val="•"/>
      <w:lvlJc w:val="left"/>
      <w:pPr>
        <w:ind w:left="6358" w:hanging="504"/>
      </w:pPr>
      <w:rPr>
        <w:rFonts w:hint="default"/>
      </w:rPr>
    </w:lvl>
    <w:lvl w:ilvl="4">
      <w:start w:val="0"/>
      <w:numFmt w:val="bullet"/>
      <w:lvlText w:val="•"/>
      <w:lvlJc w:val="left"/>
      <w:pPr>
        <w:ind w:left="7665" w:hanging="504"/>
      </w:pPr>
      <w:rPr>
        <w:rFonts w:hint="default"/>
      </w:rPr>
    </w:lvl>
    <w:lvl w:ilvl="5">
      <w:start w:val="0"/>
      <w:numFmt w:val="bullet"/>
      <w:lvlText w:val="•"/>
      <w:lvlJc w:val="left"/>
      <w:pPr>
        <w:ind w:left="8971" w:hanging="504"/>
      </w:pPr>
      <w:rPr>
        <w:rFonts w:hint="default"/>
      </w:rPr>
    </w:lvl>
    <w:lvl w:ilvl="6">
      <w:start w:val="0"/>
      <w:numFmt w:val="bullet"/>
      <w:lvlText w:val="•"/>
      <w:lvlJc w:val="left"/>
      <w:pPr>
        <w:ind w:left="10277" w:hanging="504"/>
      </w:pPr>
      <w:rPr>
        <w:rFonts w:hint="default"/>
      </w:rPr>
    </w:lvl>
    <w:lvl w:ilvl="7">
      <w:start w:val="0"/>
      <w:numFmt w:val="bullet"/>
      <w:lvlText w:val="•"/>
      <w:lvlJc w:val="left"/>
      <w:pPr>
        <w:ind w:left="11584" w:hanging="504"/>
      </w:pPr>
      <w:rPr>
        <w:rFonts w:hint="default"/>
      </w:rPr>
    </w:lvl>
    <w:lvl w:ilvl="8">
      <w:start w:val="0"/>
      <w:numFmt w:val="bullet"/>
      <w:lvlText w:val="•"/>
      <w:lvlJc w:val="left"/>
      <w:pPr>
        <w:ind w:left="12890" w:hanging="504"/>
      </w:pPr>
      <w:rPr>
        <w:rFonts w:hint="default"/>
      </w:rPr>
    </w:lvl>
  </w:abstractNum>
  <w:abstractNum w:abstractNumId="7">
    <w:nsid w:val="1004CE54"/>
    <w:multiLevelType w:val="hybridMultilevel"/>
    <w:tmpl w:val="00000000"/>
    <w:lvl w:ilvl="0">
      <w:start w:val="0"/>
      <w:numFmt w:val="bullet"/>
      <w:lvlText w:val=""/>
      <w:lvlJc w:val="left"/>
      <w:pPr>
        <w:ind w:left="2065" w:hanging="936"/>
      </w:pPr>
      <w:rPr>
        <w:rFonts w:ascii="Symbol" w:eastAsia="Symbol" w:hAnsi="Symbol" w:cs="Symbol" w:hint="default"/>
        <w:w w:val="100"/>
        <w:sz w:val="36"/>
        <w:szCs w:val="36"/>
      </w:rPr>
    </w:lvl>
    <w:lvl w:ilvl="1">
      <w:start w:val="0"/>
      <w:numFmt w:val="bullet"/>
      <w:lvlText w:val="•"/>
      <w:lvlJc w:val="left"/>
      <w:pPr>
        <w:ind w:left="3404" w:hanging="936"/>
      </w:pPr>
      <w:rPr>
        <w:rFonts w:hint="default"/>
      </w:rPr>
    </w:lvl>
    <w:lvl w:ilvl="2">
      <w:start w:val="0"/>
      <w:numFmt w:val="bullet"/>
      <w:lvlText w:val="•"/>
      <w:lvlJc w:val="left"/>
      <w:pPr>
        <w:ind w:left="4748" w:hanging="936"/>
      </w:pPr>
      <w:rPr>
        <w:rFonts w:hint="default"/>
      </w:rPr>
    </w:lvl>
    <w:lvl w:ilvl="3">
      <w:start w:val="0"/>
      <w:numFmt w:val="bullet"/>
      <w:lvlText w:val="•"/>
      <w:lvlJc w:val="left"/>
      <w:pPr>
        <w:ind w:left="6092" w:hanging="936"/>
      </w:pPr>
      <w:rPr>
        <w:rFonts w:hint="default"/>
      </w:rPr>
    </w:lvl>
    <w:lvl w:ilvl="4">
      <w:start w:val="0"/>
      <w:numFmt w:val="bullet"/>
      <w:lvlText w:val="•"/>
      <w:lvlJc w:val="left"/>
      <w:pPr>
        <w:ind w:left="7437" w:hanging="936"/>
      </w:pPr>
      <w:rPr>
        <w:rFonts w:hint="default"/>
      </w:rPr>
    </w:lvl>
    <w:lvl w:ilvl="5">
      <w:start w:val="0"/>
      <w:numFmt w:val="bullet"/>
      <w:lvlText w:val="•"/>
      <w:lvlJc w:val="left"/>
      <w:pPr>
        <w:ind w:left="8781" w:hanging="936"/>
      </w:pPr>
      <w:rPr>
        <w:rFonts w:hint="default"/>
      </w:rPr>
    </w:lvl>
    <w:lvl w:ilvl="6">
      <w:start w:val="0"/>
      <w:numFmt w:val="bullet"/>
      <w:lvlText w:val="•"/>
      <w:lvlJc w:val="left"/>
      <w:pPr>
        <w:ind w:left="10125" w:hanging="936"/>
      </w:pPr>
      <w:rPr>
        <w:rFonts w:hint="default"/>
      </w:rPr>
    </w:lvl>
    <w:lvl w:ilvl="7">
      <w:start w:val="0"/>
      <w:numFmt w:val="bullet"/>
      <w:lvlText w:val="•"/>
      <w:lvlJc w:val="left"/>
      <w:pPr>
        <w:ind w:left="11470" w:hanging="936"/>
      </w:pPr>
      <w:rPr>
        <w:rFonts w:hint="default"/>
      </w:rPr>
    </w:lvl>
    <w:lvl w:ilvl="8">
      <w:start w:val="0"/>
      <w:numFmt w:val="bullet"/>
      <w:lvlText w:val="•"/>
      <w:lvlJc w:val="left"/>
      <w:pPr>
        <w:ind w:left="12814" w:hanging="936"/>
      </w:pPr>
      <w:rPr>
        <w:rFonts w:hint="default"/>
      </w:rPr>
    </w:lvl>
  </w:abstractNum>
  <w:abstractNum w:abstractNumId="8">
    <w:nsid w:val="1104C604"/>
    <w:multiLevelType w:val="hybridMultilevel"/>
    <w:tmpl w:val="00000000"/>
    <w:lvl w:ilvl="0">
      <w:start w:val="0"/>
      <w:numFmt w:val="bullet"/>
      <w:lvlText w:val=""/>
      <w:lvlJc w:val="left"/>
      <w:pPr>
        <w:ind w:left="1518" w:hanging="540"/>
      </w:pPr>
      <w:rPr>
        <w:rFonts w:ascii="Symbol" w:eastAsia="Symbol" w:hAnsi="Symbol" w:cs="Symbol" w:hint="default"/>
        <w:w w:val="100"/>
        <w:sz w:val="36"/>
        <w:szCs w:val="36"/>
      </w:rPr>
    </w:lvl>
    <w:lvl w:ilvl="1">
      <w:start w:val="0"/>
      <w:numFmt w:val="bullet"/>
      <w:lvlText w:val="•"/>
      <w:lvlJc w:val="left"/>
      <w:pPr>
        <w:ind w:left="2918" w:hanging="540"/>
      </w:pPr>
      <w:rPr>
        <w:rFonts w:hint="default"/>
      </w:rPr>
    </w:lvl>
    <w:lvl w:ilvl="2">
      <w:start w:val="0"/>
      <w:numFmt w:val="bullet"/>
      <w:lvlText w:val="•"/>
      <w:lvlJc w:val="left"/>
      <w:pPr>
        <w:ind w:left="4316" w:hanging="540"/>
      </w:pPr>
      <w:rPr>
        <w:rFonts w:hint="default"/>
      </w:rPr>
    </w:lvl>
    <w:lvl w:ilvl="3">
      <w:start w:val="0"/>
      <w:numFmt w:val="bullet"/>
      <w:lvlText w:val="•"/>
      <w:lvlJc w:val="left"/>
      <w:pPr>
        <w:ind w:left="5714" w:hanging="540"/>
      </w:pPr>
      <w:rPr>
        <w:rFonts w:hint="default"/>
      </w:rPr>
    </w:lvl>
    <w:lvl w:ilvl="4">
      <w:start w:val="0"/>
      <w:numFmt w:val="bullet"/>
      <w:lvlText w:val="•"/>
      <w:lvlJc w:val="left"/>
      <w:pPr>
        <w:ind w:left="7113" w:hanging="540"/>
      </w:pPr>
      <w:rPr>
        <w:rFonts w:hint="default"/>
      </w:rPr>
    </w:lvl>
    <w:lvl w:ilvl="5">
      <w:start w:val="0"/>
      <w:numFmt w:val="bullet"/>
      <w:lvlText w:val="•"/>
      <w:lvlJc w:val="left"/>
      <w:pPr>
        <w:ind w:left="8511" w:hanging="540"/>
      </w:pPr>
      <w:rPr>
        <w:rFonts w:hint="default"/>
      </w:rPr>
    </w:lvl>
    <w:lvl w:ilvl="6">
      <w:start w:val="0"/>
      <w:numFmt w:val="bullet"/>
      <w:lvlText w:val="•"/>
      <w:lvlJc w:val="left"/>
      <w:pPr>
        <w:ind w:left="9909" w:hanging="540"/>
      </w:pPr>
      <w:rPr>
        <w:rFonts w:hint="default"/>
      </w:rPr>
    </w:lvl>
    <w:lvl w:ilvl="7">
      <w:start w:val="0"/>
      <w:numFmt w:val="bullet"/>
      <w:lvlText w:val="•"/>
      <w:lvlJc w:val="left"/>
      <w:pPr>
        <w:ind w:left="11308" w:hanging="540"/>
      </w:pPr>
      <w:rPr>
        <w:rFonts w:hint="default"/>
      </w:rPr>
    </w:lvl>
    <w:lvl w:ilvl="8">
      <w:start w:val="0"/>
      <w:numFmt w:val="bullet"/>
      <w:lvlText w:val="•"/>
      <w:lvlJc w:val="left"/>
      <w:pPr>
        <w:ind w:left="12706" w:hanging="540"/>
      </w:pPr>
      <w:rPr>
        <w:rFonts w:hint="default"/>
      </w:rPr>
    </w:lvl>
  </w:abstractNum>
  <w:abstractNum w:abstractNumId="9">
    <w:nsid w:val="1DE6458D"/>
    <w:multiLevelType w:val="hybridMultilevel"/>
    <w:tmpl w:val="00000000"/>
    <w:lvl w:ilvl="0">
      <w:start w:val="0"/>
      <w:numFmt w:val="bullet"/>
      <w:lvlText w:val=""/>
      <w:lvlJc w:val="left"/>
      <w:pPr>
        <w:ind w:left="590" w:hanging="540"/>
      </w:pPr>
      <w:rPr>
        <w:rFonts w:ascii="Symbol" w:eastAsia="Symbol" w:hAnsi="Symbol" w:cs="Symbol" w:hint="default"/>
        <w:w w:val="100"/>
        <w:sz w:val="36"/>
        <w:szCs w:val="36"/>
      </w:rPr>
    </w:lvl>
    <w:lvl w:ilvl="1">
      <w:start w:val="0"/>
      <w:numFmt w:val="bullet"/>
      <w:lvlText w:val="•"/>
      <w:lvlJc w:val="left"/>
      <w:pPr>
        <w:ind w:left="1169" w:hanging="540"/>
      </w:pPr>
      <w:rPr>
        <w:rFonts w:hint="default"/>
      </w:rPr>
    </w:lvl>
    <w:lvl w:ilvl="2">
      <w:start w:val="0"/>
      <w:numFmt w:val="bullet"/>
      <w:lvlText w:val="•"/>
      <w:lvlJc w:val="left"/>
      <w:pPr>
        <w:ind w:left="1738" w:hanging="540"/>
      </w:pPr>
      <w:rPr>
        <w:rFonts w:hint="default"/>
      </w:rPr>
    </w:lvl>
    <w:lvl w:ilvl="3">
      <w:start w:val="0"/>
      <w:numFmt w:val="bullet"/>
      <w:lvlText w:val="•"/>
      <w:lvlJc w:val="left"/>
      <w:pPr>
        <w:ind w:left="2307" w:hanging="540"/>
      </w:pPr>
      <w:rPr>
        <w:rFonts w:hint="default"/>
      </w:rPr>
    </w:lvl>
    <w:lvl w:ilvl="4">
      <w:start w:val="0"/>
      <w:numFmt w:val="bullet"/>
      <w:lvlText w:val="•"/>
      <w:lvlJc w:val="left"/>
      <w:pPr>
        <w:ind w:left="2876" w:hanging="540"/>
      </w:pPr>
      <w:rPr>
        <w:rFonts w:hint="default"/>
      </w:rPr>
    </w:lvl>
    <w:lvl w:ilvl="5">
      <w:start w:val="0"/>
      <w:numFmt w:val="bullet"/>
      <w:lvlText w:val="•"/>
      <w:lvlJc w:val="left"/>
      <w:pPr>
        <w:ind w:left="3446" w:hanging="540"/>
      </w:pPr>
      <w:rPr>
        <w:rFonts w:hint="default"/>
      </w:rPr>
    </w:lvl>
    <w:lvl w:ilvl="6">
      <w:start w:val="0"/>
      <w:numFmt w:val="bullet"/>
      <w:lvlText w:val="•"/>
      <w:lvlJc w:val="left"/>
      <w:pPr>
        <w:ind w:left="4015" w:hanging="540"/>
      </w:pPr>
      <w:rPr>
        <w:rFonts w:hint="default"/>
      </w:rPr>
    </w:lvl>
    <w:lvl w:ilvl="7">
      <w:start w:val="0"/>
      <w:numFmt w:val="bullet"/>
      <w:lvlText w:val="•"/>
      <w:lvlJc w:val="left"/>
      <w:pPr>
        <w:ind w:left="4584" w:hanging="540"/>
      </w:pPr>
      <w:rPr>
        <w:rFonts w:hint="default"/>
      </w:rPr>
    </w:lvl>
    <w:lvl w:ilvl="8">
      <w:start w:val="0"/>
      <w:numFmt w:val="bullet"/>
      <w:lvlText w:val="•"/>
      <w:lvlJc w:val="left"/>
      <w:pPr>
        <w:ind w:left="5153" w:hanging="540"/>
      </w:pPr>
      <w:rPr>
        <w:rFonts w:hint="default"/>
      </w:rPr>
    </w:lvl>
  </w:abstractNum>
  <w:abstractNum w:abstractNumId="10">
    <w:nsid w:val="1E5B3EEC"/>
    <w:multiLevelType w:val="hybridMultilevel"/>
    <w:tmpl w:val="00000000"/>
    <w:lvl w:ilvl="0">
      <w:start w:val="0"/>
      <w:numFmt w:val="bullet"/>
      <w:lvlText w:val=""/>
      <w:lvlJc w:val="left"/>
      <w:pPr>
        <w:ind w:left="1701" w:hanging="421"/>
      </w:pPr>
      <w:rPr>
        <w:rFonts w:ascii="Symbol" w:eastAsia="Symbol" w:hAnsi="Symbol" w:cs="Symbol" w:hint="default"/>
        <w:w w:val="100"/>
        <w:sz w:val="36"/>
        <w:szCs w:val="36"/>
      </w:rPr>
    </w:lvl>
    <w:lvl w:ilvl="1">
      <w:start w:val="0"/>
      <w:numFmt w:val="bullet"/>
      <w:lvlText w:val="•"/>
      <w:lvlJc w:val="left"/>
      <w:pPr>
        <w:ind w:left="3080" w:hanging="421"/>
      </w:pPr>
      <w:rPr>
        <w:rFonts w:hint="default"/>
      </w:rPr>
    </w:lvl>
    <w:lvl w:ilvl="2">
      <w:start w:val="0"/>
      <w:numFmt w:val="bullet"/>
      <w:lvlText w:val="•"/>
      <w:lvlJc w:val="left"/>
      <w:pPr>
        <w:ind w:left="4460" w:hanging="421"/>
      </w:pPr>
      <w:rPr>
        <w:rFonts w:hint="default"/>
      </w:rPr>
    </w:lvl>
    <w:lvl w:ilvl="3">
      <w:start w:val="0"/>
      <w:numFmt w:val="bullet"/>
      <w:lvlText w:val="•"/>
      <w:lvlJc w:val="left"/>
      <w:pPr>
        <w:ind w:left="5840" w:hanging="421"/>
      </w:pPr>
      <w:rPr>
        <w:rFonts w:hint="default"/>
      </w:rPr>
    </w:lvl>
    <w:lvl w:ilvl="4">
      <w:start w:val="0"/>
      <w:numFmt w:val="bullet"/>
      <w:lvlText w:val="•"/>
      <w:lvlJc w:val="left"/>
      <w:pPr>
        <w:ind w:left="7221" w:hanging="421"/>
      </w:pPr>
      <w:rPr>
        <w:rFonts w:hint="default"/>
      </w:rPr>
    </w:lvl>
    <w:lvl w:ilvl="5">
      <w:start w:val="0"/>
      <w:numFmt w:val="bullet"/>
      <w:lvlText w:val="•"/>
      <w:lvlJc w:val="left"/>
      <w:pPr>
        <w:ind w:left="8601" w:hanging="421"/>
      </w:pPr>
      <w:rPr>
        <w:rFonts w:hint="default"/>
      </w:rPr>
    </w:lvl>
    <w:lvl w:ilvl="6">
      <w:start w:val="0"/>
      <w:numFmt w:val="bullet"/>
      <w:lvlText w:val="•"/>
      <w:lvlJc w:val="left"/>
      <w:pPr>
        <w:ind w:left="9981" w:hanging="421"/>
      </w:pPr>
      <w:rPr>
        <w:rFonts w:hint="default"/>
      </w:rPr>
    </w:lvl>
    <w:lvl w:ilvl="7">
      <w:start w:val="0"/>
      <w:numFmt w:val="bullet"/>
      <w:lvlText w:val="•"/>
      <w:lvlJc w:val="left"/>
      <w:pPr>
        <w:ind w:left="11362" w:hanging="421"/>
      </w:pPr>
      <w:rPr>
        <w:rFonts w:hint="default"/>
      </w:rPr>
    </w:lvl>
    <w:lvl w:ilvl="8">
      <w:start w:val="0"/>
      <w:numFmt w:val="bullet"/>
      <w:lvlText w:val="•"/>
      <w:lvlJc w:val="left"/>
      <w:pPr>
        <w:ind w:left="12742" w:hanging="421"/>
      </w:pPr>
      <w:rPr>
        <w:rFonts w:hint="default"/>
      </w:rPr>
    </w:lvl>
  </w:abstractNum>
  <w:abstractNum w:abstractNumId="11">
    <w:nsid w:val="1F10E033"/>
    <w:multiLevelType w:val="hybridMultilevel"/>
    <w:tmpl w:val="00000000"/>
    <w:lvl w:ilvl="0">
      <w:start w:val="7"/>
      <w:numFmt w:val="decimal"/>
      <w:lvlText w:val="%1"/>
      <w:lvlJc w:val="left"/>
      <w:pPr>
        <w:ind w:left="1583" w:hanging="850"/>
        <w:jc w:val="left"/>
      </w:pPr>
      <w:rPr>
        <w:rFonts w:hint="default"/>
      </w:rPr>
    </w:lvl>
    <w:lvl w:ilvl="1">
      <w:start w:val="1"/>
      <w:numFmt w:val="decimal"/>
      <w:lvlText w:val="%1.%2"/>
      <w:lvlJc w:val="left"/>
      <w:pPr>
        <w:ind w:left="1583" w:hanging="850"/>
        <w:jc w:val="right"/>
      </w:pPr>
      <w:rPr>
        <w:rFonts w:ascii="仿宋" w:eastAsia="仿宋" w:hAnsi="仿宋" w:cs="仿宋" w:hint="default"/>
        <w:b/>
        <w:bCs/>
        <w:w w:val="98"/>
        <w:sz w:val="48"/>
        <w:szCs w:val="48"/>
      </w:rPr>
    </w:lvl>
    <w:lvl w:ilvl="2">
      <w:start w:val="0"/>
      <w:numFmt w:val="bullet"/>
      <w:lvlText w:val=""/>
      <w:lvlJc w:val="left"/>
      <w:pPr>
        <w:ind w:left="895" w:hanging="540"/>
      </w:pPr>
      <w:rPr>
        <w:rFonts w:ascii="Symbol" w:eastAsia="Symbol" w:hAnsi="Symbol" w:cs="Symbol" w:hint="default"/>
        <w:w w:val="99"/>
        <w:sz w:val="30"/>
        <w:szCs w:val="30"/>
      </w:rPr>
    </w:lvl>
    <w:lvl w:ilvl="3">
      <w:start w:val="0"/>
      <w:numFmt w:val="bullet"/>
      <w:lvlText w:val="•"/>
      <w:lvlJc w:val="left"/>
      <w:pPr>
        <w:ind w:left="4674" w:hanging="540"/>
      </w:pPr>
      <w:rPr>
        <w:rFonts w:hint="default"/>
      </w:rPr>
    </w:lvl>
    <w:lvl w:ilvl="4">
      <w:start w:val="0"/>
      <w:numFmt w:val="bullet"/>
      <w:lvlText w:val="•"/>
      <w:lvlJc w:val="left"/>
      <w:pPr>
        <w:ind w:left="6221" w:hanging="540"/>
      </w:pPr>
      <w:rPr>
        <w:rFonts w:hint="default"/>
      </w:rPr>
    </w:lvl>
    <w:lvl w:ilvl="5">
      <w:start w:val="0"/>
      <w:numFmt w:val="bullet"/>
      <w:lvlText w:val="•"/>
      <w:lvlJc w:val="left"/>
      <w:pPr>
        <w:ind w:left="7768" w:hanging="540"/>
      </w:pPr>
      <w:rPr>
        <w:rFonts w:hint="default"/>
      </w:rPr>
    </w:lvl>
    <w:lvl w:ilvl="6">
      <w:start w:val="0"/>
      <w:numFmt w:val="bullet"/>
      <w:lvlText w:val="•"/>
      <w:lvlJc w:val="left"/>
      <w:pPr>
        <w:ind w:left="9315" w:hanging="540"/>
      </w:pPr>
      <w:rPr>
        <w:rFonts w:hint="default"/>
      </w:rPr>
    </w:lvl>
    <w:lvl w:ilvl="7">
      <w:start w:val="0"/>
      <w:numFmt w:val="bullet"/>
      <w:lvlText w:val="•"/>
      <w:lvlJc w:val="left"/>
      <w:pPr>
        <w:ind w:left="10862" w:hanging="540"/>
      </w:pPr>
      <w:rPr>
        <w:rFonts w:hint="default"/>
      </w:rPr>
    </w:lvl>
    <w:lvl w:ilvl="8">
      <w:start w:val="0"/>
      <w:numFmt w:val="bullet"/>
      <w:lvlText w:val="•"/>
      <w:lvlJc w:val="left"/>
      <w:pPr>
        <w:ind w:left="12409" w:hanging="540"/>
      </w:pPr>
      <w:rPr>
        <w:rFonts w:hint="default"/>
      </w:rPr>
    </w:lvl>
  </w:abstractNum>
  <w:abstractNum w:abstractNumId="12">
    <w:nsid w:val="1F9E0EEF"/>
    <w:multiLevelType w:val="hybridMultilevel"/>
    <w:tmpl w:val="00000000"/>
    <w:lvl w:ilvl="0">
      <w:start w:val="1"/>
      <w:numFmt w:val="lowerRoman"/>
      <w:lvlText w:val="(%1)"/>
      <w:lvlJc w:val="left"/>
      <w:pPr>
        <w:ind w:left="985" w:hanging="678"/>
        <w:jc w:val="left"/>
      </w:pPr>
      <w:rPr>
        <w:rFonts w:ascii="Arial" w:eastAsia="Arial" w:hAnsi="Arial" w:cs="Arial" w:hint="default"/>
        <w:w w:val="106"/>
        <w:sz w:val="36"/>
        <w:szCs w:val="36"/>
      </w:rPr>
    </w:lvl>
    <w:lvl w:ilvl="1">
      <w:start w:val="0"/>
      <w:numFmt w:val="bullet"/>
      <w:lvlText w:val="•"/>
      <w:lvlJc w:val="left"/>
      <w:pPr>
        <w:ind w:left="1560" w:hanging="678"/>
      </w:pPr>
      <w:rPr>
        <w:rFonts w:hint="default"/>
      </w:rPr>
    </w:lvl>
    <w:lvl w:ilvl="2">
      <w:start w:val="0"/>
      <w:numFmt w:val="bullet"/>
      <w:lvlText w:val="•"/>
      <w:lvlJc w:val="left"/>
      <w:pPr>
        <w:ind w:left="3109" w:hanging="678"/>
      </w:pPr>
      <w:rPr>
        <w:rFonts w:hint="default"/>
      </w:rPr>
    </w:lvl>
    <w:lvl w:ilvl="3">
      <w:start w:val="0"/>
      <w:numFmt w:val="bullet"/>
      <w:lvlText w:val="•"/>
      <w:lvlJc w:val="left"/>
      <w:pPr>
        <w:ind w:left="4658" w:hanging="678"/>
      </w:pPr>
      <w:rPr>
        <w:rFonts w:hint="default"/>
      </w:rPr>
    </w:lvl>
    <w:lvl w:ilvl="4">
      <w:start w:val="0"/>
      <w:numFmt w:val="bullet"/>
      <w:lvlText w:val="•"/>
      <w:lvlJc w:val="left"/>
      <w:pPr>
        <w:ind w:left="6207" w:hanging="678"/>
      </w:pPr>
      <w:rPr>
        <w:rFonts w:hint="default"/>
      </w:rPr>
    </w:lvl>
    <w:lvl w:ilvl="5">
      <w:start w:val="0"/>
      <w:numFmt w:val="bullet"/>
      <w:lvlText w:val="•"/>
      <w:lvlJc w:val="left"/>
      <w:pPr>
        <w:ind w:left="7756" w:hanging="678"/>
      </w:pPr>
      <w:rPr>
        <w:rFonts w:hint="default"/>
      </w:rPr>
    </w:lvl>
    <w:lvl w:ilvl="6">
      <w:start w:val="0"/>
      <w:numFmt w:val="bullet"/>
      <w:lvlText w:val="•"/>
      <w:lvlJc w:val="left"/>
      <w:pPr>
        <w:ind w:left="9306" w:hanging="678"/>
      </w:pPr>
      <w:rPr>
        <w:rFonts w:hint="default"/>
      </w:rPr>
    </w:lvl>
    <w:lvl w:ilvl="7">
      <w:start w:val="0"/>
      <w:numFmt w:val="bullet"/>
      <w:lvlText w:val="•"/>
      <w:lvlJc w:val="left"/>
      <w:pPr>
        <w:ind w:left="10855" w:hanging="678"/>
      </w:pPr>
      <w:rPr>
        <w:rFonts w:hint="default"/>
      </w:rPr>
    </w:lvl>
    <w:lvl w:ilvl="8">
      <w:start w:val="0"/>
      <w:numFmt w:val="bullet"/>
      <w:lvlText w:val="•"/>
      <w:lvlJc w:val="left"/>
      <w:pPr>
        <w:ind w:left="12404" w:hanging="678"/>
      </w:pPr>
      <w:rPr>
        <w:rFonts w:hint="default"/>
      </w:rPr>
    </w:lvl>
  </w:abstractNum>
  <w:abstractNum w:abstractNumId="13">
    <w:nsid w:val="20CA1C05"/>
    <w:multiLevelType w:val="hybridMultilevel"/>
    <w:tmpl w:val="00000000"/>
    <w:lvl w:ilvl="0">
      <w:start w:val="0"/>
      <w:numFmt w:val="bullet"/>
      <w:lvlText w:val=""/>
      <w:lvlJc w:val="left"/>
      <w:pPr>
        <w:ind w:left="590" w:hanging="540"/>
      </w:pPr>
      <w:rPr>
        <w:rFonts w:ascii="Symbol" w:eastAsia="Symbol" w:hAnsi="Symbol" w:cs="Symbol" w:hint="default"/>
        <w:w w:val="100"/>
        <w:sz w:val="36"/>
        <w:szCs w:val="36"/>
      </w:rPr>
    </w:lvl>
    <w:lvl w:ilvl="1">
      <w:start w:val="0"/>
      <w:numFmt w:val="bullet"/>
      <w:lvlText w:val="•"/>
      <w:lvlJc w:val="left"/>
      <w:pPr>
        <w:ind w:left="1169" w:hanging="540"/>
      </w:pPr>
      <w:rPr>
        <w:rFonts w:hint="default"/>
      </w:rPr>
    </w:lvl>
    <w:lvl w:ilvl="2">
      <w:start w:val="0"/>
      <w:numFmt w:val="bullet"/>
      <w:lvlText w:val="•"/>
      <w:lvlJc w:val="left"/>
      <w:pPr>
        <w:ind w:left="1738" w:hanging="540"/>
      </w:pPr>
      <w:rPr>
        <w:rFonts w:hint="default"/>
      </w:rPr>
    </w:lvl>
    <w:lvl w:ilvl="3">
      <w:start w:val="0"/>
      <w:numFmt w:val="bullet"/>
      <w:lvlText w:val="•"/>
      <w:lvlJc w:val="left"/>
      <w:pPr>
        <w:ind w:left="2307" w:hanging="540"/>
      </w:pPr>
      <w:rPr>
        <w:rFonts w:hint="default"/>
      </w:rPr>
    </w:lvl>
    <w:lvl w:ilvl="4">
      <w:start w:val="0"/>
      <w:numFmt w:val="bullet"/>
      <w:lvlText w:val="•"/>
      <w:lvlJc w:val="left"/>
      <w:pPr>
        <w:ind w:left="2876" w:hanging="540"/>
      </w:pPr>
      <w:rPr>
        <w:rFonts w:hint="default"/>
      </w:rPr>
    </w:lvl>
    <w:lvl w:ilvl="5">
      <w:start w:val="0"/>
      <w:numFmt w:val="bullet"/>
      <w:lvlText w:val="•"/>
      <w:lvlJc w:val="left"/>
      <w:pPr>
        <w:ind w:left="3446" w:hanging="540"/>
      </w:pPr>
      <w:rPr>
        <w:rFonts w:hint="default"/>
      </w:rPr>
    </w:lvl>
    <w:lvl w:ilvl="6">
      <w:start w:val="0"/>
      <w:numFmt w:val="bullet"/>
      <w:lvlText w:val="•"/>
      <w:lvlJc w:val="left"/>
      <w:pPr>
        <w:ind w:left="4015" w:hanging="540"/>
      </w:pPr>
      <w:rPr>
        <w:rFonts w:hint="default"/>
      </w:rPr>
    </w:lvl>
    <w:lvl w:ilvl="7">
      <w:start w:val="0"/>
      <w:numFmt w:val="bullet"/>
      <w:lvlText w:val="•"/>
      <w:lvlJc w:val="left"/>
      <w:pPr>
        <w:ind w:left="4584" w:hanging="540"/>
      </w:pPr>
      <w:rPr>
        <w:rFonts w:hint="default"/>
      </w:rPr>
    </w:lvl>
    <w:lvl w:ilvl="8">
      <w:start w:val="0"/>
      <w:numFmt w:val="bullet"/>
      <w:lvlText w:val="•"/>
      <w:lvlJc w:val="left"/>
      <w:pPr>
        <w:ind w:left="5153" w:hanging="540"/>
      </w:pPr>
      <w:rPr>
        <w:rFonts w:hint="default"/>
      </w:rPr>
    </w:lvl>
  </w:abstractNum>
  <w:abstractNum w:abstractNumId="14">
    <w:nsid w:val="21719957"/>
    <w:multiLevelType w:val="hybridMultilevel"/>
    <w:tmpl w:val="00000000"/>
    <w:lvl w:ilvl="0">
      <w:start w:val="1"/>
      <w:numFmt w:val="decimal"/>
      <w:lvlText w:val="(%1)"/>
      <w:lvlJc w:val="left"/>
      <w:pPr>
        <w:ind w:left="1118" w:hanging="677"/>
        <w:jc w:val="left"/>
      </w:pPr>
      <w:rPr>
        <w:rFonts w:ascii="Arial" w:eastAsia="Arial" w:hAnsi="Arial" w:cs="Arial" w:hint="default"/>
        <w:w w:val="95"/>
        <w:sz w:val="36"/>
        <w:szCs w:val="36"/>
      </w:rPr>
    </w:lvl>
    <w:lvl w:ilvl="1">
      <w:start w:val="0"/>
      <w:numFmt w:val="bullet"/>
      <w:lvlText w:val="•"/>
      <w:lvlJc w:val="left"/>
      <w:pPr>
        <w:ind w:left="2558" w:hanging="677"/>
      </w:pPr>
      <w:rPr>
        <w:rFonts w:hint="default"/>
      </w:rPr>
    </w:lvl>
    <w:lvl w:ilvl="2">
      <w:start w:val="0"/>
      <w:numFmt w:val="bullet"/>
      <w:lvlText w:val="•"/>
      <w:lvlJc w:val="left"/>
      <w:pPr>
        <w:ind w:left="3996" w:hanging="677"/>
      </w:pPr>
      <w:rPr>
        <w:rFonts w:hint="default"/>
      </w:rPr>
    </w:lvl>
    <w:lvl w:ilvl="3">
      <w:start w:val="0"/>
      <w:numFmt w:val="bullet"/>
      <w:lvlText w:val="•"/>
      <w:lvlJc w:val="left"/>
      <w:pPr>
        <w:ind w:left="5434" w:hanging="677"/>
      </w:pPr>
      <w:rPr>
        <w:rFonts w:hint="default"/>
      </w:rPr>
    </w:lvl>
    <w:lvl w:ilvl="4">
      <w:start w:val="0"/>
      <w:numFmt w:val="bullet"/>
      <w:lvlText w:val="•"/>
      <w:lvlJc w:val="left"/>
      <w:pPr>
        <w:ind w:left="6873" w:hanging="677"/>
      </w:pPr>
      <w:rPr>
        <w:rFonts w:hint="default"/>
      </w:rPr>
    </w:lvl>
    <w:lvl w:ilvl="5">
      <w:start w:val="0"/>
      <w:numFmt w:val="bullet"/>
      <w:lvlText w:val="•"/>
      <w:lvlJc w:val="left"/>
      <w:pPr>
        <w:ind w:left="8311" w:hanging="677"/>
      </w:pPr>
      <w:rPr>
        <w:rFonts w:hint="default"/>
      </w:rPr>
    </w:lvl>
    <w:lvl w:ilvl="6">
      <w:start w:val="0"/>
      <w:numFmt w:val="bullet"/>
      <w:lvlText w:val="•"/>
      <w:lvlJc w:val="left"/>
      <w:pPr>
        <w:ind w:left="9749" w:hanging="677"/>
      </w:pPr>
      <w:rPr>
        <w:rFonts w:hint="default"/>
      </w:rPr>
    </w:lvl>
    <w:lvl w:ilvl="7">
      <w:start w:val="0"/>
      <w:numFmt w:val="bullet"/>
      <w:lvlText w:val="•"/>
      <w:lvlJc w:val="left"/>
      <w:pPr>
        <w:ind w:left="11188" w:hanging="677"/>
      </w:pPr>
      <w:rPr>
        <w:rFonts w:hint="default"/>
      </w:rPr>
    </w:lvl>
    <w:lvl w:ilvl="8">
      <w:start w:val="0"/>
      <w:numFmt w:val="bullet"/>
      <w:lvlText w:val="•"/>
      <w:lvlJc w:val="left"/>
      <w:pPr>
        <w:ind w:left="12626" w:hanging="677"/>
      </w:pPr>
      <w:rPr>
        <w:rFonts w:hint="default"/>
      </w:rPr>
    </w:lvl>
  </w:abstractNum>
  <w:abstractNum w:abstractNumId="15">
    <w:nsid w:val="21C063A2"/>
    <w:multiLevelType w:val="hybridMultilevel"/>
    <w:tmpl w:val="00000000"/>
    <w:lvl w:ilvl="0">
      <w:start w:val="1"/>
      <w:numFmt w:val="lowerLetter"/>
      <w:lvlText w:val="%1)"/>
      <w:lvlJc w:val="left"/>
      <w:pPr>
        <w:ind w:left="1388" w:hanging="540"/>
        <w:jc w:val="left"/>
      </w:pPr>
      <w:rPr>
        <w:rFonts w:ascii="宋体" w:eastAsia="宋体" w:hAnsi="宋体" w:cs="宋体" w:hint="default"/>
        <w:w w:val="100"/>
        <w:sz w:val="36"/>
        <w:szCs w:val="36"/>
      </w:rPr>
    </w:lvl>
    <w:lvl w:ilvl="1">
      <w:start w:val="0"/>
      <w:numFmt w:val="bullet"/>
      <w:lvlText w:val="•"/>
      <w:lvlJc w:val="left"/>
      <w:pPr>
        <w:ind w:left="2792" w:hanging="540"/>
      </w:pPr>
      <w:rPr>
        <w:rFonts w:hint="default"/>
      </w:rPr>
    </w:lvl>
    <w:lvl w:ilvl="2">
      <w:start w:val="0"/>
      <w:numFmt w:val="bullet"/>
      <w:lvlText w:val="•"/>
      <w:lvlJc w:val="left"/>
      <w:pPr>
        <w:ind w:left="4204" w:hanging="540"/>
      </w:pPr>
      <w:rPr>
        <w:rFonts w:hint="default"/>
      </w:rPr>
    </w:lvl>
    <w:lvl w:ilvl="3">
      <w:start w:val="0"/>
      <w:numFmt w:val="bullet"/>
      <w:lvlText w:val="•"/>
      <w:lvlJc w:val="left"/>
      <w:pPr>
        <w:ind w:left="5616" w:hanging="540"/>
      </w:pPr>
      <w:rPr>
        <w:rFonts w:hint="default"/>
      </w:rPr>
    </w:lvl>
    <w:lvl w:ilvl="4">
      <w:start w:val="0"/>
      <w:numFmt w:val="bullet"/>
      <w:lvlText w:val="•"/>
      <w:lvlJc w:val="left"/>
      <w:pPr>
        <w:ind w:left="7029" w:hanging="540"/>
      </w:pPr>
      <w:rPr>
        <w:rFonts w:hint="default"/>
      </w:rPr>
    </w:lvl>
    <w:lvl w:ilvl="5">
      <w:start w:val="0"/>
      <w:numFmt w:val="bullet"/>
      <w:lvlText w:val="•"/>
      <w:lvlJc w:val="left"/>
      <w:pPr>
        <w:ind w:left="8441" w:hanging="540"/>
      </w:pPr>
      <w:rPr>
        <w:rFonts w:hint="default"/>
      </w:rPr>
    </w:lvl>
    <w:lvl w:ilvl="6">
      <w:start w:val="0"/>
      <w:numFmt w:val="bullet"/>
      <w:lvlText w:val="•"/>
      <w:lvlJc w:val="left"/>
      <w:pPr>
        <w:ind w:left="9853" w:hanging="540"/>
      </w:pPr>
      <w:rPr>
        <w:rFonts w:hint="default"/>
      </w:rPr>
    </w:lvl>
    <w:lvl w:ilvl="7">
      <w:start w:val="0"/>
      <w:numFmt w:val="bullet"/>
      <w:lvlText w:val="•"/>
      <w:lvlJc w:val="left"/>
      <w:pPr>
        <w:ind w:left="11266" w:hanging="540"/>
      </w:pPr>
      <w:rPr>
        <w:rFonts w:hint="default"/>
      </w:rPr>
    </w:lvl>
    <w:lvl w:ilvl="8">
      <w:start w:val="0"/>
      <w:numFmt w:val="bullet"/>
      <w:lvlText w:val="•"/>
      <w:lvlJc w:val="left"/>
      <w:pPr>
        <w:ind w:left="12678" w:hanging="540"/>
      </w:pPr>
      <w:rPr>
        <w:rFonts w:hint="default"/>
      </w:rPr>
    </w:lvl>
  </w:abstractNum>
  <w:abstractNum w:abstractNumId="16">
    <w:nsid w:val="23631C92"/>
    <w:multiLevelType w:val="hybridMultilevel"/>
    <w:tmpl w:val="00000000"/>
    <w:lvl w:ilvl="0">
      <w:start w:val="3"/>
      <w:numFmt w:val="decimal"/>
      <w:lvlText w:val="%1"/>
      <w:lvlJc w:val="left"/>
      <w:pPr>
        <w:ind w:left="1158" w:hanging="851"/>
        <w:jc w:val="left"/>
      </w:pPr>
      <w:rPr>
        <w:rFonts w:hint="default"/>
      </w:rPr>
    </w:lvl>
    <w:lvl w:ilvl="1">
      <w:start w:val="1"/>
      <w:numFmt w:val="decimal"/>
      <w:lvlText w:val="%1.%2"/>
      <w:lvlJc w:val="left"/>
      <w:pPr>
        <w:ind w:left="1158" w:hanging="851"/>
        <w:jc w:val="right"/>
      </w:pPr>
      <w:rPr>
        <w:rFonts w:ascii="仿宋" w:eastAsia="仿宋" w:hAnsi="仿宋" w:cs="仿宋" w:hint="default"/>
        <w:b/>
        <w:bCs/>
        <w:w w:val="98"/>
        <w:sz w:val="48"/>
        <w:szCs w:val="48"/>
      </w:rPr>
    </w:lvl>
    <w:lvl w:ilvl="2">
      <w:start w:val="1"/>
      <w:numFmt w:val="decimal"/>
      <w:lvlText w:val="%1.%2.%3"/>
      <w:lvlJc w:val="left"/>
      <w:pPr>
        <w:ind w:left="1817" w:hanging="1513"/>
        <w:jc w:val="left"/>
      </w:pPr>
      <w:rPr>
        <w:rFonts w:ascii="仿宋" w:eastAsia="仿宋" w:hAnsi="仿宋" w:cs="仿宋" w:hint="default"/>
        <w:b/>
        <w:bCs/>
        <w:w w:val="99"/>
        <w:sz w:val="42"/>
        <w:szCs w:val="42"/>
      </w:rPr>
    </w:lvl>
    <w:lvl w:ilvl="3">
      <w:start w:val="1"/>
      <w:numFmt w:val="lowerLetter"/>
      <w:lvlText w:val="%4."/>
      <w:lvlJc w:val="left"/>
      <w:pPr>
        <w:ind w:left="2425" w:hanging="720"/>
        <w:jc w:val="left"/>
      </w:pPr>
      <w:rPr>
        <w:rFonts w:ascii="仿宋" w:eastAsia="仿宋" w:hAnsi="仿宋" w:cs="仿宋" w:hint="default"/>
        <w:w w:val="100"/>
        <w:sz w:val="36"/>
        <w:szCs w:val="36"/>
      </w:rPr>
    </w:lvl>
    <w:lvl w:ilvl="4">
      <w:start w:val="0"/>
      <w:numFmt w:val="bullet"/>
      <w:lvlText w:val="•"/>
      <w:lvlJc w:val="left"/>
      <w:pPr>
        <w:ind w:left="5690" w:hanging="720"/>
      </w:pPr>
      <w:rPr>
        <w:rFonts w:hint="default"/>
      </w:rPr>
    </w:lvl>
    <w:lvl w:ilvl="5">
      <w:start w:val="0"/>
      <w:numFmt w:val="bullet"/>
      <w:lvlText w:val="•"/>
      <w:lvlJc w:val="left"/>
      <w:pPr>
        <w:ind w:left="7326" w:hanging="720"/>
      </w:pPr>
      <w:rPr>
        <w:rFonts w:hint="default"/>
      </w:rPr>
    </w:lvl>
    <w:lvl w:ilvl="6">
      <w:start w:val="0"/>
      <w:numFmt w:val="bullet"/>
      <w:lvlText w:val="•"/>
      <w:lvlJc w:val="left"/>
      <w:pPr>
        <w:ind w:left="8961" w:hanging="720"/>
      </w:pPr>
      <w:rPr>
        <w:rFonts w:hint="default"/>
      </w:rPr>
    </w:lvl>
    <w:lvl w:ilvl="7">
      <w:start w:val="0"/>
      <w:numFmt w:val="bullet"/>
      <w:lvlText w:val="•"/>
      <w:lvlJc w:val="left"/>
      <w:pPr>
        <w:ind w:left="10597" w:hanging="720"/>
      </w:pPr>
      <w:rPr>
        <w:rFonts w:hint="default"/>
      </w:rPr>
    </w:lvl>
    <w:lvl w:ilvl="8">
      <w:start w:val="0"/>
      <w:numFmt w:val="bullet"/>
      <w:lvlText w:val="•"/>
      <w:lvlJc w:val="left"/>
      <w:pPr>
        <w:ind w:left="12232" w:hanging="720"/>
      </w:pPr>
      <w:rPr>
        <w:rFonts w:hint="default"/>
      </w:rPr>
    </w:lvl>
  </w:abstractNum>
  <w:abstractNum w:abstractNumId="17">
    <w:nsid w:val="26A6E4B4"/>
    <w:multiLevelType w:val="hybridMultilevel"/>
    <w:tmpl w:val="00000000"/>
    <w:lvl w:ilvl="0">
      <w:start w:val="0"/>
      <w:numFmt w:val="bullet"/>
      <w:lvlText w:val="-"/>
      <w:lvlJc w:val="left"/>
      <w:pPr>
        <w:ind w:left="1928" w:hanging="677"/>
      </w:pPr>
      <w:rPr>
        <w:rFonts w:ascii="Times New Roman" w:eastAsia="Times New Roman" w:hAnsi="Times New Roman" w:cs="Times New Roman" w:hint="default"/>
        <w:w w:val="99"/>
        <w:sz w:val="36"/>
        <w:szCs w:val="36"/>
      </w:rPr>
    </w:lvl>
    <w:lvl w:ilvl="1">
      <w:start w:val="0"/>
      <w:numFmt w:val="bullet"/>
      <w:lvlText w:val="•"/>
      <w:lvlJc w:val="left"/>
      <w:pPr>
        <w:ind w:left="3278" w:hanging="677"/>
      </w:pPr>
      <w:rPr>
        <w:rFonts w:hint="default"/>
      </w:rPr>
    </w:lvl>
    <w:lvl w:ilvl="2">
      <w:start w:val="0"/>
      <w:numFmt w:val="bullet"/>
      <w:lvlText w:val="•"/>
      <w:lvlJc w:val="left"/>
      <w:pPr>
        <w:ind w:left="4636" w:hanging="677"/>
      </w:pPr>
      <w:rPr>
        <w:rFonts w:hint="default"/>
      </w:rPr>
    </w:lvl>
    <w:lvl w:ilvl="3">
      <w:start w:val="0"/>
      <w:numFmt w:val="bullet"/>
      <w:lvlText w:val="•"/>
      <w:lvlJc w:val="left"/>
      <w:pPr>
        <w:ind w:left="5994" w:hanging="677"/>
      </w:pPr>
      <w:rPr>
        <w:rFonts w:hint="default"/>
      </w:rPr>
    </w:lvl>
    <w:lvl w:ilvl="4">
      <w:start w:val="0"/>
      <w:numFmt w:val="bullet"/>
      <w:lvlText w:val="•"/>
      <w:lvlJc w:val="left"/>
      <w:pPr>
        <w:ind w:left="7353" w:hanging="677"/>
      </w:pPr>
      <w:rPr>
        <w:rFonts w:hint="default"/>
      </w:rPr>
    </w:lvl>
    <w:lvl w:ilvl="5">
      <w:start w:val="0"/>
      <w:numFmt w:val="bullet"/>
      <w:lvlText w:val="•"/>
      <w:lvlJc w:val="left"/>
      <w:pPr>
        <w:ind w:left="8711" w:hanging="677"/>
      </w:pPr>
      <w:rPr>
        <w:rFonts w:hint="default"/>
      </w:rPr>
    </w:lvl>
    <w:lvl w:ilvl="6">
      <w:start w:val="0"/>
      <w:numFmt w:val="bullet"/>
      <w:lvlText w:val="•"/>
      <w:lvlJc w:val="left"/>
      <w:pPr>
        <w:ind w:left="10069" w:hanging="677"/>
      </w:pPr>
      <w:rPr>
        <w:rFonts w:hint="default"/>
      </w:rPr>
    </w:lvl>
    <w:lvl w:ilvl="7">
      <w:start w:val="0"/>
      <w:numFmt w:val="bullet"/>
      <w:lvlText w:val="•"/>
      <w:lvlJc w:val="left"/>
      <w:pPr>
        <w:ind w:left="11428" w:hanging="677"/>
      </w:pPr>
      <w:rPr>
        <w:rFonts w:hint="default"/>
      </w:rPr>
    </w:lvl>
    <w:lvl w:ilvl="8">
      <w:start w:val="0"/>
      <w:numFmt w:val="bullet"/>
      <w:lvlText w:val="•"/>
      <w:lvlJc w:val="left"/>
      <w:pPr>
        <w:ind w:left="12786" w:hanging="677"/>
      </w:pPr>
      <w:rPr>
        <w:rFonts w:hint="default"/>
      </w:rPr>
    </w:lvl>
  </w:abstractNum>
  <w:abstractNum w:abstractNumId="18">
    <w:nsid w:val="2A5ABF1A"/>
    <w:multiLevelType w:val="hybridMultilevel"/>
    <w:tmpl w:val="00000000"/>
    <w:lvl w:ilvl="0">
      <w:start w:val="2"/>
      <w:numFmt w:val="decimal"/>
      <w:lvlText w:val="%1"/>
      <w:lvlJc w:val="left"/>
      <w:pPr>
        <w:ind w:left="1158" w:hanging="851"/>
        <w:jc w:val="left"/>
      </w:pPr>
      <w:rPr>
        <w:rFonts w:hint="default"/>
      </w:rPr>
    </w:lvl>
    <w:lvl w:ilvl="1">
      <w:start w:val="1"/>
      <w:numFmt w:val="decimal"/>
      <w:lvlText w:val="%1.%2"/>
      <w:lvlJc w:val="left"/>
      <w:pPr>
        <w:ind w:left="1158" w:hanging="851"/>
        <w:jc w:val="left"/>
      </w:pPr>
      <w:rPr>
        <w:rFonts w:ascii="仿宋" w:eastAsia="仿宋" w:hAnsi="仿宋" w:cs="仿宋" w:hint="default"/>
        <w:b/>
        <w:bCs/>
        <w:w w:val="98"/>
        <w:sz w:val="48"/>
        <w:szCs w:val="48"/>
      </w:rPr>
    </w:lvl>
    <w:lvl w:ilvl="2">
      <w:start w:val="1"/>
      <w:numFmt w:val="decimal"/>
      <w:lvlText w:val="%1.%2.%3"/>
      <w:lvlJc w:val="left"/>
      <w:pPr>
        <w:ind w:left="1583" w:hanging="1279"/>
        <w:jc w:val="left"/>
      </w:pPr>
      <w:rPr>
        <w:rFonts w:ascii="仿宋" w:eastAsia="仿宋" w:hAnsi="仿宋" w:cs="仿宋" w:hint="default"/>
        <w:b/>
        <w:bCs/>
        <w:w w:val="99"/>
        <w:sz w:val="42"/>
        <w:szCs w:val="42"/>
      </w:rPr>
    </w:lvl>
    <w:lvl w:ilvl="3">
      <w:start w:val="0"/>
      <w:numFmt w:val="bullet"/>
      <w:lvlText w:val=""/>
      <w:lvlJc w:val="left"/>
      <w:pPr>
        <w:ind w:left="985" w:hanging="540"/>
      </w:pPr>
      <w:rPr>
        <w:rFonts w:ascii="Symbol" w:eastAsia="Symbol" w:hAnsi="Symbol" w:cs="Symbol" w:hint="default"/>
        <w:w w:val="100"/>
        <w:sz w:val="36"/>
        <w:szCs w:val="36"/>
      </w:rPr>
    </w:lvl>
    <w:lvl w:ilvl="4">
      <w:start w:val="0"/>
      <w:numFmt w:val="bullet"/>
      <w:lvlText w:val="•"/>
      <w:lvlJc w:val="left"/>
      <w:pPr>
        <w:ind w:left="1800" w:hanging="540"/>
      </w:pPr>
      <w:rPr>
        <w:rFonts w:hint="default"/>
      </w:rPr>
    </w:lvl>
    <w:lvl w:ilvl="5">
      <w:start w:val="0"/>
      <w:numFmt w:val="bullet"/>
      <w:lvlText w:val="•"/>
      <w:lvlJc w:val="left"/>
      <w:pPr>
        <w:ind w:left="2120" w:hanging="540"/>
      </w:pPr>
      <w:rPr>
        <w:rFonts w:hint="default"/>
      </w:rPr>
    </w:lvl>
    <w:lvl w:ilvl="6">
      <w:start w:val="0"/>
      <w:numFmt w:val="bullet"/>
      <w:lvlText w:val="•"/>
      <w:lvlJc w:val="left"/>
      <w:pPr>
        <w:ind w:left="4796" w:hanging="540"/>
      </w:pPr>
      <w:rPr>
        <w:rFonts w:hint="default"/>
      </w:rPr>
    </w:lvl>
    <w:lvl w:ilvl="7">
      <w:start w:val="0"/>
      <w:numFmt w:val="bullet"/>
      <w:lvlText w:val="•"/>
      <w:lvlJc w:val="left"/>
      <w:pPr>
        <w:ind w:left="7473" w:hanging="540"/>
      </w:pPr>
      <w:rPr>
        <w:rFonts w:hint="default"/>
      </w:rPr>
    </w:lvl>
    <w:lvl w:ilvl="8">
      <w:start w:val="0"/>
      <w:numFmt w:val="bullet"/>
      <w:lvlText w:val="•"/>
      <w:lvlJc w:val="left"/>
      <w:pPr>
        <w:ind w:left="10149" w:hanging="540"/>
      </w:pPr>
      <w:rPr>
        <w:rFonts w:hint="default"/>
      </w:rPr>
    </w:lvl>
  </w:abstractNum>
  <w:abstractNum w:abstractNumId="19">
    <w:nsid w:val="2B07C93D"/>
    <w:multiLevelType w:val="hybridMultilevel"/>
    <w:tmpl w:val="00000000"/>
    <w:lvl w:ilvl="0">
      <w:start w:val="0"/>
      <w:numFmt w:val="bullet"/>
      <w:lvlText w:val=""/>
      <w:lvlJc w:val="left"/>
      <w:pPr>
        <w:ind w:left="848" w:hanging="541"/>
      </w:pPr>
      <w:rPr>
        <w:rFonts w:hint="default"/>
        <w:w w:val="99"/>
        <w:position w:val="-4"/>
      </w:rPr>
    </w:lvl>
    <w:lvl w:ilvl="1">
      <w:start w:val="0"/>
      <w:numFmt w:val="bullet"/>
      <w:lvlText w:val="•"/>
      <w:lvlJc w:val="left"/>
      <w:pPr>
        <w:ind w:left="2306" w:hanging="541"/>
      </w:pPr>
      <w:rPr>
        <w:rFonts w:hint="default"/>
      </w:rPr>
    </w:lvl>
    <w:lvl w:ilvl="2">
      <w:start w:val="0"/>
      <w:numFmt w:val="bullet"/>
      <w:lvlText w:val="•"/>
      <w:lvlJc w:val="left"/>
      <w:pPr>
        <w:ind w:left="3772" w:hanging="541"/>
      </w:pPr>
      <w:rPr>
        <w:rFonts w:hint="default"/>
      </w:rPr>
    </w:lvl>
    <w:lvl w:ilvl="3">
      <w:start w:val="0"/>
      <w:numFmt w:val="bullet"/>
      <w:lvlText w:val="•"/>
      <w:lvlJc w:val="left"/>
      <w:pPr>
        <w:ind w:left="5238" w:hanging="541"/>
      </w:pPr>
      <w:rPr>
        <w:rFonts w:hint="default"/>
      </w:rPr>
    </w:lvl>
    <w:lvl w:ilvl="4">
      <w:start w:val="0"/>
      <w:numFmt w:val="bullet"/>
      <w:lvlText w:val="•"/>
      <w:lvlJc w:val="left"/>
      <w:pPr>
        <w:ind w:left="6705" w:hanging="541"/>
      </w:pPr>
      <w:rPr>
        <w:rFonts w:hint="default"/>
      </w:rPr>
    </w:lvl>
    <w:lvl w:ilvl="5">
      <w:start w:val="0"/>
      <w:numFmt w:val="bullet"/>
      <w:lvlText w:val="•"/>
      <w:lvlJc w:val="left"/>
      <w:pPr>
        <w:ind w:left="8171" w:hanging="541"/>
      </w:pPr>
      <w:rPr>
        <w:rFonts w:hint="default"/>
      </w:rPr>
    </w:lvl>
    <w:lvl w:ilvl="6">
      <w:start w:val="0"/>
      <w:numFmt w:val="bullet"/>
      <w:lvlText w:val="•"/>
      <w:lvlJc w:val="left"/>
      <w:pPr>
        <w:ind w:left="9637" w:hanging="541"/>
      </w:pPr>
      <w:rPr>
        <w:rFonts w:hint="default"/>
      </w:rPr>
    </w:lvl>
    <w:lvl w:ilvl="7">
      <w:start w:val="0"/>
      <w:numFmt w:val="bullet"/>
      <w:lvlText w:val="•"/>
      <w:lvlJc w:val="left"/>
      <w:pPr>
        <w:ind w:left="11104" w:hanging="541"/>
      </w:pPr>
      <w:rPr>
        <w:rFonts w:hint="default"/>
      </w:rPr>
    </w:lvl>
    <w:lvl w:ilvl="8">
      <w:start w:val="0"/>
      <w:numFmt w:val="bullet"/>
      <w:lvlText w:val="•"/>
      <w:lvlJc w:val="left"/>
      <w:pPr>
        <w:ind w:left="12570" w:hanging="541"/>
      </w:pPr>
      <w:rPr>
        <w:rFonts w:hint="default"/>
      </w:rPr>
    </w:lvl>
  </w:abstractNum>
  <w:abstractNum w:abstractNumId="20">
    <w:nsid w:val="2B5F04DD"/>
    <w:multiLevelType w:val="hybridMultilevel"/>
    <w:tmpl w:val="00000000"/>
    <w:lvl w:ilvl="0">
      <w:start w:val="0"/>
      <w:numFmt w:val="bullet"/>
      <w:lvlText w:val=""/>
      <w:lvlJc w:val="left"/>
      <w:pPr>
        <w:ind w:left="1583" w:hanging="576"/>
      </w:pPr>
      <w:rPr>
        <w:rFonts w:ascii="Symbol" w:eastAsia="Symbol" w:hAnsi="Symbol" w:cs="Symbol" w:hint="default"/>
        <w:w w:val="100"/>
        <w:sz w:val="36"/>
        <w:szCs w:val="36"/>
      </w:rPr>
    </w:lvl>
    <w:lvl w:ilvl="1">
      <w:start w:val="0"/>
      <w:numFmt w:val="bullet"/>
      <w:lvlText w:val="•"/>
      <w:lvlJc w:val="left"/>
      <w:pPr>
        <w:ind w:left="2972" w:hanging="576"/>
      </w:pPr>
      <w:rPr>
        <w:rFonts w:hint="default"/>
      </w:rPr>
    </w:lvl>
    <w:lvl w:ilvl="2">
      <w:start w:val="0"/>
      <w:numFmt w:val="bullet"/>
      <w:lvlText w:val="•"/>
      <w:lvlJc w:val="left"/>
      <w:pPr>
        <w:ind w:left="4364" w:hanging="576"/>
      </w:pPr>
      <w:rPr>
        <w:rFonts w:hint="default"/>
      </w:rPr>
    </w:lvl>
    <w:lvl w:ilvl="3">
      <w:start w:val="0"/>
      <w:numFmt w:val="bullet"/>
      <w:lvlText w:val="•"/>
      <w:lvlJc w:val="left"/>
      <w:pPr>
        <w:ind w:left="5756" w:hanging="576"/>
      </w:pPr>
      <w:rPr>
        <w:rFonts w:hint="default"/>
      </w:rPr>
    </w:lvl>
    <w:lvl w:ilvl="4">
      <w:start w:val="0"/>
      <w:numFmt w:val="bullet"/>
      <w:lvlText w:val="•"/>
      <w:lvlJc w:val="left"/>
      <w:pPr>
        <w:ind w:left="7149" w:hanging="576"/>
      </w:pPr>
      <w:rPr>
        <w:rFonts w:hint="default"/>
      </w:rPr>
    </w:lvl>
    <w:lvl w:ilvl="5">
      <w:start w:val="0"/>
      <w:numFmt w:val="bullet"/>
      <w:lvlText w:val="•"/>
      <w:lvlJc w:val="left"/>
      <w:pPr>
        <w:ind w:left="8541" w:hanging="576"/>
      </w:pPr>
      <w:rPr>
        <w:rFonts w:hint="default"/>
      </w:rPr>
    </w:lvl>
    <w:lvl w:ilvl="6">
      <w:start w:val="0"/>
      <w:numFmt w:val="bullet"/>
      <w:lvlText w:val="•"/>
      <w:lvlJc w:val="left"/>
      <w:pPr>
        <w:ind w:left="9933" w:hanging="576"/>
      </w:pPr>
      <w:rPr>
        <w:rFonts w:hint="default"/>
      </w:rPr>
    </w:lvl>
    <w:lvl w:ilvl="7">
      <w:start w:val="0"/>
      <w:numFmt w:val="bullet"/>
      <w:lvlText w:val="•"/>
      <w:lvlJc w:val="left"/>
      <w:pPr>
        <w:ind w:left="11326" w:hanging="576"/>
      </w:pPr>
      <w:rPr>
        <w:rFonts w:hint="default"/>
      </w:rPr>
    </w:lvl>
    <w:lvl w:ilvl="8">
      <w:start w:val="0"/>
      <w:numFmt w:val="bullet"/>
      <w:lvlText w:val="•"/>
      <w:lvlJc w:val="left"/>
      <w:pPr>
        <w:ind w:left="12718" w:hanging="576"/>
      </w:pPr>
      <w:rPr>
        <w:rFonts w:hint="default"/>
      </w:rPr>
    </w:lvl>
  </w:abstractNum>
  <w:abstractNum w:abstractNumId="21">
    <w:nsid w:val="2B9742E7"/>
    <w:multiLevelType w:val="hybridMultilevel"/>
    <w:tmpl w:val="00000000"/>
    <w:lvl w:ilvl="0">
      <w:start w:val="0"/>
      <w:numFmt w:val="bullet"/>
      <w:lvlText w:val=""/>
      <w:lvlJc w:val="left"/>
      <w:pPr>
        <w:ind w:left="590" w:hanging="540"/>
      </w:pPr>
      <w:rPr>
        <w:rFonts w:ascii="Symbol" w:eastAsia="Symbol" w:hAnsi="Symbol" w:cs="Symbol" w:hint="default"/>
        <w:w w:val="100"/>
        <w:sz w:val="36"/>
        <w:szCs w:val="36"/>
      </w:rPr>
    </w:lvl>
    <w:lvl w:ilvl="1">
      <w:start w:val="0"/>
      <w:numFmt w:val="bullet"/>
      <w:lvlText w:val="•"/>
      <w:lvlJc w:val="left"/>
      <w:pPr>
        <w:ind w:left="1169" w:hanging="540"/>
      </w:pPr>
      <w:rPr>
        <w:rFonts w:hint="default"/>
      </w:rPr>
    </w:lvl>
    <w:lvl w:ilvl="2">
      <w:start w:val="0"/>
      <w:numFmt w:val="bullet"/>
      <w:lvlText w:val="•"/>
      <w:lvlJc w:val="left"/>
      <w:pPr>
        <w:ind w:left="1738" w:hanging="540"/>
      </w:pPr>
      <w:rPr>
        <w:rFonts w:hint="default"/>
      </w:rPr>
    </w:lvl>
    <w:lvl w:ilvl="3">
      <w:start w:val="0"/>
      <w:numFmt w:val="bullet"/>
      <w:lvlText w:val="•"/>
      <w:lvlJc w:val="left"/>
      <w:pPr>
        <w:ind w:left="2307" w:hanging="540"/>
      </w:pPr>
      <w:rPr>
        <w:rFonts w:hint="default"/>
      </w:rPr>
    </w:lvl>
    <w:lvl w:ilvl="4">
      <w:start w:val="0"/>
      <w:numFmt w:val="bullet"/>
      <w:lvlText w:val="•"/>
      <w:lvlJc w:val="left"/>
      <w:pPr>
        <w:ind w:left="2876" w:hanging="540"/>
      </w:pPr>
      <w:rPr>
        <w:rFonts w:hint="default"/>
      </w:rPr>
    </w:lvl>
    <w:lvl w:ilvl="5">
      <w:start w:val="0"/>
      <w:numFmt w:val="bullet"/>
      <w:lvlText w:val="•"/>
      <w:lvlJc w:val="left"/>
      <w:pPr>
        <w:ind w:left="3446" w:hanging="540"/>
      </w:pPr>
      <w:rPr>
        <w:rFonts w:hint="default"/>
      </w:rPr>
    </w:lvl>
    <w:lvl w:ilvl="6">
      <w:start w:val="0"/>
      <w:numFmt w:val="bullet"/>
      <w:lvlText w:val="•"/>
      <w:lvlJc w:val="left"/>
      <w:pPr>
        <w:ind w:left="4015" w:hanging="540"/>
      </w:pPr>
      <w:rPr>
        <w:rFonts w:hint="default"/>
      </w:rPr>
    </w:lvl>
    <w:lvl w:ilvl="7">
      <w:start w:val="0"/>
      <w:numFmt w:val="bullet"/>
      <w:lvlText w:val="•"/>
      <w:lvlJc w:val="left"/>
      <w:pPr>
        <w:ind w:left="4584" w:hanging="540"/>
      </w:pPr>
      <w:rPr>
        <w:rFonts w:hint="default"/>
      </w:rPr>
    </w:lvl>
    <w:lvl w:ilvl="8">
      <w:start w:val="0"/>
      <w:numFmt w:val="bullet"/>
      <w:lvlText w:val="•"/>
      <w:lvlJc w:val="left"/>
      <w:pPr>
        <w:ind w:left="5153" w:hanging="540"/>
      </w:pPr>
      <w:rPr>
        <w:rFonts w:hint="default"/>
      </w:rPr>
    </w:lvl>
  </w:abstractNum>
  <w:abstractNum w:abstractNumId="22">
    <w:nsid w:val="31B511F5"/>
    <w:multiLevelType w:val="hybridMultilevel"/>
    <w:tmpl w:val="00000000"/>
    <w:lvl w:ilvl="0">
      <w:start w:val="4"/>
      <w:numFmt w:val="decimal"/>
      <w:lvlText w:val="%1"/>
      <w:lvlJc w:val="left"/>
      <w:pPr>
        <w:ind w:left="1514" w:hanging="1207"/>
        <w:jc w:val="left"/>
      </w:pPr>
      <w:rPr>
        <w:rFonts w:hint="default"/>
      </w:rPr>
    </w:lvl>
    <w:lvl w:ilvl="1">
      <w:start w:val="1"/>
      <w:numFmt w:val="decimal"/>
      <w:lvlText w:val="%1.%2"/>
      <w:lvlJc w:val="left"/>
      <w:pPr>
        <w:ind w:left="1514" w:hanging="1207"/>
        <w:jc w:val="left"/>
      </w:pPr>
      <w:rPr>
        <w:rFonts w:ascii="仿宋" w:eastAsia="仿宋" w:hAnsi="仿宋" w:cs="仿宋" w:hint="default"/>
        <w:w w:val="99"/>
        <w:sz w:val="48"/>
        <w:szCs w:val="48"/>
      </w:rPr>
    </w:lvl>
    <w:lvl w:ilvl="2">
      <w:start w:val="0"/>
      <w:numFmt w:val="bullet"/>
      <w:lvlText w:val=""/>
      <w:lvlJc w:val="left"/>
      <w:pPr>
        <w:ind w:left="2123" w:hanging="1145"/>
      </w:pPr>
      <w:rPr>
        <w:rFonts w:ascii="Symbol" w:eastAsia="Symbol" w:hAnsi="Symbol" w:cs="Symbol" w:hint="default"/>
        <w:w w:val="100"/>
        <w:sz w:val="36"/>
        <w:szCs w:val="36"/>
      </w:rPr>
    </w:lvl>
    <w:lvl w:ilvl="3">
      <w:start w:val="0"/>
      <w:numFmt w:val="bullet"/>
      <w:lvlText w:val="•"/>
      <w:lvlJc w:val="left"/>
      <w:pPr>
        <w:ind w:left="5094" w:hanging="1145"/>
      </w:pPr>
      <w:rPr>
        <w:rFonts w:hint="default"/>
      </w:rPr>
    </w:lvl>
    <w:lvl w:ilvl="4">
      <w:start w:val="0"/>
      <w:numFmt w:val="bullet"/>
      <w:lvlText w:val="•"/>
      <w:lvlJc w:val="left"/>
      <w:pPr>
        <w:ind w:left="6581" w:hanging="1145"/>
      </w:pPr>
      <w:rPr>
        <w:rFonts w:hint="default"/>
      </w:rPr>
    </w:lvl>
    <w:lvl w:ilvl="5">
      <w:start w:val="0"/>
      <w:numFmt w:val="bullet"/>
      <w:lvlText w:val="•"/>
      <w:lvlJc w:val="left"/>
      <w:pPr>
        <w:ind w:left="8068" w:hanging="1145"/>
      </w:pPr>
      <w:rPr>
        <w:rFonts w:hint="default"/>
      </w:rPr>
    </w:lvl>
    <w:lvl w:ilvl="6">
      <w:start w:val="0"/>
      <w:numFmt w:val="bullet"/>
      <w:lvlText w:val="•"/>
      <w:lvlJc w:val="left"/>
      <w:pPr>
        <w:ind w:left="9555" w:hanging="1145"/>
      </w:pPr>
      <w:rPr>
        <w:rFonts w:hint="default"/>
      </w:rPr>
    </w:lvl>
    <w:lvl w:ilvl="7">
      <w:start w:val="0"/>
      <w:numFmt w:val="bullet"/>
      <w:lvlText w:val="•"/>
      <w:lvlJc w:val="left"/>
      <w:pPr>
        <w:ind w:left="11042" w:hanging="1145"/>
      </w:pPr>
      <w:rPr>
        <w:rFonts w:hint="default"/>
      </w:rPr>
    </w:lvl>
    <w:lvl w:ilvl="8">
      <w:start w:val="0"/>
      <w:numFmt w:val="bullet"/>
      <w:lvlText w:val="•"/>
      <w:lvlJc w:val="left"/>
      <w:pPr>
        <w:ind w:left="12529" w:hanging="1145"/>
      </w:pPr>
      <w:rPr>
        <w:rFonts w:hint="default"/>
      </w:rPr>
    </w:lvl>
  </w:abstractNum>
  <w:abstractNum w:abstractNumId="23">
    <w:nsid w:val="33AAF19B"/>
    <w:multiLevelType w:val="hybridMultilevel"/>
    <w:tmpl w:val="00000000"/>
    <w:lvl w:ilvl="0">
      <w:start w:val="0"/>
      <w:numFmt w:val="bullet"/>
      <w:lvlText w:val=""/>
      <w:lvlJc w:val="left"/>
      <w:pPr>
        <w:ind w:left="680" w:hanging="630"/>
      </w:pPr>
      <w:rPr>
        <w:rFonts w:ascii="Wingdings" w:eastAsia="Wingdings" w:hAnsi="Wingdings" w:cs="Wingdings" w:hint="default"/>
        <w:w w:val="100"/>
        <w:sz w:val="36"/>
        <w:szCs w:val="36"/>
      </w:rPr>
    </w:lvl>
    <w:lvl w:ilvl="1">
      <w:start w:val="0"/>
      <w:numFmt w:val="bullet"/>
      <w:lvlText w:val="•"/>
      <w:lvlJc w:val="left"/>
      <w:pPr>
        <w:ind w:left="1050" w:hanging="630"/>
      </w:pPr>
      <w:rPr>
        <w:rFonts w:hint="default"/>
      </w:rPr>
    </w:lvl>
    <w:lvl w:ilvl="2">
      <w:start w:val="0"/>
      <w:numFmt w:val="bullet"/>
      <w:lvlText w:val="•"/>
      <w:lvlJc w:val="left"/>
      <w:pPr>
        <w:ind w:left="1420" w:hanging="630"/>
      </w:pPr>
      <w:rPr>
        <w:rFonts w:hint="default"/>
      </w:rPr>
    </w:lvl>
    <w:lvl w:ilvl="3">
      <w:start w:val="0"/>
      <w:numFmt w:val="bullet"/>
      <w:lvlText w:val="•"/>
      <w:lvlJc w:val="left"/>
      <w:pPr>
        <w:ind w:left="1790" w:hanging="630"/>
      </w:pPr>
      <w:rPr>
        <w:rFonts w:hint="default"/>
      </w:rPr>
    </w:lvl>
    <w:lvl w:ilvl="4">
      <w:start w:val="0"/>
      <w:numFmt w:val="bullet"/>
      <w:lvlText w:val="•"/>
      <w:lvlJc w:val="left"/>
      <w:pPr>
        <w:ind w:left="2161" w:hanging="630"/>
      </w:pPr>
      <w:rPr>
        <w:rFonts w:hint="default"/>
      </w:rPr>
    </w:lvl>
    <w:lvl w:ilvl="5">
      <w:start w:val="0"/>
      <w:numFmt w:val="bullet"/>
      <w:lvlText w:val="•"/>
      <w:lvlJc w:val="left"/>
      <w:pPr>
        <w:ind w:left="2531" w:hanging="630"/>
      </w:pPr>
      <w:rPr>
        <w:rFonts w:hint="default"/>
      </w:rPr>
    </w:lvl>
    <w:lvl w:ilvl="6">
      <w:start w:val="0"/>
      <w:numFmt w:val="bullet"/>
      <w:lvlText w:val="•"/>
      <w:lvlJc w:val="left"/>
      <w:pPr>
        <w:ind w:left="2901" w:hanging="630"/>
      </w:pPr>
      <w:rPr>
        <w:rFonts w:hint="default"/>
      </w:rPr>
    </w:lvl>
    <w:lvl w:ilvl="7">
      <w:start w:val="0"/>
      <w:numFmt w:val="bullet"/>
      <w:lvlText w:val="•"/>
      <w:lvlJc w:val="left"/>
      <w:pPr>
        <w:ind w:left="3272" w:hanging="630"/>
      </w:pPr>
      <w:rPr>
        <w:rFonts w:hint="default"/>
      </w:rPr>
    </w:lvl>
    <w:lvl w:ilvl="8">
      <w:start w:val="0"/>
      <w:numFmt w:val="bullet"/>
      <w:lvlText w:val="•"/>
      <w:lvlJc w:val="left"/>
      <w:pPr>
        <w:ind w:left="3642" w:hanging="630"/>
      </w:pPr>
      <w:rPr>
        <w:rFonts w:hint="default"/>
      </w:rPr>
    </w:lvl>
  </w:abstractNum>
  <w:abstractNum w:abstractNumId="24">
    <w:nsid w:val="3BF75B5D"/>
    <w:multiLevelType w:val="hybridMultilevel"/>
    <w:tmpl w:val="00000000"/>
    <w:lvl w:ilvl="0">
      <w:start w:val="10"/>
      <w:numFmt w:val="decimal"/>
      <w:lvlText w:val="(%1)"/>
      <w:lvlJc w:val="left"/>
      <w:pPr>
        <w:ind w:left="4532" w:hanging="699"/>
        <w:jc w:val="left"/>
      </w:pPr>
      <w:rPr>
        <w:rFonts w:ascii="Tahoma" w:eastAsia="Tahoma" w:hAnsi="Tahoma" w:cs="Tahoma" w:hint="default"/>
        <w:spacing w:val="-1"/>
        <w:w w:val="102"/>
        <w:sz w:val="24"/>
        <w:szCs w:val="24"/>
      </w:rPr>
    </w:lvl>
    <w:lvl w:ilvl="1">
      <w:start w:val="0"/>
      <w:numFmt w:val="bullet"/>
      <w:lvlText w:val="•"/>
      <w:lvlJc w:val="left"/>
      <w:pPr>
        <w:ind w:left="5113" w:hanging="699"/>
      </w:pPr>
      <w:rPr>
        <w:rFonts w:hint="default"/>
      </w:rPr>
    </w:lvl>
    <w:lvl w:ilvl="2">
      <w:start w:val="0"/>
      <w:numFmt w:val="bullet"/>
      <w:lvlText w:val="•"/>
      <w:lvlJc w:val="left"/>
      <w:pPr>
        <w:ind w:left="5686" w:hanging="699"/>
      </w:pPr>
      <w:rPr>
        <w:rFonts w:hint="default"/>
      </w:rPr>
    </w:lvl>
    <w:lvl w:ilvl="3">
      <w:start w:val="0"/>
      <w:numFmt w:val="bullet"/>
      <w:lvlText w:val="•"/>
      <w:lvlJc w:val="left"/>
      <w:pPr>
        <w:ind w:left="6260" w:hanging="699"/>
      </w:pPr>
      <w:rPr>
        <w:rFonts w:hint="default"/>
      </w:rPr>
    </w:lvl>
    <w:lvl w:ilvl="4">
      <w:start w:val="0"/>
      <w:numFmt w:val="bullet"/>
      <w:lvlText w:val="•"/>
      <w:lvlJc w:val="left"/>
      <w:pPr>
        <w:ind w:left="6833" w:hanging="699"/>
      </w:pPr>
      <w:rPr>
        <w:rFonts w:hint="default"/>
      </w:rPr>
    </w:lvl>
    <w:lvl w:ilvl="5">
      <w:start w:val="0"/>
      <w:numFmt w:val="bullet"/>
      <w:lvlText w:val="•"/>
      <w:lvlJc w:val="left"/>
      <w:pPr>
        <w:ind w:left="7407" w:hanging="699"/>
      </w:pPr>
      <w:rPr>
        <w:rFonts w:hint="default"/>
      </w:rPr>
    </w:lvl>
    <w:lvl w:ilvl="6">
      <w:start w:val="0"/>
      <w:numFmt w:val="bullet"/>
      <w:lvlText w:val="•"/>
      <w:lvlJc w:val="left"/>
      <w:pPr>
        <w:ind w:left="7980" w:hanging="699"/>
      </w:pPr>
      <w:rPr>
        <w:rFonts w:hint="default"/>
      </w:rPr>
    </w:lvl>
    <w:lvl w:ilvl="7">
      <w:start w:val="0"/>
      <w:numFmt w:val="bullet"/>
      <w:lvlText w:val="•"/>
      <w:lvlJc w:val="left"/>
      <w:pPr>
        <w:ind w:left="8554" w:hanging="699"/>
      </w:pPr>
      <w:rPr>
        <w:rFonts w:hint="default"/>
      </w:rPr>
    </w:lvl>
    <w:lvl w:ilvl="8">
      <w:start w:val="0"/>
      <w:numFmt w:val="bullet"/>
      <w:lvlText w:val="•"/>
      <w:lvlJc w:val="left"/>
      <w:pPr>
        <w:ind w:left="9127" w:hanging="699"/>
      </w:pPr>
      <w:rPr>
        <w:rFonts w:hint="default"/>
      </w:rPr>
    </w:lvl>
  </w:abstractNum>
  <w:abstractNum w:abstractNumId="25">
    <w:nsid w:val="3C3E904A"/>
    <w:multiLevelType w:val="hybridMultilevel"/>
    <w:tmpl w:val="00000000"/>
    <w:lvl w:ilvl="0">
      <w:start w:val="0"/>
      <w:numFmt w:val="bullet"/>
      <w:lvlText w:val=""/>
      <w:lvlJc w:val="left"/>
      <w:pPr>
        <w:ind w:left="985" w:hanging="540"/>
      </w:pPr>
      <w:rPr>
        <w:rFonts w:ascii="Symbol" w:eastAsia="Symbol" w:hAnsi="Symbol" w:cs="Symbol" w:hint="default"/>
        <w:w w:val="100"/>
        <w:sz w:val="36"/>
        <w:szCs w:val="36"/>
      </w:rPr>
    </w:lvl>
    <w:lvl w:ilvl="1">
      <w:start w:val="0"/>
      <w:numFmt w:val="bullet"/>
      <w:lvlText w:val="•"/>
      <w:lvlJc w:val="left"/>
      <w:pPr>
        <w:ind w:left="2432" w:hanging="540"/>
      </w:pPr>
      <w:rPr>
        <w:rFonts w:hint="default"/>
      </w:rPr>
    </w:lvl>
    <w:lvl w:ilvl="2">
      <w:start w:val="0"/>
      <w:numFmt w:val="bullet"/>
      <w:lvlText w:val="•"/>
      <w:lvlJc w:val="left"/>
      <w:pPr>
        <w:ind w:left="3884" w:hanging="540"/>
      </w:pPr>
      <w:rPr>
        <w:rFonts w:hint="default"/>
      </w:rPr>
    </w:lvl>
    <w:lvl w:ilvl="3">
      <w:start w:val="0"/>
      <w:numFmt w:val="bullet"/>
      <w:lvlText w:val="•"/>
      <w:lvlJc w:val="left"/>
      <w:pPr>
        <w:ind w:left="5336" w:hanging="540"/>
      </w:pPr>
      <w:rPr>
        <w:rFonts w:hint="default"/>
      </w:rPr>
    </w:lvl>
    <w:lvl w:ilvl="4">
      <w:start w:val="0"/>
      <w:numFmt w:val="bullet"/>
      <w:lvlText w:val="•"/>
      <w:lvlJc w:val="left"/>
      <w:pPr>
        <w:ind w:left="6789" w:hanging="540"/>
      </w:pPr>
      <w:rPr>
        <w:rFonts w:hint="default"/>
      </w:rPr>
    </w:lvl>
    <w:lvl w:ilvl="5">
      <w:start w:val="0"/>
      <w:numFmt w:val="bullet"/>
      <w:lvlText w:val="•"/>
      <w:lvlJc w:val="left"/>
      <w:pPr>
        <w:ind w:left="8241" w:hanging="540"/>
      </w:pPr>
      <w:rPr>
        <w:rFonts w:hint="default"/>
      </w:rPr>
    </w:lvl>
    <w:lvl w:ilvl="6">
      <w:start w:val="0"/>
      <w:numFmt w:val="bullet"/>
      <w:lvlText w:val="•"/>
      <w:lvlJc w:val="left"/>
      <w:pPr>
        <w:ind w:left="9693" w:hanging="540"/>
      </w:pPr>
      <w:rPr>
        <w:rFonts w:hint="default"/>
      </w:rPr>
    </w:lvl>
    <w:lvl w:ilvl="7">
      <w:start w:val="0"/>
      <w:numFmt w:val="bullet"/>
      <w:lvlText w:val="•"/>
      <w:lvlJc w:val="left"/>
      <w:pPr>
        <w:ind w:left="11146" w:hanging="540"/>
      </w:pPr>
      <w:rPr>
        <w:rFonts w:hint="default"/>
      </w:rPr>
    </w:lvl>
    <w:lvl w:ilvl="8">
      <w:start w:val="0"/>
      <w:numFmt w:val="bullet"/>
      <w:lvlText w:val="•"/>
      <w:lvlJc w:val="left"/>
      <w:pPr>
        <w:ind w:left="12598" w:hanging="540"/>
      </w:pPr>
      <w:rPr>
        <w:rFonts w:hint="default"/>
      </w:rPr>
    </w:lvl>
  </w:abstractNum>
  <w:abstractNum w:abstractNumId="26">
    <w:nsid w:val="3EA4629D"/>
    <w:multiLevelType w:val="hybridMultilevel"/>
    <w:tmpl w:val="00000000"/>
    <w:lvl w:ilvl="0">
      <w:start w:val="0"/>
      <w:numFmt w:val="bullet"/>
      <w:lvlText w:val=""/>
      <w:lvlJc w:val="left"/>
      <w:pPr>
        <w:ind w:left="590" w:hanging="540"/>
      </w:pPr>
      <w:rPr>
        <w:rFonts w:ascii="Symbol" w:eastAsia="Symbol" w:hAnsi="Symbol" w:cs="Symbol" w:hint="default"/>
        <w:w w:val="100"/>
        <w:sz w:val="36"/>
        <w:szCs w:val="36"/>
      </w:rPr>
    </w:lvl>
    <w:lvl w:ilvl="1">
      <w:start w:val="0"/>
      <w:numFmt w:val="bullet"/>
      <w:lvlText w:val="•"/>
      <w:lvlJc w:val="left"/>
      <w:pPr>
        <w:ind w:left="1169" w:hanging="540"/>
      </w:pPr>
      <w:rPr>
        <w:rFonts w:hint="default"/>
      </w:rPr>
    </w:lvl>
    <w:lvl w:ilvl="2">
      <w:start w:val="0"/>
      <w:numFmt w:val="bullet"/>
      <w:lvlText w:val="•"/>
      <w:lvlJc w:val="left"/>
      <w:pPr>
        <w:ind w:left="1738" w:hanging="540"/>
      </w:pPr>
      <w:rPr>
        <w:rFonts w:hint="default"/>
      </w:rPr>
    </w:lvl>
    <w:lvl w:ilvl="3">
      <w:start w:val="0"/>
      <w:numFmt w:val="bullet"/>
      <w:lvlText w:val="•"/>
      <w:lvlJc w:val="left"/>
      <w:pPr>
        <w:ind w:left="2307" w:hanging="540"/>
      </w:pPr>
      <w:rPr>
        <w:rFonts w:hint="default"/>
      </w:rPr>
    </w:lvl>
    <w:lvl w:ilvl="4">
      <w:start w:val="0"/>
      <w:numFmt w:val="bullet"/>
      <w:lvlText w:val="•"/>
      <w:lvlJc w:val="left"/>
      <w:pPr>
        <w:ind w:left="2876" w:hanging="540"/>
      </w:pPr>
      <w:rPr>
        <w:rFonts w:hint="default"/>
      </w:rPr>
    </w:lvl>
    <w:lvl w:ilvl="5">
      <w:start w:val="0"/>
      <w:numFmt w:val="bullet"/>
      <w:lvlText w:val="•"/>
      <w:lvlJc w:val="left"/>
      <w:pPr>
        <w:ind w:left="3446" w:hanging="540"/>
      </w:pPr>
      <w:rPr>
        <w:rFonts w:hint="default"/>
      </w:rPr>
    </w:lvl>
    <w:lvl w:ilvl="6">
      <w:start w:val="0"/>
      <w:numFmt w:val="bullet"/>
      <w:lvlText w:val="•"/>
      <w:lvlJc w:val="left"/>
      <w:pPr>
        <w:ind w:left="4015" w:hanging="540"/>
      </w:pPr>
      <w:rPr>
        <w:rFonts w:hint="default"/>
      </w:rPr>
    </w:lvl>
    <w:lvl w:ilvl="7">
      <w:start w:val="0"/>
      <w:numFmt w:val="bullet"/>
      <w:lvlText w:val="•"/>
      <w:lvlJc w:val="left"/>
      <w:pPr>
        <w:ind w:left="4584" w:hanging="540"/>
      </w:pPr>
      <w:rPr>
        <w:rFonts w:hint="default"/>
      </w:rPr>
    </w:lvl>
    <w:lvl w:ilvl="8">
      <w:start w:val="0"/>
      <w:numFmt w:val="bullet"/>
      <w:lvlText w:val="•"/>
      <w:lvlJc w:val="left"/>
      <w:pPr>
        <w:ind w:left="5153" w:hanging="540"/>
      </w:pPr>
      <w:rPr>
        <w:rFonts w:hint="default"/>
      </w:rPr>
    </w:lvl>
  </w:abstractNum>
  <w:abstractNum w:abstractNumId="27">
    <w:nsid w:val="409DD205"/>
    <w:multiLevelType w:val="hybridMultilevel"/>
    <w:tmpl w:val="00000000"/>
    <w:lvl w:ilvl="0">
      <w:start w:val="0"/>
      <w:numFmt w:val="bullet"/>
      <w:lvlText w:val=""/>
      <w:lvlJc w:val="left"/>
      <w:pPr>
        <w:ind w:left="1701" w:hanging="421"/>
      </w:pPr>
      <w:rPr>
        <w:rFonts w:ascii="Symbol" w:eastAsia="Symbol" w:hAnsi="Symbol" w:cs="Symbol" w:hint="default"/>
        <w:w w:val="100"/>
        <w:sz w:val="36"/>
        <w:szCs w:val="36"/>
      </w:rPr>
    </w:lvl>
    <w:lvl w:ilvl="1">
      <w:start w:val="0"/>
      <w:numFmt w:val="bullet"/>
      <w:lvlText w:val="•"/>
      <w:lvlJc w:val="left"/>
      <w:pPr>
        <w:ind w:left="3080" w:hanging="421"/>
      </w:pPr>
      <w:rPr>
        <w:rFonts w:hint="default"/>
      </w:rPr>
    </w:lvl>
    <w:lvl w:ilvl="2">
      <w:start w:val="0"/>
      <w:numFmt w:val="bullet"/>
      <w:lvlText w:val="•"/>
      <w:lvlJc w:val="left"/>
      <w:pPr>
        <w:ind w:left="4460" w:hanging="421"/>
      </w:pPr>
      <w:rPr>
        <w:rFonts w:hint="default"/>
      </w:rPr>
    </w:lvl>
    <w:lvl w:ilvl="3">
      <w:start w:val="0"/>
      <w:numFmt w:val="bullet"/>
      <w:lvlText w:val="•"/>
      <w:lvlJc w:val="left"/>
      <w:pPr>
        <w:ind w:left="5840" w:hanging="421"/>
      </w:pPr>
      <w:rPr>
        <w:rFonts w:hint="default"/>
      </w:rPr>
    </w:lvl>
    <w:lvl w:ilvl="4">
      <w:start w:val="0"/>
      <w:numFmt w:val="bullet"/>
      <w:lvlText w:val="•"/>
      <w:lvlJc w:val="left"/>
      <w:pPr>
        <w:ind w:left="7221" w:hanging="421"/>
      </w:pPr>
      <w:rPr>
        <w:rFonts w:hint="default"/>
      </w:rPr>
    </w:lvl>
    <w:lvl w:ilvl="5">
      <w:start w:val="0"/>
      <w:numFmt w:val="bullet"/>
      <w:lvlText w:val="•"/>
      <w:lvlJc w:val="left"/>
      <w:pPr>
        <w:ind w:left="8601" w:hanging="421"/>
      </w:pPr>
      <w:rPr>
        <w:rFonts w:hint="default"/>
      </w:rPr>
    </w:lvl>
    <w:lvl w:ilvl="6">
      <w:start w:val="0"/>
      <w:numFmt w:val="bullet"/>
      <w:lvlText w:val="•"/>
      <w:lvlJc w:val="left"/>
      <w:pPr>
        <w:ind w:left="9981" w:hanging="421"/>
      </w:pPr>
      <w:rPr>
        <w:rFonts w:hint="default"/>
      </w:rPr>
    </w:lvl>
    <w:lvl w:ilvl="7">
      <w:start w:val="0"/>
      <w:numFmt w:val="bullet"/>
      <w:lvlText w:val="•"/>
      <w:lvlJc w:val="left"/>
      <w:pPr>
        <w:ind w:left="11362" w:hanging="421"/>
      </w:pPr>
      <w:rPr>
        <w:rFonts w:hint="default"/>
      </w:rPr>
    </w:lvl>
    <w:lvl w:ilvl="8">
      <w:start w:val="0"/>
      <w:numFmt w:val="bullet"/>
      <w:lvlText w:val="•"/>
      <w:lvlJc w:val="left"/>
      <w:pPr>
        <w:ind w:left="12742" w:hanging="421"/>
      </w:pPr>
      <w:rPr>
        <w:rFonts w:hint="default"/>
      </w:rPr>
    </w:lvl>
  </w:abstractNum>
  <w:abstractNum w:abstractNumId="28">
    <w:nsid w:val="41C69BD9"/>
    <w:multiLevelType w:val="hybridMultilevel"/>
    <w:tmpl w:val="00000000"/>
    <w:lvl w:ilvl="0">
      <w:start w:val="0"/>
      <w:numFmt w:val="bullet"/>
      <w:lvlText w:val=""/>
      <w:lvlJc w:val="left"/>
      <w:pPr>
        <w:ind w:left="848" w:hanging="671"/>
      </w:pPr>
      <w:rPr>
        <w:rFonts w:ascii="Symbol" w:eastAsia="Symbol" w:hAnsi="Symbol" w:cs="Symbol" w:hint="default"/>
        <w:w w:val="100"/>
        <w:sz w:val="36"/>
        <w:szCs w:val="36"/>
      </w:rPr>
    </w:lvl>
    <w:lvl w:ilvl="1">
      <w:start w:val="0"/>
      <w:numFmt w:val="bullet"/>
      <w:lvlText w:val=""/>
      <w:lvlJc w:val="left"/>
      <w:pPr>
        <w:ind w:left="978" w:hanging="541"/>
      </w:pPr>
      <w:rPr>
        <w:rFonts w:ascii="Symbol" w:eastAsia="Symbol" w:hAnsi="Symbol" w:cs="Symbol" w:hint="default"/>
        <w:w w:val="100"/>
        <w:sz w:val="36"/>
        <w:szCs w:val="36"/>
      </w:rPr>
    </w:lvl>
    <w:lvl w:ilvl="2">
      <w:start w:val="0"/>
      <w:numFmt w:val="bullet"/>
      <w:lvlText w:val="•"/>
      <w:lvlJc w:val="left"/>
      <w:pPr>
        <w:ind w:left="2593" w:hanging="541"/>
      </w:pPr>
      <w:rPr>
        <w:rFonts w:hint="default"/>
      </w:rPr>
    </w:lvl>
    <w:lvl w:ilvl="3">
      <w:start w:val="0"/>
      <w:numFmt w:val="bullet"/>
      <w:lvlText w:val="•"/>
      <w:lvlJc w:val="left"/>
      <w:pPr>
        <w:ind w:left="4207" w:hanging="541"/>
      </w:pPr>
      <w:rPr>
        <w:rFonts w:hint="default"/>
      </w:rPr>
    </w:lvl>
    <w:lvl w:ilvl="4">
      <w:start w:val="0"/>
      <w:numFmt w:val="bullet"/>
      <w:lvlText w:val="•"/>
      <w:lvlJc w:val="left"/>
      <w:pPr>
        <w:ind w:left="5821" w:hanging="541"/>
      </w:pPr>
      <w:rPr>
        <w:rFonts w:hint="default"/>
      </w:rPr>
    </w:lvl>
    <w:lvl w:ilvl="5">
      <w:start w:val="0"/>
      <w:numFmt w:val="bullet"/>
      <w:lvlText w:val="•"/>
      <w:lvlJc w:val="left"/>
      <w:pPr>
        <w:ind w:left="7434" w:hanging="541"/>
      </w:pPr>
      <w:rPr>
        <w:rFonts w:hint="default"/>
      </w:rPr>
    </w:lvl>
    <w:lvl w:ilvl="6">
      <w:start w:val="0"/>
      <w:numFmt w:val="bullet"/>
      <w:lvlText w:val="•"/>
      <w:lvlJc w:val="left"/>
      <w:pPr>
        <w:ind w:left="9048" w:hanging="541"/>
      </w:pPr>
      <w:rPr>
        <w:rFonts w:hint="default"/>
      </w:rPr>
    </w:lvl>
    <w:lvl w:ilvl="7">
      <w:start w:val="0"/>
      <w:numFmt w:val="bullet"/>
      <w:lvlText w:val="•"/>
      <w:lvlJc w:val="left"/>
      <w:pPr>
        <w:ind w:left="10662" w:hanging="541"/>
      </w:pPr>
      <w:rPr>
        <w:rFonts w:hint="default"/>
      </w:rPr>
    </w:lvl>
    <w:lvl w:ilvl="8">
      <w:start w:val="0"/>
      <w:numFmt w:val="bullet"/>
      <w:lvlText w:val="•"/>
      <w:lvlJc w:val="left"/>
      <w:pPr>
        <w:ind w:left="12275" w:hanging="541"/>
      </w:pPr>
      <w:rPr>
        <w:rFonts w:hint="default"/>
      </w:rPr>
    </w:lvl>
  </w:abstractNum>
  <w:abstractNum w:abstractNumId="29">
    <w:nsid w:val="4B2704FF"/>
    <w:multiLevelType w:val="hybridMultilevel"/>
    <w:tmpl w:val="00000000"/>
    <w:lvl w:ilvl="0">
      <w:start w:val="0"/>
      <w:numFmt w:val="bullet"/>
      <w:lvlText w:val=""/>
      <w:lvlJc w:val="left"/>
      <w:pPr>
        <w:ind w:left="2123" w:hanging="1145"/>
      </w:pPr>
      <w:rPr>
        <w:rFonts w:ascii="Symbol" w:eastAsia="Symbol" w:hAnsi="Symbol" w:cs="Symbol" w:hint="default"/>
        <w:w w:val="100"/>
        <w:sz w:val="36"/>
        <w:szCs w:val="36"/>
      </w:rPr>
    </w:lvl>
    <w:lvl w:ilvl="1">
      <w:start w:val="0"/>
      <w:numFmt w:val="bullet"/>
      <w:lvlText w:val="•"/>
      <w:lvlJc w:val="left"/>
      <w:pPr>
        <w:ind w:left="3458" w:hanging="1145"/>
      </w:pPr>
      <w:rPr>
        <w:rFonts w:hint="default"/>
      </w:rPr>
    </w:lvl>
    <w:lvl w:ilvl="2">
      <w:start w:val="0"/>
      <w:numFmt w:val="bullet"/>
      <w:lvlText w:val="•"/>
      <w:lvlJc w:val="left"/>
      <w:pPr>
        <w:ind w:left="4796" w:hanging="1145"/>
      </w:pPr>
      <w:rPr>
        <w:rFonts w:hint="default"/>
      </w:rPr>
    </w:lvl>
    <w:lvl w:ilvl="3">
      <w:start w:val="0"/>
      <w:numFmt w:val="bullet"/>
      <w:lvlText w:val="•"/>
      <w:lvlJc w:val="left"/>
      <w:pPr>
        <w:ind w:left="6134" w:hanging="1145"/>
      </w:pPr>
      <w:rPr>
        <w:rFonts w:hint="default"/>
      </w:rPr>
    </w:lvl>
    <w:lvl w:ilvl="4">
      <w:start w:val="0"/>
      <w:numFmt w:val="bullet"/>
      <w:lvlText w:val="•"/>
      <w:lvlJc w:val="left"/>
      <w:pPr>
        <w:ind w:left="7473" w:hanging="1145"/>
      </w:pPr>
      <w:rPr>
        <w:rFonts w:hint="default"/>
      </w:rPr>
    </w:lvl>
    <w:lvl w:ilvl="5">
      <w:start w:val="0"/>
      <w:numFmt w:val="bullet"/>
      <w:lvlText w:val="•"/>
      <w:lvlJc w:val="left"/>
      <w:pPr>
        <w:ind w:left="8811" w:hanging="1145"/>
      </w:pPr>
      <w:rPr>
        <w:rFonts w:hint="default"/>
      </w:rPr>
    </w:lvl>
    <w:lvl w:ilvl="6">
      <w:start w:val="0"/>
      <w:numFmt w:val="bullet"/>
      <w:lvlText w:val="•"/>
      <w:lvlJc w:val="left"/>
      <w:pPr>
        <w:ind w:left="10149" w:hanging="1145"/>
      </w:pPr>
      <w:rPr>
        <w:rFonts w:hint="default"/>
      </w:rPr>
    </w:lvl>
    <w:lvl w:ilvl="7">
      <w:start w:val="0"/>
      <w:numFmt w:val="bullet"/>
      <w:lvlText w:val="•"/>
      <w:lvlJc w:val="left"/>
      <w:pPr>
        <w:ind w:left="11488" w:hanging="1145"/>
      </w:pPr>
      <w:rPr>
        <w:rFonts w:hint="default"/>
      </w:rPr>
    </w:lvl>
    <w:lvl w:ilvl="8">
      <w:start w:val="0"/>
      <w:numFmt w:val="bullet"/>
      <w:lvlText w:val="•"/>
      <w:lvlJc w:val="left"/>
      <w:pPr>
        <w:ind w:left="12826" w:hanging="1145"/>
      </w:pPr>
      <w:rPr>
        <w:rFonts w:hint="default"/>
      </w:rPr>
    </w:lvl>
  </w:abstractNum>
  <w:abstractNum w:abstractNumId="30">
    <w:nsid w:val="4C0EAC8F"/>
    <w:multiLevelType w:val="hybridMultilevel"/>
    <w:tmpl w:val="00000000"/>
    <w:lvl w:ilvl="0">
      <w:start w:val="0"/>
      <w:numFmt w:val="bullet"/>
      <w:lvlText w:val=""/>
      <w:lvlJc w:val="left"/>
      <w:pPr>
        <w:ind w:left="2123" w:hanging="1145"/>
      </w:pPr>
      <w:rPr>
        <w:rFonts w:ascii="Symbol" w:eastAsia="Symbol" w:hAnsi="Symbol" w:cs="Symbol" w:hint="default"/>
        <w:w w:val="100"/>
        <w:sz w:val="36"/>
        <w:szCs w:val="36"/>
      </w:rPr>
    </w:lvl>
    <w:lvl w:ilvl="1">
      <w:start w:val="0"/>
      <w:numFmt w:val="bullet"/>
      <w:lvlText w:val="•"/>
      <w:lvlJc w:val="left"/>
      <w:pPr>
        <w:ind w:left="3458" w:hanging="1145"/>
      </w:pPr>
      <w:rPr>
        <w:rFonts w:hint="default"/>
      </w:rPr>
    </w:lvl>
    <w:lvl w:ilvl="2">
      <w:start w:val="0"/>
      <w:numFmt w:val="bullet"/>
      <w:lvlText w:val="•"/>
      <w:lvlJc w:val="left"/>
      <w:pPr>
        <w:ind w:left="4796" w:hanging="1145"/>
      </w:pPr>
      <w:rPr>
        <w:rFonts w:hint="default"/>
      </w:rPr>
    </w:lvl>
    <w:lvl w:ilvl="3">
      <w:start w:val="0"/>
      <w:numFmt w:val="bullet"/>
      <w:lvlText w:val="•"/>
      <w:lvlJc w:val="left"/>
      <w:pPr>
        <w:ind w:left="6134" w:hanging="1145"/>
      </w:pPr>
      <w:rPr>
        <w:rFonts w:hint="default"/>
      </w:rPr>
    </w:lvl>
    <w:lvl w:ilvl="4">
      <w:start w:val="0"/>
      <w:numFmt w:val="bullet"/>
      <w:lvlText w:val="•"/>
      <w:lvlJc w:val="left"/>
      <w:pPr>
        <w:ind w:left="7473" w:hanging="1145"/>
      </w:pPr>
      <w:rPr>
        <w:rFonts w:hint="default"/>
      </w:rPr>
    </w:lvl>
    <w:lvl w:ilvl="5">
      <w:start w:val="0"/>
      <w:numFmt w:val="bullet"/>
      <w:lvlText w:val="•"/>
      <w:lvlJc w:val="left"/>
      <w:pPr>
        <w:ind w:left="8811" w:hanging="1145"/>
      </w:pPr>
      <w:rPr>
        <w:rFonts w:hint="default"/>
      </w:rPr>
    </w:lvl>
    <w:lvl w:ilvl="6">
      <w:start w:val="0"/>
      <w:numFmt w:val="bullet"/>
      <w:lvlText w:val="•"/>
      <w:lvlJc w:val="left"/>
      <w:pPr>
        <w:ind w:left="10149" w:hanging="1145"/>
      </w:pPr>
      <w:rPr>
        <w:rFonts w:hint="default"/>
      </w:rPr>
    </w:lvl>
    <w:lvl w:ilvl="7">
      <w:start w:val="0"/>
      <w:numFmt w:val="bullet"/>
      <w:lvlText w:val="•"/>
      <w:lvlJc w:val="left"/>
      <w:pPr>
        <w:ind w:left="11488" w:hanging="1145"/>
      </w:pPr>
      <w:rPr>
        <w:rFonts w:hint="default"/>
      </w:rPr>
    </w:lvl>
    <w:lvl w:ilvl="8">
      <w:start w:val="0"/>
      <w:numFmt w:val="bullet"/>
      <w:lvlText w:val="•"/>
      <w:lvlJc w:val="left"/>
      <w:pPr>
        <w:ind w:left="12826" w:hanging="1145"/>
      </w:pPr>
      <w:rPr>
        <w:rFonts w:hint="default"/>
      </w:rPr>
    </w:lvl>
  </w:abstractNum>
  <w:abstractNum w:abstractNumId="31">
    <w:nsid w:val="4DFFAA36"/>
    <w:multiLevelType w:val="hybridMultilevel"/>
    <w:tmpl w:val="00000000"/>
    <w:lvl w:ilvl="0">
      <w:start w:val="3"/>
      <w:numFmt w:val="decimal"/>
      <w:lvlText w:val="(%1)"/>
      <w:lvlJc w:val="left"/>
      <w:pPr>
        <w:ind w:left="4365" w:hanging="523"/>
        <w:jc w:val="left"/>
      </w:pPr>
      <w:rPr>
        <w:rFonts w:ascii="Tahoma" w:eastAsia="Tahoma" w:hAnsi="Tahoma" w:cs="Tahoma" w:hint="default"/>
        <w:spacing w:val="-1"/>
        <w:w w:val="102"/>
        <w:sz w:val="24"/>
        <w:szCs w:val="24"/>
      </w:rPr>
    </w:lvl>
    <w:lvl w:ilvl="1">
      <w:start w:val="1"/>
      <w:numFmt w:val="decimal"/>
      <w:lvlText w:val="(%2)"/>
      <w:lvlJc w:val="left"/>
      <w:pPr>
        <w:ind w:left="4548" w:hanging="522"/>
        <w:jc w:val="right"/>
      </w:pPr>
      <w:rPr>
        <w:rFonts w:ascii="Tahoma" w:eastAsia="Tahoma" w:hAnsi="Tahoma" w:cs="Tahoma" w:hint="default"/>
        <w:spacing w:val="-1"/>
        <w:w w:val="102"/>
        <w:sz w:val="24"/>
        <w:szCs w:val="24"/>
      </w:rPr>
    </w:lvl>
    <w:lvl w:ilvl="2">
      <w:start w:val="0"/>
      <w:numFmt w:val="bullet"/>
      <w:lvlText w:val="•"/>
      <w:lvlJc w:val="left"/>
      <w:pPr>
        <w:ind w:left="5070" w:hanging="522"/>
      </w:pPr>
      <w:rPr>
        <w:rFonts w:hint="default"/>
      </w:rPr>
    </w:lvl>
    <w:lvl w:ilvl="3">
      <w:start w:val="0"/>
      <w:numFmt w:val="bullet"/>
      <w:lvlText w:val="•"/>
      <w:lvlJc w:val="left"/>
      <w:pPr>
        <w:ind w:left="5601" w:hanging="522"/>
      </w:pPr>
      <w:rPr>
        <w:rFonts w:hint="default"/>
      </w:rPr>
    </w:lvl>
    <w:lvl w:ilvl="4">
      <w:start w:val="0"/>
      <w:numFmt w:val="bullet"/>
      <w:lvlText w:val="•"/>
      <w:lvlJc w:val="left"/>
      <w:pPr>
        <w:ind w:left="6132" w:hanging="522"/>
      </w:pPr>
      <w:rPr>
        <w:rFonts w:hint="default"/>
      </w:rPr>
    </w:lvl>
    <w:lvl w:ilvl="5">
      <w:start w:val="0"/>
      <w:numFmt w:val="bullet"/>
      <w:lvlText w:val="•"/>
      <w:lvlJc w:val="left"/>
      <w:pPr>
        <w:ind w:left="6663" w:hanging="522"/>
      </w:pPr>
      <w:rPr>
        <w:rFonts w:hint="default"/>
      </w:rPr>
    </w:lvl>
    <w:lvl w:ilvl="6">
      <w:start w:val="0"/>
      <w:numFmt w:val="bullet"/>
      <w:lvlText w:val="•"/>
      <w:lvlJc w:val="left"/>
      <w:pPr>
        <w:ind w:left="7194" w:hanging="522"/>
      </w:pPr>
      <w:rPr>
        <w:rFonts w:hint="default"/>
      </w:rPr>
    </w:lvl>
    <w:lvl w:ilvl="7">
      <w:start w:val="0"/>
      <w:numFmt w:val="bullet"/>
      <w:lvlText w:val="•"/>
      <w:lvlJc w:val="left"/>
      <w:pPr>
        <w:ind w:left="7725" w:hanging="522"/>
      </w:pPr>
      <w:rPr>
        <w:rFonts w:hint="default"/>
      </w:rPr>
    </w:lvl>
    <w:lvl w:ilvl="8">
      <w:start w:val="0"/>
      <w:numFmt w:val="bullet"/>
      <w:lvlText w:val="•"/>
      <w:lvlJc w:val="left"/>
      <w:pPr>
        <w:ind w:left="8256" w:hanging="522"/>
      </w:pPr>
      <w:rPr>
        <w:rFonts w:hint="default"/>
      </w:rPr>
    </w:lvl>
  </w:abstractNum>
  <w:abstractNum w:abstractNumId="32">
    <w:nsid w:val="5091B756"/>
    <w:multiLevelType w:val="hybridMultilevel"/>
    <w:tmpl w:val="00000000"/>
    <w:lvl w:ilvl="0">
      <w:start w:val="0"/>
      <w:numFmt w:val="bullet"/>
      <w:lvlText w:val=""/>
      <w:lvlJc w:val="left"/>
      <w:pPr>
        <w:ind w:left="590" w:hanging="540"/>
      </w:pPr>
      <w:rPr>
        <w:rFonts w:ascii="Symbol" w:eastAsia="Symbol" w:hAnsi="Symbol" w:cs="Symbol" w:hint="default"/>
        <w:w w:val="100"/>
        <w:sz w:val="36"/>
        <w:szCs w:val="36"/>
      </w:rPr>
    </w:lvl>
    <w:lvl w:ilvl="1">
      <w:start w:val="0"/>
      <w:numFmt w:val="bullet"/>
      <w:lvlText w:val="•"/>
      <w:lvlJc w:val="left"/>
      <w:pPr>
        <w:ind w:left="1169" w:hanging="540"/>
      </w:pPr>
      <w:rPr>
        <w:rFonts w:hint="default"/>
      </w:rPr>
    </w:lvl>
    <w:lvl w:ilvl="2">
      <w:start w:val="0"/>
      <w:numFmt w:val="bullet"/>
      <w:lvlText w:val="•"/>
      <w:lvlJc w:val="left"/>
      <w:pPr>
        <w:ind w:left="1738" w:hanging="540"/>
      </w:pPr>
      <w:rPr>
        <w:rFonts w:hint="default"/>
      </w:rPr>
    </w:lvl>
    <w:lvl w:ilvl="3">
      <w:start w:val="0"/>
      <w:numFmt w:val="bullet"/>
      <w:lvlText w:val="•"/>
      <w:lvlJc w:val="left"/>
      <w:pPr>
        <w:ind w:left="2307" w:hanging="540"/>
      </w:pPr>
      <w:rPr>
        <w:rFonts w:hint="default"/>
      </w:rPr>
    </w:lvl>
    <w:lvl w:ilvl="4">
      <w:start w:val="0"/>
      <w:numFmt w:val="bullet"/>
      <w:lvlText w:val="•"/>
      <w:lvlJc w:val="left"/>
      <w:pPr>
        <w:ind w:left="2876" w:hanging="540"/>
      </w:pPr>
      <w:rPr>
        <w:rFonts w:hint="default"/>
      </w:rPr>
    </w:lvl>
    <w:lvl w:ilvl="5">
      <w:start w:val="0"/>
      <w:numFmt w:val="bullet"/>
      <w:lvlText w:val="•"/>
      <w:lvlJc w:val="left"/>
      <w:pPr>
        <w:ind w:left="3446" w:hanging="540"/>
      </w:pPr>
      <w:rPr>
        <w:rFonts w:hint="default"/>
      </w:rPr>
    </w:lvl>
    <w:lvl w:ilvl="6">
      <w:start w:val="0"/>
      <w:numFmt w:val="bullet"/>
      <w:lvlText w:val="•"/>
      <w:lvlJc w:val="left"/>
      <w:pPr>
        <w:ind w:left="4015" w:hanging="540"/>
      </w:pPr>
      <w:rPr>
        <w:rFonts w:hint="default"/>
      </w:rPr>
    </w:lvl>
    <w:lvl w:ilvl="7">
      <w:start w:val="0"/>
      <w:numFmt w:val="bullet"/>
      <w:lvlText w:val="•"/>
      <w:lvlJc w:val="left"/>
      <w:pPr>
        <w:ind w:left="4584" w:hanging="540"/>
      </w:pPr>
      <w:rPr>
        <w:rFonts w:hint="default"/>
      </w:rPr>
    </w:lvl>
    <w:lvl w:ilvl="8">
      <w:start w:val="0"/>
      <w:numFmt w:val="bullet"/>
      <w:lvlText w:val="•"/>
      <w:lvlJc w:val="left"/>
      <w:pPr>
        <w:ind w:left="5153" w:hanging="540"/>
      </w:pPr>
      <w:rPr>
        <w:rFonts w:hint="default"/>
      </w:rPr>
    </w:lvl>
  </w:abstractNum>
  <w:abstractNum w:abstractNumId="33">
    <w:nsid w:val="519F14C0"/>
    <w:multiLevelType w:val="hybridMultilevel"/>
    <w:tmpl w:val="00000000"/>
    <w:lvl w:ilvl="0">
      <w:start w:val="0"/>
      <w:numFmt w:val="bullet"/>
      <w:lvlText w:val=""/>
      <w:lvlJc w:val="left"/>
      <w:pPr>
        <w:ind w:left="590" w:hanging="540"/>
      </w:pPr>
      <w:rPr>
        <w:rFonts w:ascii="Symbol" w:eastAsia="Symbol" w:hAnsi="Symbol" w:cs="Symbol" w:hint="default"/>
        <w:w w:val="100"/>
        <w:sz w:val="36"/>
        <w:szCs w:val="36"/>
      </w:rPr>
    </w:lvl>
    <w:lvl w:ilvl="1">
      <w:start w:val="0"/>
      <w:numFmt w:val="bullet"/>
      <w:lvlText w:val="•"/>
      <w:lvlJc w:val="left"/>
      <w:pPr>
        <w:ind w:left="1169" w:hanging="540"/>
      </w:pPr>
      <w:rPr>
        <w:rFonts w:hint="default"/>
      </w:rPr>
    </w:lvl>
    <w:lvl w:ilvl="2">
      <w:start w:val="0"/>
      <w:numFmt w:val="bullet"/>
      <w:lvlText w:val="•"/>
      <w:lvlJc w:val="left"/>
      <w:pPr>
        <w:ind w:left="1738" w:hanging="540"/>
      </w:pPr>
      <w:rPr>
        <w:rFonts w:hint="default"/>
      </w:rPr>
    </w:lvl>
    <w:lvl w:ilvl="3">
      <w:start w:val="0"/>
      <w:numFmt w:val="bullet"/>
      <w:lvlText w:val="•"/>
      <w:lvlJc w:val="left"/>
      <w:pPr>
        <w:ind w:left="2307" w:hanging="540"/>
      </w:pPr>
      <w:rPr>
        <w:rFonts w:hint="default"/>
      </w:rPr>
    </w:lvl>
    <w:lvl w:ilvl="4">
      <w:start w:val="0"/>
      <w:numFmt w:val="bullet"/>
      <w:lvlText w:val="•"/>
      <w:lvlJc w:val="left"/>
      <w:pPr>
        <w:ind w:left="2876" w:hanging="540"/>
      </w:pPr>
      <w:rPr>
        <w:rFonts w:hint="default"/>
      </w:rPr>
    </w:lvl>
    <w:lvl w:ilvl="5">
      <w:start w:val="0"/>
      <w:numFmt w:val="bullet"/>
      <w:lvlText w:val="•"/>
      <w:lvlJc w:val="left"/>
      <w:pPr>
        <w:ind w:left="3446" w:hanging="540"/>
      </w:pPr>
      <w:rPr>
        <w:rFonts w:hint="default"/>
      </w:rPr>
    </w:lvl>
    <w:lvl w:ilvl="6">
      <w:start w:val="0"/>
      <w:numFmt w:val="bullet"/>
      <w:lvlText w:val="•"/>
      <w:lvlJc w:val="left"/>
      <w:pPr>
        <w:ind w:left="4015" w:hanging="540"/>
      </w:pPr>
      <w:rPr>
        <w:rFonts w:hint="default"/>
      </w:rPr>
    </w:lvl>
    <w:lvl w:ilvl="7">
      <w:start w:val="0"/>
      <w:numFmt w:val="bullet"/>
      <w:lvlText w:val="•"/>
      <w:lvlJc w:val="left"/>
      <w:pPr>
        <w:ind w:left="4584" w:hanging="540"/>
      </w:pPr>
      <w:rPr>
        <w:rFonts w:hint="default"/>
      </w:rPr>
    </w:lvl>
    <w:lvl w:ilvl="8">
      <w:start w:val="0"/>
      <w:numFmt w:val="bullet"/>
      <w:lvlText w:val="•"/>
      <w:lvlJc w:val="left"/>
      <w:pPr>
        <w:ind w:left="5153" w:hanging="540"/>
      </w:pPr>
      <w:rPr>
        <w:rFonts w:hint="default"/>
      </w:rPr>
    </w:lvl>
  </w:abstractNum>
  <w:abstractNum w:abstractNumId="34">
    <w:nsid w:val="534B4A02"/>
    <w:multiLevelType w:val="hybridMultilevel"/>
    <w:tmpl w:val="00000000"/>
    <w:lvl w:ilvl="0">
      <w:start w:val="0"/>
      <w:numFmt w:val="bullet"/>
      <w:lvlText w:val=""/>
      <w:lvlJc w:val="left"/>
      <w:pPr>
        <w:ind w:left="680" w:hanging="630"/>
      </w:pPr>
      <w:rPr>
        <w:rFonts w:ascii="Wingdings" w:eastAsia="Wingdings" w:hAnsi="Wingdings" w:cs="Wingdings" w:hint="default"/>
        <w:w w:val="100"/>
        <w:sz w:val="36"/>
        <w:szCs w:val="36"/>
      </w:rPr>
    </w:lvl>
    <w:lvl w:ilvl="1">
      <w:start w:val="0"/>
      <w:numFmt w:val="bullet"/>
      <w:lvlText w:val="•"/>
      <w:lvlJc w:val="left"/>
      <w:pPr>
        <w:ind w:left="1050" w:hanging="630"/>
      </w:pPr>
      <w:rPr>
        <w:rFonts w:hint="default"/>
      </w:rPr>
    </w:lvl>
    <w:lvl w:ilvl="2">
      <w:start w:val="0"/>
      <w:numFmt w:val="bullet"/>
      <w:lvlText w:val="•"/>
      <w:lvlJc w:val="left"/>
      <w:pPr>
        <w:ind w:left="1420" w:hanging="630"/>
      </w:pPr>
      <w:rPr>
        <w:rFonts w:hint="default"/>
      </w:rPr>
    </w:lvl>
    <w:lvl w:ilvl="3">
      <w:start w:val="0"/>
      <w:numFmt w:val="bullet"/>
      <w:lvlText w:val="•"/>
      <w:lvlJc w:val="left"/>
      <w:pPr>
        <w:ind w:left="1790" w:hanging="630"/>
      </w:pPr>
      <w:rPr>
        <w:rFonts w:hint="default"/>
      </w:rPr>
    </w:lvl>
    <w:lvl w:ilvl="4">
      <w:start w:val="0"/>
      <w:numFmt w:val="bullet"/>
      <w:lvlText w:val="•"/>
      <w:lvlJc w:val="left"/>
      <w:pPr>
        <w:ind w:left="2161" w:hanging="630"/>
      </w:pPr>
      <w:rPr>
        <w:rFonts w:hint="default"/>
      </w:rPr>
    </w:lvl>
    <w:lvl w:ilvl="5">
      <w:start w:val="0"/>
      <w:numFmt w:val="bullet"/>
      <w:lvlText w:val="•"/>
      <w:lvlJc w:val="left"/>
      <w:pPr>
        <w:ind w:left="2531" w:hanging="630"/>
      </w:pPr>
      <w:rPr>
        <w:rFonts w:hint="default"/>
      </w:rPr>
    </w:lvl>
    <w:lvl w:ilvl="6">
      <w:start w:val="0"/>
      <w:numFmt w:val="bullet"/>
      <w:lvlText w:val="•"/>
      <w:lvlJc w:val="left"/>
      <w:pPr>
        <w:ind w:left="2901" w:hanging="630"/>
      </w:pPr>
      <w:rPr>
        <w:rFonts w:hint="default"/>
      </w:rPr>
    </w:lvl>
    <w:lvl w:ilvl="7">
      <w:start w:val="0"/>
      <w:numFmt w:val="bullet"/>
      <w:lvlText w:val="•"/>
      <w:lvlJc w:val="left"/>
      <w:pPr>
        <w:ind w:left="3272" w:hanging="630"/>
      </w:pPr>
      <w:rPr>
        <w:rFonts w:hint="default"/>
      </w:rPr>
    </w:lvl>
    <w:lvl w:ilvl="8">
      <w:start w:val="0"/>
      <w:numFmt w:val="bullet"/>
      <w:lvlText w:val="•"/>
      <w:lvlJc w:val="left"/>
      <w:pPr>
        <w:ind w:left="3642" w:hanging="630"/>
      </w:pPr>
      <w:rPr>
        <w:rFonts w:hint="default"/>
      </w:rPr>
    </w:lvl>
  </w:abstractNum>
  <w:abstractNum w:abstractNumId="35">
    <w:nsid w:val="571C0995"/>
    <w:multiLevelType w:val="hybridMultilevel"/>
    <w:tmpl w:val="00000000"/>
    <w:lvl w:ilvl="0">
      <w:start w:val="3"/>
      <w:numFmt w:val="decimal"/>
      <w:lvlText w:val="%1"/>
      <w:lvlJc w:val="left"/>
      <w:pPr>
        <w:ind w:left="1158" w:hanging="851"/>
        <w:jc w:val="left"/>
      </w:pPr>
      <w:rPr>
        <w:rFonts w:hint="default"/>
      </w:rPr>
    </w:lvl>
    <w:lvl w:ilvl="1">
      <w:start w:val="1"/>
      <w:numFmt w:val="decimal"/>
      <w:lvlText w:val="%1.%2"/>
      <w:lvlJc w:val="left"/>
      <w:pPr>
        <w:ind w:left="1158" w:hanging="851"/>
        <w:jc w:val="right"/>
      </w:pPr>
      <w:rPr>
        <w:rFonts w:ascii="仿宋" w:eastAsia="仿宋" w:hAnsi="仿宋" w:cs="仿宋" w:hint="default"/>
        <w:b/>
        <w:bCs/>
        <w:w w:val="98"/>
        <w:sz w:val="48"/>
        <w:szCs w:val="48"/>
      </w:rPr>
    </w:lvl>
    <w:lvl w:ilvl="2">
      <w:start w:val="1"/>
      <w:numFmt w:val="decimal"/>
      <w:lvlText w:val="%1.%2.%3"/>
      <w:lvlJc w:val="left"/>
      <w:pPr>
        <w:ind w:left="1817" w:hanging="1513"/>
        <w:jc w:val="left"/>
      </w:pPr>
      <w:rPr>
        <w:rFonts w:ascii="仿宋" w:eastAsia="仿宋" w:hAnsi="仿宋" w:cs="仿宋" w:hint="default"/>
        <w:b/>
        <w:bCs/>
        <w:w w:val="99"/>
        <w:sz w:val="42"/>
        <w:szCs w:val="42"/>
      </w:rPr>
    </w:lvl>
    <w:lvl w:ilvl="3">
      <w:start w:val="1"/>
      <w:numFmt w:val="lowerLetter"/>
      <w:lvlText w:val="%4."/>
      <w:lvlJc w:val="left"/>
      <w:pPr>
        <w:ind w:left="2425" w:hanging="720"/>
        <w:jc w:val="left"/>
      </w:pPr>
      <w:rPr>
        <w:rFonts w:ascii="仿宋" w:eastAsia="仿宋" w:hAnsi="仿宋" w:cs="仿宋" w:hint="default"/>
        <w:w w:val="100"/>
        <w:sz w:val="36"/>
        <w:szCs w:val="36"/>
      </w:rPr>
    </w:lvl>
    <w:lvl w:ilvl="4">
      <w:start w:val="0"/>
      <w:numFmt w:val="bullet"/>
      <w:lvlText w:val="•"/>
      <w:lvlJc w:val="left"/>
      <w:pPr>
        <w:ind w:left="5690" w:hanging="720"/>
      </w:pPr>
      <w:rPr>
        <w:rFonts w:hint="default"/>
      </w:rPr>
    </w:lvl>
    <w:lvl w:ilvl="5">
      <w:start w:val="0"/>
      <w:numFmt w:val="bullet"/>
      <w:lvlText w:val="•"/>
      <w:lvlJc w:val="left"/>
      <w:pPr>
        <w:ind w:left="7326" w:hanging="720"/>
      </w:pPr>
      <w:rPr>
        <w:rFonts w:hint="default"/>
      </w:rPr>
    </w:lvl>
    <w:lvl w:ilvl="6">
      <w:start w:val="0"/>
      <w:numFmt w:val="bullet"/>
      <w:lvlText w:val="•"/>
      <w:lvlJc w:val="left"/>
      <w:pPr>
        <w:ind w:left="8961" w:hanging="720"/>
      </w:pPr>
      <w:rPr>
        <w:rFonts w:hint="default"/>
      </w:rPr>
    </w:lvl>
    <w:lvl w:ilvl="7">
      <w:start w:val="0"/>
      <w:numFmt w:val="bullet"/>
      <w:lvlText w:val="•"/>
      <w:lvlJc w:val="left"/>
      <w:pPr>
        <w:ind w:left="10597" w:hanging="720"/>
      </w:pPr>
      <w:rPr>
        <w:rFonts w:hint="default"/>
      </w:rPr>
    </w:lvl>
    <w:lvl w:ilvl="8">
      <w:start w:val="0"/>
      <w:numFmt w:val="bullet"/>
      <w:lvlText w:val="•"/>
      <w:lvlJc w:val="left"/>
      <w:pPr>
        <w:ind w:left="12232" w:hanging="720"/>
      </w:pPr>
      <w:rPr>
        <w:rFonts w:hint="default"/>
      </w:rPr>
    </w:lvl>
  </w:abstractNum>
  <w:abstractNum w:abstractNumId="36">
    <w:nsid w:val="5F04F2E5"/>
    <w:multiLevelType w:val="hybridMultilevel"/>
    <w:tmpl w:val="00000000"/>
    <w:lvl w:ilvl="0">
      <w:start w:val="3"/>
      <w:numFmt w:val="decimal"/>
      <w:lvlText w:val="%1"/>
      <w:lvlJc w:val="left"/>
      <w:pPr>
        <w:ind w:left="1583" w:hanging="1279"/>
        <w:jc w:val="left"/>
      </w:pPr>
      <w:rPr>
        <w:rFonts w:hint="default"/>
      </w:rPr>
    </w:lvl>
    <w:lvl w:ilvl="1">
      <w:start w:val="2"/>
      <w:numFmt w:val="decimal"/>
      <w:lvlText w:val="%1.%2"/>
      <w:lvlJc w:val="left"/>
      <w:pPr>
        <w:ind w:left="1583" w:hanging="1279"/>
        <w:jc w:val="right"/>
      </w:pPr>
      <w:rPr>
        <w:rFonts w:hint="default"/>
      </w:rPr>
    </w:lvl>
    <w:lvl w:ilvl="2">
      <w:start w:val="1"/>
      <w:numFmt w:val="decimal"/>
      <w:lvlText w:val="%1.%2.%3"/>
      <w:lvlJc w:val="left"/>
      <w:pPr>
        <w:ind w:left="1583" w:hanging="1279"/>
        <w:jc w:val="left"/>
      </w:pPr>
      <w:rPr>
        <w:rFonts w:ascii="仿宋" w:eastAsia="仿宋" w:hAnsi="仿宋" w:cs="仿宋" w:hint="default"/>
        <w:b/>
        <w:bCs/>
        <w:w w:val="99"/>
        <w:sz w:val="42"/>
        <w:szCs w:val="42"/>
      </w:rPr>
    </w:lvl>
    <w:lvl w:ilvl="3">
      <w:start w:val="1"/>
      <w:numFmt w:val="decimal"/>
      <w:lvlText w:val="%1.%2.%3.%4"/>
      <w:lvlJc w:val="left"/>
      <w:pPr>
        <w:ind w:left="2007" w:hanging="1700"/>
        <w:jc w:val="left"/>
      </w:pPr>
      <w:rPr>
        <w:rFonts w:ascii="仿宋" w:eastAsia="仿宋" w:hAnsi="仿宋" w:cs="仿宋" w:hint="default"/>
        <w:b/>
        <w:bCs/>
        <w:w w:val="99"/>
        <w:sz w:val="36"/>
        <w:szCs w:val="36"/>
      </w:rPr>
    </w:lvl>
    <w:lvl w:ilvl="4">
      <w:start w:val="0"/>
      <w:numFmt w:val="bullet"/>
      <w:lvlText w:val=""/>
      <w:lvlJc w:val="left"/>
      <w:pPr>
        <w:ind w:left="1518" w:hanging="540"/>
      </w:pPr>
      <w:rPr>
        <w:rFonts w:ascii="Wingdings" w:eastAsia="Wingdings" w:hAnsi="Wingdings" w:cs="Wingdings" w:hint="default"/>
        <w:w w:val="100"/>
        <w:sz w:val="36"/>
        <w:szCs w:val="36"/>
      </w:rPr>
    </w:lvl>
    <w:lvl w:ilvl="5">
      <w:start w:val="0"/>
      <w:numFmt w:val="bullet"/>
      <w:lvlText w:val="•"/>
      <w:lvlJc w:val="left"/>
      <w:pPr>
        <w:ind w:left="2440" w:hanging="540"/>
      </w:pPr>
      <w:rPr>
        <w:rFonts w:hint="default"/>
      </w:rPr>
    </w:lvl>
    <w:lvl w:ilvl="6">
      <w:start w:val="0"/>
      <w:numFmt w:val="bullet"/>
      <w:lvlText w:val="•"/>
      <w:lvlJc w:val="left"/>
      <w:pPr>
        <w:ind w:left="5052" w:hanging="540"/>
      </w:pPr>
      <w:rPr>
        <w:rFonts w:hint="default"/>
      </w:rPr>
    </w:lvl>
    <w:lvl w:ilvl="7">
      <w:start w:val="0"/>
      <w:numFmt w:val="bullet"/>
      <w:lvlText w:val="•"/>
      <w:lvlJc w:val="left"/>
      <w:pPr>
        <w:ind w:left="7665" w:hanging="540"/>
      </w:pPr>
      <w:rPr>
        <w:rFonts w:hint="default"/>
      </w:rPr>
    </w:lvl>
    <w:lvl w:ilvl="8">
      <w:start w:val="0"/>
      <w:numFmt w:val="bullet"/>
      <w:lvlText w:val="•"/>
      <w:lvlJc w:val="left"/>
      <w:pPr>
        <w:ind w:left="10277" w:hanging="540"/>
      </w:pPr>
      <w:rPr>
        <w:rFonts w:hint="default"/>
      </w:rPr>
    </w:lvl>
  </w:abstractNum>
  <w:abstractNum w:abstractNumId="37">
    <w:nsid w:val="5F701B3D"/>
    <w:multiLevelType w:val="hybridMultilevel"/>
    <w:tmpl w:val="00000000"/>
    <w:lvl w:ilvl="0">
      <w:start w:val="1"/>
      <w:numFmt w:val="lowerRoman"/>
      <w:lvlText w:val="(%1)"/>
      <w:lvlJc w:val="left"/>
      <w:pPr>
        <w:ind w:left="985" w:hanging="678"/>
        <w:jc w:val="left"/>
      </w:pPr>
      <w:rPr>
        <w:rFonts w:ascii="Arial" w:eastAsia="Arial" w:hAnsi="Arial" w:cs="Arial" w:hint="default"/>
        <w:w w:val="106"/>
        <w:sz w:val="36"/>
        <w:szCs w:val="36"/>
      </w:rPr>
    </w:lvl>
    <w:lvl w:ilvl="1">
      <w:start w:val="0"/>
      <w:numFmt w:val="bullet"/>
      <w:lvlText w:val="•"/>
      <w:lvlJc w:val="left"/>
      <w:pPr>
        <w:ind w:left="2432" w:hanging="678"/>
      </w:pPr>
      <w:rPr>
        <w:rFonts w:hint="default"/>
      </w:rPr>
    </w:lvl>
    <w:lvl w:ilvl="2">
      <w:start w:val="0"/>
      <w:numFmt w:val="bullet"/>
      <w:lvlText w:val="•"/>
      <w:lvlJc w:val="left"/>
      <w:pPr>
        <w:ind w:left="3884" w:hanging="678"/>
      </w:pPr>
      <w:rPr>
        <w:rFonts w:hint="default"/>
      </w:rPr>
    </w:lvl>
    <w:lvl w:ilvl="3">
      <w:start w:val="0"/>
      <w:numFmt w:val="bullet"/>
      <w:lvlText w:val="•"/>
      <w:lvlJc w:val="left"/>
      <w:pPr>
        <w:ind w:left="5336" w:hanging="678"/>
      </w:pPr>
      <w:rPr>
        <w:rFonts w:hint="default"/>
      </w:rPr>
    </w:lvl>
    <w:lvl w:ilvl="4">
      <w:start w:val="0"/>
      <w:numFmt w:val="bullet"/>
      <w:lvlText w:val="•"/>
      <w:lvlJc w:val="left"/>
      <w:pPr>
        <w:ind w:left="6789" w:hanging="678"/>
      </w:pPr>
      <w:rPr>
        <w:rFonts w:hint="default"/>
      </w:rPr>
    </w:lvl>
    <w:lvl w:ilvl="5">
      <w:start w:val="0"/>
      <w:numFmt w:val="bullet"/>
      <w:lvlText w:val="•"/>
      <w:lvlJc w:val="left"/>
      <w:pPr>
        <w:ind w:left="8241" w:hanging="678"/>
      </w:pPr>
      <w:rPr>
        <w:rFonts w:hint="default"/>
      </w:rPr>
    </w:lvl>
    <w:lvl w:ilvl="6">
      <w:start w:val="0"/>
      <w:numFmt w:val="bullet"/>
      <w:lvlText w:val="•"/>
      <w:lvlJc w:val="left"/>
      <w:pPr>
        <w:ind w:left="9693" w:hanging="678"/>
      </w:pPr>
      <w:rPr>
        <w:rFonts w:hint="default"/>
      </w:rPr>
    </w:lvl>
    <w:lvl w:ilvl="7">
      <w:start w:val="0"/>
      <w:numFmt w:val="bullet"/>
      <w:lvlText w:val="•"/>
      <w:lvlJc w:val="left"/>
      <w:pPr>
        <w:ind w:left="11146" w:hanging="678"/>
      </w:pPr>
      <w:rPr>
        <w:rFonts w:hint="default"/>
      </w:rPr>
    </w:lvl>
    <w:lvl w:ilvl="8">
      <w:start w:val="0"/>
      <w:numFmt w:val="bullet"/>
      <w:lvlText w:val="•"/>
      <w:lvlJc w:val="left"/>
      <w:pPr>
        <w:ind w:left="12598" w:hanging="678"/>
      </w:pPr>
      <w:rPr>
        <w:rFonts w:hint="default"/>
      </w:rPr>
    </w:lvl>
  </w:abstractNum>
  <w:abstractNum w:abstractNumId="38">
    <w:nsid w:val="5FBFE436"/>
    <w:multiLevelType w:val="hybridMultilevel"/>
    <w:tmpl w:val="00000000"/>
    <w:lvl w:ilvl="0">
      <w:start w:val="2"/>
      <w:numFmt w:val="decimal"/>
      <w:lvlText w:val="%1"/>
      <w:lvlJc w:val="left"/>
      <w:pPr>
        <w:ind w:left="1158" w:hanging="851"/>
        <w:jc w:val="left"/>
      </w:pPr>
      <w:rPr>
        <w:rFonts w:hint="default"/>
      </w:rPr>
    </w:lvl>
    <w:lvl w:ilvl="1">
      <w:start w:val="1"/>
      <w:numFmt w:val="decimal"/>
      <w:lvlText w:val="%1.%2"/>
      <w:lvlJc w:val="left"/>
      <w:pPr>
        <w:ind w:left="1158" w:hanging="851"/>
        <w:jc w:val="left"/>
      </w:pPr>
      <w:rPr>
        <w:rFonts w:ascii="仿宋" w:eastAsia="仿宋" w:hAnsi="仿宋" w:cs="仿宋" w:hint="default"/>
        <w:b/>
        <w:bCs/>
        <w:w w:val="98"/>
        <w:sz w:val="48"/>
        <w:szCs w:val="48"/>
      </w:rPr>
    </w:lvl>
    <w:lvl w:ilvl="2">
      <w:start w:val="1"/>
      <w:numFmt w:val="decimal"/>
      <w:lvlText w:val="%1.%2.%3"/>
      <w:lvlJc w:val="left"/>
      <w:pPr>
        <w:ind w:left="1583" w:hanging="1279"/>
        <w:jc w:val="left"/>
      </w:pPr>
      <w:rPr>
        <w:rFonts w:ascii="仿宋" w:eastAsia="仿宋" w:hAnsi="仿宋" w:cs="仿宋" w:hint="default"/>
        <w:b/>
        <w:bCs/>
        <w:w w:val="99"/>
        <w:sz w:val="42"/>
        <w:szCs w:val="42"/>
      </w:rPr>
    </w:lvl>
    <w:lvl w:ilvl="3">
      <w:start w:val="0"/>
      <w:numFmt w:val="bullet"/>
      <w:lvlText w:val=""/>
      <w:lvlJc w:val="left"/>
      <w:pPr>
        <w:ind w:left="985" w:hanging="540"/>
      </w:pPr>
      <w:rPr>
        <w:rFonts w:ascii="Symbol" w:eastAsia="Symbol" w:hAnsi="Symbol" w:cs="Symbol" w:hint="default"/>
        <w:w w:val="100"/>
        <w:sz w:val="36"/>
        <w:szCs w:val="36"/>
      </w:rPr>
    </w:lvl>
    <w:lvl w:ilvl="4">
      <w:start w:val="0"/>
      <w:numFmt w:val="bullet"/>
      <w:lvlText w:val="•"/>
      <w:lvlJc w:val="left"/>
      <w:pPr>
        <w:ind w:left="1800" w:hanging="540"/>
      </w:pPr>
      <w:rPr>
        <w:rFonts w:hint="default"/>
      </w:rPr>
    </w:lvl>
    <w:lvl w:ilvl="5">
      <w:start w:val="0"/>
      <w:numFmt w:val="bullet"/>
      <w:lvlText w:val="•"/>
      <w:lvlJc w:val="left"/>
      <w:pPr>
        <w:ind w:left="2120" w:hanging="540"/>
      </w:pPr>
      <w:rPr>
        <w:rFonts w:hint="default"/>
      </w:rPr>
    </w:lvl>
    <w:lvl w:ilvl="6">
      <w:start w:val="0"/>
      <w:numFmt w:val="bullet"/>
      <w:lvlText w:val="•"/>
      <w:lvlJc w:val="left"/>
      <w:pPr>
        <w:ind w:left="4796" w:hanging="540"/>
      </w:pPr>
      <w:rPr>
        <w:rFonts w:hint="default"/>
      </w:rPr>
    </w:lvl>
    <w:lvl w:ilvl="7">
      <w:start w:val="0"/>
      <w:numFmt w:val="bullet"/>
      <w:lvlText w:val="•"/>
      <w:lvlJc w:val="left"/>
      <w:pPr>
        <w:ind w:left="7473" w:hanging="540"/>
      </w:pPr>
      <w:rPr>
        <w:rFonts w:hint="default"/>
      </w:rPr>
    </w:lvl>
    <w:lvl w:ilvl="8">
      <w:start w:val="0"/>
      <w:numFmt w:val="bullet"/>
      <w:lvlText w:val="•"/>
      <w:lvlJc w:val="left"/>
      <w:pPr>
        <w:ind w:left="10149" w:hanging="540"/>
      </w:pPr>
      <w:rPr>
        <w:rFonts w:hint="default"/>
      </w:rPr>
    </w:lvl>
  </w:abstractNum>
  <w:abstractNum w:abstractNumId="39">
    <w:nsid w:val="604A24F8"/>
    <w:multiLevelType w:val="hybridMultilevel"/>
    <w:tmpl w:val="00000000"/>
    <w:lvl w:ilvl="0">
      <w:start w:val="1"/>
      <w:numFmt w:val="decimal"/>
      <w:lvlText w:val="(%1)"/>
      <w:lvlJc w:val="left"/>
      <w:pPr>
        <w:ind w:left="1647" w:hanging="670"/>
        <w:jc w:val="left"/>
      </w:pPr>
      <w:rPr>
        <w:rFonts w:ascii="幼圆" w:eastAsia="幼圆" w:hAnsi="幼圆" w:cs="幼圆" w:hint="default"/>
        <w:w w:val="100"/>
        <w:sz w:val="36"/>
        <w:szCs w:val="36"/>
      </w:rPr>
    </w:lvl>
    <w:lvl w:ilvl="1">
      <w:start w:val="0"/>
      <w:numFmt w:val="bullet"/>
      <w:lvlText w:val="•"/>
      <w:lvlJc w:val="left"/>
      <w:pPr>
        <w:ind w:left="3026" w:hanging="670"/>
      </w:pPr>
      <w:rPr>
        <w:rFonts w:hint="default"/>
      </w:rPr>
    </w:lvl>
    <w:lvl w:ilvl="2">
      <w:start w:val="0"/>
      <w:numFmt w:val="bullet"/>
      <w:lvlText w:val="•"/>
      <w:lvlJc w:val="left"/>
      <w:pPr>
        <w:ind w:left="4412" w:hanging="670"/>
      </w:pPr>
      <w:rPr>
        <w:rFonts w:hint="default"/>
      </w:rPr>
    </w:lvl>
    <w:lvl w:ilvl="3">
      <w:start w:val="0"/>
      <w:numFmt w:val="bullet"/>
      <w:lvlText w:val="•"/>
      <w:lvlJc w:val="left"/>
      <w:pPr>
        <w:ind w:left="5798" w:hanging="670"/>
      </w:pPr>
      <w:rPr>
        <w:rFonts w:hint="default"/>
      </w:rPr>
    </w:lvl>
    <w:lvl w:ilvl="4">
      <w:start w:val="0"/>
      <w:numFmt w:val="bullet"/>
      <w:lvlText w:val="•"/>
      <w:lvlJc w:val="left"/>
      <w:pPr>
        <w:ind w:left="7185" w:hanging="670"/>
      </w:pPr>
      <w:rPr>
        <w:rFonts w:hint="default"/>
      </w:rPr>
    </w:lvl>
    <w:lvl w:ilvl="5">
      <w:start w:val="0"/>
      <w:numFmt w:val="bullet"/>
      <w:lvlText w:val="•"/>
      <w:lvlJc w:val="left"/>
      <w:pPr>
        <w:ind w:left="8571" w:hanging="670"/>
      </w:pPr>
      <w:rPr>
        <w:rFonts w:hint="default"/>
      </w:rPr>
    </w:lvl>
    <w:lvl w:ilvl="6">
      <w:start w:val="0"/>
      <w:numFmt w:val="bullet"/>
      <w:lvlText w:val="•"/>
      <w:lvlJc w:val="left"/>
      <w:pPr>
        <w:ind w:left="9957" w:hanging="670"/>
      </w:pPr>
      <w:rPr>
        <w:rFonts w:hint="default"/>
      </w:rPr>
    </w:lvl>
    <w:lvl w:ilvl="7">
      <w:start w:val="0"/>
      <w:numFmt w:val="bullet"/>
      <w:lvlText w:val="•"/>
      <w:lvlJc w:val="left"/>
      <w:pPr>
        <w:ind w:left="11344" w:hanging="670"/>
      </w:pPr>
      <w:rPr>
        <w:rFonts w:hint="default"/>
      </w:rPr>
    </w:lvl>
    <w:lvl w:ilvl="8">
      <w:start w:val="0"/>
      <w:numFmt w:val="bullet"/>
      <w:lvlText w:val="•"/>
      <w:lvlJc w:val="left"/>
      <w:pPr>
        <w:ind w:left="12730" w:hanging="670"/>
      </w:pPr>
      <w:rPr>
        <w:rFonts w:hint="default"/>
      </w:rPr>
    </w:lvl>
  </w:abstractNum>
  <w:abstractNum w:abstractNumId="40">
    <w:nsid w:val="62B2ED09"/>
    <w:multiLevelType w:val="hybridMultilevel"/>
    <w:tmpl w:val="00000000"/>
    <w:lvl w:ilvl="0">
      <w:start w:val="0"/>
      <w:numFmt w:val="bullet"/>
      <w:lvlText w:val=""/>
      <w:lvlJc w:val="left"/>
      <w:pPr>
        <w:ind w:left="2468" w:hanging="648"/>
      </w:pPr>
      <w:rPr>
        <w:rFonts w:ascii="Symbol" w:eastAsia="Symbol" w:hAnsi="Symbol" w:cs="Symbol" w:hint="default"/>
        <w:w w:val="100"/>
        <w:sz w:val="36"/>
        <w:szCs w:val="36"/>
      </w:rPr>
    </w:lvl>
    <w:lvl w:ilvl="1">
      <w:start w:val="0"/>
      <w:numFmt w:val="bullet"/>
      <w:lvlText w:val="•"/>
      <w:lvlJc w:val="left"/>
      <w:pPr>
        <w:ind w:left="3764" w:hanging="648"/>
      </w:pPr>
      <w:rPr>
        <w:rFonts w:hint="default"/>
      </w:rPr>
    </w:lvl>
    <w:lvl w:ilvl="2">
      <w:start w:val="0"/>
      <w:numFmt w:val="bullet"/>
      <w:lvlText w:val="•"/>
      <w:lvlJc w:val="left"/>
      <w:pPr>
        <w:ind w:left="5068" w:hanging="648"/>
      </w:pPr>
      <w:rPr>
        <w:rFonts w:hint="default"/>
      </w:rPr>
    </w:lvl>
    <w:lvl w:ilvl="3">
      <w:start w:val="0"/>
      <w:numFmt w:val="bullet"/>
      <w:lvlText w:val="•"/>
      <w:lvlJc w:val="left"/>
      <w:pPr>
        <w:ind w:left="6372" w:hanging="648"/>
      </w:pPr>
      <w:rPr>
        <w:rFonts w:hint="default"/>
      </w:rPr>
    </w:lvl>
    <w:lvl w:ilvl="4">
      <w:start w:val="0"/>
      <w:numFmt w:val="bullet"/>
      <w:lvlText w:val="•"/>
      <w:lvlJc w:val="left"/>
      <w:pPr>
        <w:ind w:left="7677" w:hanging="648"/>
      </w:pPr>
      <w:rPr>
        <w:rFonts w:hint="default"/>
      </w:rPr>
    </w:lvl>
    <w:lvl w:ilvl="5">
      <w:start w:val="0"/>
      <w:numFmt w:val="bullet"/>
      <w:lvlText w:val="•"/>
      <w:lvlJc w:val="left"/>
      <w:pPr>
        <w:ind w:left="8981" w:hanging="648"/>
      </w:pPr>
      <w:rPr>
        <w:rFonts w:hint="default"/>
      </w:rPr>
    </w:lvl>
    <w:lvl w:ilvl="6">
      <w:start w:val="0"/>
      <w:numFmt w:val="bullet"/>
      <w:lvlText w:val="•"/>
      <w:lvlJc w:val="left"/>
      <w:pPr>
        <w:ind w:left="10285" w:hanging="648"/>
      </w:pPr>
      <w:rPr>
        <w:rFonts w:hint="default"/>
      </w:rPr>
    </w:lvl>
    <w:lvl w:ilvl="7">
      <w:start w:val="0"/>
      <w:numFmt w:val="bullet"/>
      <w:lvlText w:val="•"/>
      <w:lvlJc w:val="left"/>
      <w:pPr>
        <w:ind w:left="11590" w:hanging="648"/>
      </w:pPr>
      <w:rPr>
        <w:rFonts w:hint="default"/>
      </w:rPr>
    </w:lvl>
    <w:lvl w:ilvl="8">
      <w:start w:val="0"/>
      <w:numFmt w:val="bullet"/>
      <w:lvlText w:val="•"/>
      <w:lvlJc w:val="left"/>
      <w:pPr>
        <w:ind w:left="12894" w:hanging="648"/>
      </w:pPr>
      <w:rPr>
        <w:rFonts w:hint="default"/>
      </w:rPr>
    </w:lvl>
  </w:abstractNum>
  <w:abstractNum w:abstractNumId="41">
    <w:nsid w:val="630CEA21"/>
    <w:multiLevelType w:val="hybridMultilevel"/>
    <w:tmpl w:val="00000000"/>
    <w:lvl w:ilvl="0">
      <w:start w:val="3"/>
      <w:numFmt w:val="decimal"/>
      <w:lvlText w:val="%1"/>
      <w:lvlJc w:val="left"/>
      <w:pPr>
        <w:ind w:left="1158" w:hanging="851"/>
        <w:jc w:val="left"/>
      </w:pPr>
      <w:rPr>
        <w:rFonts w:hint="default"/>
      </w:rPr>
    </w:lvl>
    <w:lvl w:ilvl="1">
      <w:start w:val="1"/>
      <w:numFmt w:val="decimal"/>
      <w:lvlText w:val="%1.%2"/>
      <w:lvlJc w:val="left"/>
      <w:pPr>
        <w:ind w:left="1158" w:hanging="851"/>
        <w:jc w:val="right"/>
      </w:pPr>
      <w:rPr>
        <w:rFonts w:ascii="仿宋" w:eastAsia="仿宋" w:hAnsi="仿宋" w:cs="仿宋" w:hint="default"/>
        <w:b/>
        <w:bCs/>
        <w:w w:val="98"/>
        <w:sz w:val="48"/>
        <w:szCs w:val="48"/>
      </w:rPr>
    </w:lvl>
    <w:lvl w:ilvl="2">
      <w:start w:val="1"/>
      <w:numFmt w:val="decimal"/>
      <w:lvlText w:val="%1.%2.%3"/>
      <w:lvlJc w:val="left"/>
      <w:pPr>
        <w:ind w:left="1817" w:hanging="1513"/>
        <w:jc w:val="left"/>
      </w:pPr>
      <w:rPr>
        <w:rFonts w:ascii="仿宋" w:eastAsia="仿宋" w:hAnsi="仿宋" w:cs="仿宋" w:hint="default"/>
        <w:b/>
        <w:bCs/>
        <w:w w:val="99"/>
        <w:sz w:val="42"/>
        <w:szCs w:val="42"/>
      </w:rPr>
    </w:lvl>
    <w:lvl w:ilvl="3">
      <w:start w:val="1"/>
      <w:numFmt w:val="lowerLetter"/>
      <w:lvlText w:val="%4."/>
      <w:lvlJc w:val="left"/>
      <w:pPr>
        <w:ind w:left="2425" w:hanging="720"/>
        <w:jc w:val="left"/>
      </w:pPr>
      <w:rPr>
        <w:rFonts w:ascii="仿宋" w:eastAsia="仿宋" w:hAnsi="仿宋" w:cs="仿宋" w:hint="default"/>
        <w:w w:val="100"/>
        <w:sz w:val="36"/>
        <w:szCs w:val="36"/>
      </w:rPr>
    </w:lvl>
    <w:lvl w:ilvl="4">
      <w:start w:val="0"/>
      <w:numFmt w:val="bullet"/>
      <w:lvlText w:val="•"/>
      <w:lvlJc w:val="left"/>
      <w:pPr>
        <w:ind w:left="5690" w:hanging="720"/>
      </w:pPr>
      <w:rPr>
        <w:rFonts w:hint="default"/>
      </w:rPr>
    </w:lvl>
    <w:lvl w:ilvl="5">
      <w:start w:val="0"/>
      <w:numFmt w:val="bullet"/>
      <w:lvlText w:val="•"/>
      <w:lvlJc w:val="left"/>
      <w:pPr>
        <w:ind w:left="7326" w:hanging="720"/>
      </w:pPr>
      <w:rPr>
        <w:rFonts w:hint="default"/>
      </w:rPr>
    </w:lvl>
    <w:lvl w:ilvl="6">
      <w:start w:val="0"/>
      <w:numFmt w:val="bullet"/>
      <w:lvlText w:val="•"/>
      <w:lvlJc w:val="left"/>
      <w:pPr>
        <w:ind w:left="8961" w:hanging="720"/>
      </w:pPr>
      <w:rPr>
        <w:rFonts w:hint="default"/>
      </w:rPr>
    </w:lvl>
    <w:lvl w:ilvl="7">
      <w:start w:val="0"/>
      <w:numFmt w:val="bullet"/>
      <w:lvlText w:val="•"/>
      <w:lvlJc w:val="left"/>
      <w:pPr>
        <w:ind w:left="10597" w:hanging="720"/>
      </w:pPr>
      <w:rPr>
        <w:rFonts w:hint="default"/>
      </w:rPr>
    </w:lvl>
    <w:lvl w:ilvl="8">
      <w:start w:val="0"/>
      <w:numFmt w:val="bullet"/>
      <w:lvlText w:val="•"/>
      <w:lvlJc w:val="left"/>
      <w:pPr>
        <w:ind w:left="12232" w:hanging="720"/>
      </w:pPr>
      <w:rPr>
        <w:rFonts w:hint="default"/>
      </w:rPr>
    </w:lvl>
  </w:abstractNum>
  <w:abstractNum w:abstractNumId="42">
    <w:nsid w:val="65DA31C5"/>
    <w:multiLevelType w:val="hybridMultilevel"/>
    <w:tmpl w:val="00000000"/>
    <w:lvl w:ilvl="0">
      <w:start w:val="0"/>
      <w:numFmt w:val="bullet"/>
      <w:lvlText w:val=""/>
      <w:lvlJc w:val="left"/>
      <w:pPr>
        <w:ind w:left="590" w:hanging="540"/>
      </w:pPr>
      <w:rPr>
        <w:rFonts w:ascii="Symbol" w:eastAsia="Symbol" w:hAnsi="Symbol" w:cs="Symbol" w:hint="default"/>
        <w:w w:val="100"/>
        <w:sz w:val="36"/>
        <w:szCs w:val="36"/>
      </w:rPr>
    </w:lvl>
    <w:lvl w:ilvl="1">
      <w:start w:val="0"/>
      <w:numFmt w:val="bullet"/>
      <w:lvlText w:val="•"/>
      <w:lvlJc w:val="left"/>
      <w:pPr>
        <w:ind w:left="1169" w:hanging="540"/>
      </w:pPr>
      <w:rPr>
        <w:rFonts w:hint="default"/>
      </w:rPr>
    </w:lvl>
    <w:lvl w:ilvl="2">
      <w:start w:val="0"/>
      <w:numFmt w:val="bullet"/>
      <w:lvlText w:val="•"/>
      <w:lvlJc w:val="left"/>
      <w:pPr>
        <w:ind w:left="1738" w:hanging="540"/>
      </w:pPr>
      <w:rPr>
        <w:rFonts w:hint="default"/>
      </w:rPr>
    </w:lvl>
    <w:lvl w:ilvl="3">
      <w:start w:val="0"/>
      <w:numFmt w:val="bullet"/>
      <w:lvlText w:val="•"/>
      <w:lvlJc w:val="left"/>
      <w:pPr>
        <w:ind w:left="2307" w:hanging="540"/>
      </w:pPr>
      <w:rPr>
        <w:rFonts w:hint="default"/>
      </w:rPr>
    </w:lvl>
    <w:lvl w:ilvl="4">
      <w:start w:val="0"/>
      <w:numFmt w:val="bullet"/>
      <w:lvlText w:val="•"/>
      <w:lvlJc w:val="left"/>
      <w:pPr>
        <w:ind w:left="2876" w:hanging="540"/>
      </w:pPr>
      <w:rPr>
        <w:rFonts w:hint="default"/>
      </w:rPr>
    </w:lvl>
    <w:lvl w:ilvl="5">
      <w:start w:val="0"/>
      <w:numFmt w:val="bullet"/>
      <w:lvlText w:val="•"/>
      <w:lvlJc w:val="left"/>
      <w:pPr>
        <w:ind w:left="3446" w:hanging="540"/>
      </w:pPr>
      <w:rPr>
        <w:rFonts w:hint="default"/>
      </w:rPr>
    </w:lvl>
    <w:lvl w:ilvl="6">
      <w:start w:val="0"/>
      <w:numFmt w:val="bullet"/>
      <w:lvlText w:val="•"/>
      <w:lvlJc w:val="left"/>
      <w:pPr>
        <w:ind w:left="4015" w:hanging="540"/>
      </w:pPr>
      <w:rPr>
        <w:rFonts w:hint="default"/>
      </w:rPr>
    </w:lvl>
    <w:lvl w:ilvl="7">
      <w:start w:val="0"/>
      <w:numFmt w:val="bullet"/>
      <w:lvlText w:val="•"/>
      <w:lvlJc w:val="left"/>
      <w:pPr>
        <w:ind w:left="4584" w:hanging="540"/>
      </w:pPr>
      <w:rPr>
        <w:rFonts w:hint="default"/>
      </w:rPr>
    </w:lvl>
    <w:lvl w:ilvl="8">
      <w:start w:val="0"/>
      <w:numFmt w:val="bullet"/>
      <w:lvlText w:val="•"/>
      <w:lvlJc w:val="left"/>
      <w:pPr>
        <w:ind w:left="5153" w:hanging="540"/>
      </w:pPr>
      <w:rPr>
        <w:rFonts w:hint="default"/>
      </w:rPr>
    </w:lvl>
  </w:abstractNum>
  <w:abstractNum w:abstractNumId="43">
    <w:nsid w:val="67F3C1E9"/>
    <w:multiLevelType w:val="hybridMultilevel"/>
    <w:tmpl w:val="00000000"/>
    <w:lvl w:ilvl="0">
      <w:start w:val="6"/>
      <w:numFmt w:val="decimal"/>
      <w:lvlText w:val="%1"/>
      <w:lvlJc w:val="left"/>
      <w:pPr>
        <w:ind w:left="1583" w:hanging="1279"/>
        <w:jc w:val="left"/>
      </w:pPr>
      <w:rPr>
        <w:rFonts w:hint="default"/>
      </w:rPr>
    </w:lvl>
    <w:lvl w:ilvl="1">
      <w:start w:val="1"/>
      <w:numFmt w:val="decimal"/>
      <w:lvlText w:val="%1.%2"/>
      <w:lvlJc w:val="left"/>
      <w:pPr>
        <w:ind w:left="1583" w:hanging="1279"/>
        <w:jc w:val="left"/>
      </w:pPr>
      <w:rPr>
        <w:rFonts w:ascii="仿宋" w:eastAsia="仿宋" w:hAnsi="仿宋" w:cs="仿宋" w:hint="default"/>
        <w:b/>
        <w:bCs/>
        <w:w w:val="98"/>
        <w:sz w:val="48"/>
        <w:szCs w:val="48"/>
      </w:rPr>
    </w:lvl>
    <w:lvl w:ilvl="2">
      <w:start w:val="0"/>
      <w:numFmt w:val="bullet"/>
      <w:lvlText w:val=""/>
      <w:lvlJc w:val="left"/>
      <w:pPr>
        <w:ind w:left="1583" w:hanging="421"/>
      </w:pPr>
      <w:rPr>
        <w:rFonts w:ascii="Symbol" w:eastAsia="Symbol" w:hAnsi="Symbol" w:cs="Symbol" w:hint="default"/>
        <w:w w:val="100"/>
        <w:sz w:val="36"/>
        <w:szCs w:val="36"/>
      </w:rPr>
    </w:lvl>
    <w:lvl w:ilvl="3">
      <w:start w:val="0"/>
      <w:numFmt w:val="bullet"/>
      <w:lvlText w:val="-"/>
      <w:lvlJc w:val="left"/>
      <w:pPr>
        <w:ind w:left="1928" w:hanging="677"/>
      </w:pPr>
      <w:rPr>
        <w:rFonts w:ascii="Times New Roman" w:eastAsia="Times New Roman" w:hAnsi="Times New Roman" w:cs="Times New Roman" w:hint="default"/>
        <w:w w:val="99"/>
        <w:sz w:val="36"/>
        <w:szCs w:val="36"/>
      </w:rPr>
    </w:lvl>
    <w:lvl w:ilvl="4">
      <w:start w:val="0"/>
      <w:numFmt w:val="bullet"/>
      <w:lvlText w:val="•"/>
      <w:lvlJc w:val="left"/>
      <w:pPr>
        <w:ind w:left="4031" w:hanging="677"/>
      </w:pPr>
      <w:rPr>
        <w:rFonts w:hint="default"/>
      </w:rPr>
    </w:lvl>
    <w:lvl w:ilvl="5">
      <w:start w:val="0"/>
      <w:numFmt w:val="bullet"/>
      <w:lvlText w:val="•"/>
      <w:lvlJc w:val="left"/>
      <w:pPr>
        <w:ind w:left="5943" w:hanging="677"/>
      </w:pPr>
      <w:rPr>
        <w:rFonts w:hint="default"/>
      </w:rPr>
    </w:lvl>
    <w:lvl w:ilvl="6">
      <w:start w:val="0"/>
      <w:numFmt w:val="bullet"/>
      <w:lvlText w:val="•"/>
      <w:lvlJc w:val="left"/>
      <w:pPr>
        <w:ind w:left="7855" w:hanging="677"/>
      </w:pPr>
      <w:rPr>
        <w:rFonts w:hint="default"/>
      </w:rPr>
    </w:lvl>
    <w:lvl w:ilvl="7">
      <w:start w:val="0"/>
      <w:numFmt w:val="bullet"/>
      <w:lvlText w:val="•"/>
      <w:lvlJc w:val="left"/>
      <w:pPr>
        <w:ind w:left="9767" w:hanging="677"/>
      </w:pPr>
      <w:rPr>
        <w:rFonts w:hint="default"/>
      </w:rPr>
    </w:lvl>
    <w:lvl w:ilvl="8">
      <w:start w:val="0"/>
      <w:numFmt w:val="bullet"/>
      <w:lvlText w:val="•"/>
      <w:lvlJc w:val="left"/>
      <w:pPr>
        <w:ind w:left="11679" w:hanging="677"/>
      </w:pPr>
      <w:rPr>
        <w:rFonts w:hint="default"/>
      </w:rPr>
    </w:lvl>
  </w:abstractNum>
  <w:abstractNum w:abstractNumId="44">
    <w:nsid w:val="6E417A4A"/>
    <w:multiLevelType w:val="hybridMultilevel"/>
    <w:tmpl w:val="00000000"/>
    <w:lvl w:ilvl="0">
      <w:start w:val="0"/>
      <w:numFmt w:val="bullet"/>
      <w:lvlText w:val=""/>
      <w:lvlJc w:val="left"/>
      <w:pPr>
        <w:ind w:left="2123" w:hanging="1145"/>
      </w:pPr>
      <w:rPr>
        <w:rFonts w:ascii="Symbol" w:eastAsia="Symbol" w:hAnsi="Symbol" w:cs="Symbol" w:hint="default"/>
        <w:w w:val="100"/>
        <w:sz w:val="36"/>
        <w:szCs w:val="36"/>
      </w:rPr>
    </w:lvl>
    <w:lvl w:ilvl="1">
      <w:start w:val="0"/>
      <w:numFmt w:val="bullet"/>
      <w:lvlText w:val=""/>
      <w:lvlJc w:val="left"/>
      <w:pPr>
        <w:ind w:left="3548" w:hanging="540"/>
      </w:pPr>
      <w:rPr>
        <w:rFonts w:ascii="Wingdings" w:eastAsia="Wingdings" w:hAnsi="Wingdings" w:cs="Wingdings" w:hint="default"/>
        <w:w w:val="100"/>
        <w:sz w:val="36"/>
        <w:szCs w:val="36"/>
      </w:rPr>
    </w:lvl>
    <w:lvl w:ilvl="2">
      <w:start w:val="0"/>
      <w:numFmt w:val="bullet"/>
      <w:lvlText w:val="•"/>
      <w:lvlJc w:val="left"/>
      <w:pPr>
        <w:ind w:left="4869" w:hanging="540"/>
      </w:pPr>
      <w:rPr>
        <w:rFonts w:hint="default"/>
      </w:rPr>
    </w:lvl>
    <w:lvl w:ilvl="3">
      <w:start w:val="0"/>
      <w:numFmt w:val="bullet"/>
      <w:lvlText w:val="•"/>
      <w:lvlJc w:val="left"/>
      <w:pPr>
        <w:ind w:left="6198" w:hanging="540"/>
      </w:pPr>
      <w:rPr>
        <w:rFonts w:hint="default"/>
      </w:rPr>
    </w:lvl>
    <w:lvl w:ilvl="4">
      <w:start w:val="0"/>
      <w:numFmt w:val="bullet"/>
      <w:lvlText w:val="•"/>
      <w:lvlJc w:val="left"/>
      <w:pPr>
        <w:ind w:left="7527" w:hanging="540"/>
      </w:pPr>
      <w:rPr>
        <w:rFonts w:hint="default"/>
      </w:rPr>
    </w:lvl>
    <w:lvl w:ilvl="5">
      <w:start w:val="0"/>
      <w:numFmt w:val="bullet"/>
      <w:lvlText w:val="•"/>
      <w:lvlJc w:val="left"/>
      <w:pPr>
        <w:ind w:left="8856" w:hanging="540"/>
      </w:pPr>
      <w:rPr>
        <w:rFonts w:hint="default"/>
      </w:rPr>
    </w:lvl>
    <w:lvl w:ilvl="6">
      <w:start w:val="0"/>
      <w:numFmt w:val="bullet"/>
      <w:lvlText w:val="•"/>
      <w:lvlJc w:val="left"/>
      <w:pPr>
        <w:ind w:left="10186" w:hanging="540"/>
      </w:pPr>
      <w:rPr>
        <w:rFonts w:hint="default"/>
      </w:rPr>
    </w:lvl>
    <w:lvl w:ilvl="7">
      <w:start w:val="0"/>
      <w:numFmt w:val="bullet"/>
      <w:lvlText w:val="•"/>
      <w:lvlJc w:val="left"/>
      <w:pPr>
        <w:ind w:left="11515" w:hanging="540"/>
      </w:pPr>
      <w:rPr>
        <w:rFonts w:hint="default"/>
      </w:rPr>
    </w:lvl>
    <w:lvl w:ilvl="8">
      <w:start w:val="0"/>
      <w:numFmt w:val="bullet"/>
      <w:lvlText w:val="•"/>
      <w:lvlJc w:val="left"/>
      <w:pPr>
        <w:ind w:left="12844" w:hanging="540"/>
      </w:pPr>
      <w:rPr>
        <w:rFonts w:hint="default"/>
      </w:rPr>
    </w:lvl>
  </w:abstractNum>
  <w:abstractNum w:abstractNumId="45">
    <w:nsid w:val="70C99D8D"/>
    <w:multiLevelType w:val="hybridMultilevel"/>
    <w:tmpl w:val="00000000"/>
    <w:lvl w:ilvl="0">
      <w:start w:val="0"/>
      <w:numFmt w:val="bullet"/>
      <w:lvlText w:val=""/>
      <w:lvlJc w:val="left"/>
      <w:pPr>
        <w:ind w:left="2065" w:hanging="540"/>
      </w:pPr>
      <w:rPr>
        <w:rFonts w:ascii="Symbol" w:eastAsia="Symbol" w:hAnsi="Symbol" w:cs="Symbol" w:hint="default"/>
        <w:w w:val="100"/>
        <w:sz w:val="36"/>
        <w:szCs w:val="36"/>
      </w:rPr>
    </w:lvl>
    <w:lvl w:ilvl="1">
      <w:start w:val="0"/>
      <w:numFmt w:val="bullet"/>
      <w:lvlText w:val="•"/>
      <w:lvlJc w:val="left"/>
      <w:pPr>
        <w:ind w:left="3404" w:hanging="540"/>
      </w:pPr>
      <w:rPr>
        <w:rFonts w:hint="default"/>
      </w:rPr>
    </w:lvl>
    <w:lvl w:ilvl="2">
      <w:start w:val="0"/>
      <w:numFmt w:val="bullet"/>
      <w:lvlText w:val="•"/>
      <w:lvlJc w:val="left"/>
      <w:pPr>
        <w:ind w:left="4748" w:hanging="540"/>
      </w:pPr>
      <w:rPr>
        <w:rFonts w:hint="default"/>
      </w:rPr>
    </w:lvl>
    <w:lvl w:ilvl="3">
      <w:start w:val="0"/>
      <w:numFmt w:val="bullet"/>
      <w:lvlText w:val="•"/>
      <w:lvlJc w:val="left"/>
      <w:pPr>
        <w:ind w:left="6092" w:hanging="540"/>
      </w:pPr>
      <w:rPr>
        <w:rFonts w:hint="default"/>
      </w:rPr>
    </w:lvl>
    <w:lvl w:ilvl="4">
      <w:start w:val="0"/>
      <w:numFmt w:val="bullet"/>
      <w:lvlText w:val="•"/>
      <w:lvlJc w:val="left"/>
      <w:pPr>
        <w:ind w:left="7437" w:hanging="540"/>
      </w:pPr>
      <w:rPr>
        <w:rFonts w:hint="default"/>
      </w:rPr>
    </w:lvl>
    <w:lvl w:ilvl="5">
      <w:start w:val="0"/>
      <w:numFmt w:val="bullet"/>
      <w:lvlText w:val="•"/>
      <w:lvlJc w:val="left"/>
      <w:pPr>
        <w:ind w:left="8781" w:hanging="540"/>
      </w:pPr>
      <w:rPr>
        <w:rFonts w:hint="default"/>
      </w:rPr>
    </w:lvl>
    <w:lvl w:ilvl="6">
      <w:start w:val="0"/>
      <w:numFmt w:val="bullet"/>
      <w:lvlText w:val="•"/>
      <w:lvlJc w:val="left"/>
      <w:pPr>
        <w:ind w:left="10125" w:hanging="540"/>
      </w:pPr>
      <w:rPr>
        <w:rFonts w:hint="default"/>
      </w:rPr>
    </w:lvl>
    <w:lvl w:ilvl="7">
      <w:start w:val="0"/>
      <w:numFmt w:val="bullet"/>
      <w:lvlText w:val="•"/>
      <w:lvlJc w:val="left"/>
      <w:pPr>
        <w:ind w:left="11470" w:hanging="540"/>
      </w:pPr>
      <w:rPr>
        <w:rFonts w:hint="default"/>
      </w:rPr>
    </w:lvl>
    <w:lvl w:ilvl="8">
      <w:start w:val="0"/>
      <w:numFmt w:val="bullet"/>
      <w:lvlText w:val="•"/>
      <w:lvlJc w:val="left"/>
      <w:pPr>
        <w:ind w:left="12814" w:hanging="540"/>
      </w:pPr>
      <w:rPr>
        <w:rFonts w:hint="default"/>
      </w:rPr>
    </w:lvl>
  </w:abstractNum>
  <w:abstractNum w:abstractNumId="46">
    <w:nsid w:val="741FC005"/>
    <w:multiLevelType w:val="hybridMultilevel"/>
    <w:tmpl w:val="00000000"/>
    <w:lvl w:ilvl="0">
      <w:start w:val="12"/>
      <w:numFmt w:val="decimal"/>
      <w:lvlText w:val="(%1)"/>
      <w:lvlJc w:val="left"/>
      <w:pPr>
        <w:ind w:left="4532" w:hanging="700"/>
        <w:jc w:val="right"/>
      </w:pPr>
      <w:rPr>
        <w:rFonts w:ascii="Tahoma" w:eastAsia="Tahoma" w:hAnsi="Tahoma" w:cs="Tahoma" w:hint="default"/>
        <w:spacing w:val="-1"/>
        <w:w w:val="102"/>
        <w:sz w:val="24"/>
        <w:szCs w:val="24"/>
      </w:rPr>
    </w:lvl>
    <w:lvl w:ilvl="1">
      <w:start w:val="0"/>
      <w:numFmt w:val="bullet"/>
      <w:lvlText w:val="•"/>
      <w:lvlJc w:val="left"/>
      <w:pPr>
        <w:ind w:left="4599" w:hanging="700"/>
      </w:pPr>
      <w:rPr>
        <w:rFonts w:hint="default"/>
      </w:rPr>
    </w:lvl>
    <w:lvl w:ilvl="2">
      <w:start w:val="0"/>
      <w:numFmt w:val="bullet"/>
      <w:lvlText w:val="•"/>
      <w:lvlJc w:val="left"/>
      <w:pPr>
        <w:ind w:left="4659" w:hanging="700"/>
      </w:pPr>
      <w:rPr>
        <w:rFonts w:hint="default"/>
      </w:rPr>
    </w:lvl>
    <w:lvl w:ilvl="3">
      <w:start w:val="0"/>
      <w:numFmt w:val="bullet"/>
      <w:lvlText w:val="•"/>
      <w:lvlJc w:val="left"/>
      <w:pPr>
        <w:ind w:left="4718" w:hanging="700"/>
      </w:pPr>
      <w:rPr>
        <w:rFonts w:hint="default"/>
      </w:rPr>
    </w:lvl>
    <w:lvl w:ilvl="4">
      <w:start w:val="0"/>
      <w:numFmt w:val="bullet"/>
      <w:lvlText w:val="•"/>
      <w:lvlJc w:val="left"/>
      <w:pPr>
        <w:ind w:left="4778" w:hanging="700"/>
      </w:pPr>
      <w:rPr>
        <w:rFonts w:hint="default"/>
      </w:rPr>
    </w:lvl>
    <w:lvl w:ilvl="5">
      <w:start w:val="0"/>
      <w:numFmt w:val="bullet"/>
      <w:lvlText w:val="•"/>
      <w:lvlJc w:val="left"/>
      <w:pPr>
        <w:ind w:left="4838" w:hanging="700"/>
      </w:pPr>
      <w:rPr>
        <w:rFonts w:hint="default"/>
      </w:rPr>
    </w:lvl>
    <w:lvl w:ilvl="6">
      <w:start w:val="0"/>
      <w:numFmt w:val="bullet"/>
      <w:lvlText w:val="•"/>
      <w:lvlJc w:val="left"/>
      <w:pPr>
        <w:ind w:left="4897" w:hanging="700"/>
      </w:pPr>
      <w:rPr>
        <w:rFonts w:hint="default"/>
      </w:rPr>
    </w:lvl>
    <w:lvl w:ilvl="7">
      <w:start w:val="0"/>
      <w:numFmt w:val="bullet"/>
      <w:lvlText w:val="•"/>
      <w:lvlJc w:val="left"/>
      <w:pPr>
        <w:ind w:left="4957" w:hanging="700"/>
      </w:pPr>
      <w:rPr>
        <w:rFonts w:hint="default"/>
      </w:rPr>
    </w:lvl>
    <w:lvl w:ilvl="8">
      <w:start w:val="0"/>
      <w:numFmt w:val="bullet"/>
      <w:lvlText w:val="•"/>
      <w:lvlJc w:val="left"/>
      <w:pPr>
        <w:ind w:left="5016" w:hanging="700"/>
      </w:pPr>
      <w:rPr>
        <w:rFonts w:hint="default"/>
      </w:rPr>
    </w:lvl>
  </w:abstractNum>
  <w:abstractNum w:abstractNumId="47">
    <w:nsid w:val="75905DC5"/>
    <w:multiLevelType w:val="hybridMultilevel"/>
    <w:tmpl w:val="00000000"/>
    <w:lvl w:ilvl="0">
      <w:start w:val="5"/>
      <w:numFmt w:val="decimal"/>
      <w:lvlText w:val="%1"/>
      <w:lvlJc w:val="left"/>
      <w:pPr>
        <w:ind w:left="1928" w:hanging="1080"/>
        <w:jc w:val="left"/>
      </w:pPr>
      <w:rPr>
        <w:rFonts w:hint="default"/>
      </w:rPr>
    </w:lvl>
    <w:lvl w:ilvl="1">
      <w:start w:val="2"/>
      <w:numFmt w:val="decimal"/>
      <w:lvlText w:val="%1.%2"/>
      <w:lvlJc w:val="left"/>
      <w:pPr>
        <w:ind w:left="1928" w:hanging="1080"/>
        <w:jc w:val="left"/>
      </w:pPr>
      <w:rPr>
        <w:rFonts w:hint="default"/>
      </w:rPr>
    </w:lvl>
    <w:lvl w:ilvl="2">
      <w:start w:val="1"/>
      <w:numFmt w:val="decimal"/>
      <w:lvlText w:val="%1.%2.%3"/>
      <w:lvlJc w:val="left"/>
      <w:pPr>
        <w:ind w:left="1928" w:hanging="1080"/>
        <w:jc w:val="left"/>
      </w:pPr>
      <w:rPr>
        <w:rFonts w:ascii="仿宋" w:eastAsia="仿宋" w:hAnsi="仿宋" w:cs="仿宋" w:hint="default"/>
        <w:b/>
        <w:bCs/>
        <w:w w:val="99"/>
        <w:sz w:val="42"/>
        <w:szCs w:val="42"/>
      </w:rPr>
    </w:lvl>
    <w:lvl w:ilvl="3">
      <w:start w:val="0"/>
      <w:numFmt w:val="bullet"/>
      <w:lvlText w:val=""/>
      <w:lvlJc w:val="left"/>
      <w:pPr>
        <w:ind w:left="2468" w:hanging="648"/>
      </w:pPr>
      <w:rPr>
        <w:rFonts w:ascii="Symbol" w:eastAsia="Symbol" w:hAnsi="Symbol" w:cs="Symbol" w:hint="default"/>
        <w:w w:val="100"/>
        <w:sz w:val="36"/>
        <w:szCs w:val="36"/>
      </w:rPr>
    </w:lvl>
    <w:lvl w:ilvl="4">
      <w:start w:val="0"/>
      <w:numFmt w:val="bullet"/>
      <w:lvlText w:val="•"/>
      <w:lvlJc w:val="left"/>
      <w:pPr>
        <w:ind w:left="6807" w:hanging="648"/>
      </w:pPr>
      <w:rPr>
        <w:rFonts w:hint="default"/>
      </w:rPr>
    </w:lvl>
    <w:lvl w:ilvl="5">
      <w:start w:val="0"/>
      <w:numFmt w:val="bullet"/>
      <w:lvlText w:val="•"/>
      <w:lvlJc w:val="left"/>
      <w:pPr>
        <w:ind w:left="8256" w:hanging="648"/>
      </w:pPr>
      <w:rPr>
        <w:rFonts w:hint="default"/>
      </w:rPr>
    </w:lvl>
    <w:lvl w:ilvl="6">
      <w:start w:val="0"/>
      <w:numFmt w:val="bullet"/>
      <w:lvlText w:val="•"/>
      <w:lvlJc w:val="left"/>
      <w:pPr>
        <w:ind w:left="9706" w:hanging="648"/>
      </w:pPr>
      <w:rPr>
        <w:rFonts w:hint="default"/>
      </w:rPr>
    </w:lvl>
    <w:lvl w:ilvl="7">
      <w:start w:val="0"/>
      <w:numFmt w:val="bullet"/>
      <w:lvlText w:val="•"/>
      <w:lvlJc w:val="left"/>
      <w:pPr>
        <w:ind w:left="11155" w:hanging="648"/>
      </w:pPr>
      <w:rPr>
        <w:rFonts w:hint="default"/>
      </w:rPr>
    </w:lvl>
    <w:lvl w:ilvl="8">
      <w:start w:val="0"/>
      <w:numFmt w:val="bullet"/>
      <w:lvlText w:val="•"/>
      <w:lvlJc w:val="left"/>
      <w:pPr>
        <w:ind w:left="12604" w:hanging="648"/>
      </w:pPr>
      <w:rPr>
        <w:rFonts w:hint="default"/>
      </w:rPr>
    </w:lvl>
  </w:abstractNum>
  <w:abstractNum w:abstractNumId="48">
    <w:nsid w:val="769383F4"/>
    <w:multiLevelType w:val="hybridMultilevel"/>
    <w:tmpl w:val="00000000"/>
    <w:lvl w:ilvl="0">
      <w:start w:val="1"/>
      <w:numFmt w:val="decimal"/>
      <w:lvlText w:val="%1."/>
      <w:lvlJc w:val="left"/>
      <w:pPr>
        <w:ind w:left="848" w:hanging="541"/>
        <w:jc w:val="left"/>
      </w:pPr>
      <w:rPr>
        <w:rFonts w:ascii="宋体" w:eastAsia="宋体" w:hAnsi="宋体" w:cs="宋体" w:hint="default"/>
        <w:w w:val="100"/>
        <w:sz w:val="36"/>
        <w:szCs w:val="36"/>
      </w:rPr>
    </w:lvl>
    <w:lvl w:ilvl="1">
      <w:start w:val="0"/>
      <w:numFmt w:val="bullet"/>
      <w:lvlText w:val="•"/>
      <w:lvlJc w:val="left"/>
      <w:pPr>
        <w:ind w:left="2306" w:hanging="541"/>
      </w:pPr>
      <w:rPr>
        <w:rFonts w:hint="default"/>
      </w:rPr>
    </w:lvl>
    <w:lvl w:ilvl="2">
      <w:start w:val="0"/>
      <w:numFmt w:val="bullet"/>
      <w:lvlText w:val="•"/>
      <w:lvlJc w:val="left"/>
      <w:pPr>
        <w:ind w:left="3772" w:hanging="541"/>
      </w:pPr>
      <w:rPr>
        <w:rFonts w:hint="default"/>
      </w:rPr>
    </w:lvl>
    <w:lvl w:ilvl="3">
      <w:start w:val="0"/>
      <w:numFmt w:val="bullet"/>
      <w:lvlText w:val="•"/>
      <w:lvlJc w:val="left"/>
      <w:pPr>
        <w:ind w:left="5238" w:hanging="541"/>
      </w:pPr>
      <w:rPr>
        <w:rFonts w:hint="default"/>
      </w:rPr>
    </w:lvl>
    <w:lvl w:ilvl="4">
      <w:start w:val="0"/>
      <w:numFmt w:val="bullet"/>
      <w:lvlText w:val="•"/>
      <w:lvlJc w:val="left"/>
      <w:pPr>
        <w:ind w:left="6705" w:hanging="541"/>
      </w:pPr>
      <w:rPr>
        <w:rFonts w:hint="default"/>
      </w:rPr>
    </w:lvl>
    <w:lvl w:ilvl="5">
      <w:start w:val="0"/>
      <w:numFmt w:val="bullet"/>
      <w:lvlText w:val="•"/>
      <w:lvlJc w:val="left"/>
      <w:pPr>
        <w:ind w:left="8171" w:hanging="541"/>
      </w:pPr>
      <w:rPr>
        <w:rFonts w:hint="default"/>
      </w:rPr>
    </w:lvl>
    <w:lvl w:ilvl="6">
      <w:start w:val="0"/>
      <w:numFmt w:val="bullet"/>
      <w:lvlText w:val="•"/>
      <w:lvlJc w:val="left"/>
      <w:pPr>
        <w:ind w:left="9637" w:hanging="541"/>
      </w:pPr>
      <w:rPr>
        <w:rFonts w:hint="default"/>
      </w:rPr>
    </w:lvl>
    <w:lvl w:ilvl="7">
      <w:start w:val="0"/>
      <w:numFmt w:val="bullet"/>
      <w:lvlText w:val="•"/>
      <w:lvlJc w:val="left"/>
      <w:pPr>
        <w:ind w:left="11104" w:hanging="541"/>
      </w:pPr>
      <w:rPr>
        <w:rFonts w:hint="default"/>
      </w:rPr>
    </w:lvl>
    <w:lvl w:ilvl="8">
      <w:start w:val="0"/>
      <w:numFmt w:val="bullet"/>
      <w:lvlText w:val="•"/>
      <w:lvlJc w:val="left"/>
      <w:pPr>
        <w:ind w:left="12570" w:hanging="541"/>
      </w:pPr>
      <w:rPr>
        <w:rFonts w:hint="default"/>
      </w:rPr>
    </w:lvl>
  </w:abstractNum>
  <w:abstractNum w:abstractNumId="49">
    <w:nsid w:val="795F6C39"/>
    <w:multiLevelType w:val="hybridMultilevel"/>
    <w:tmpl w:val="00000000"/>
    <w:lvl w:ilvl="0">
      <w:start w:val="1"/>
      <w:numFmt w:val="upperRoman"/>
      <w:lvlText w:val="%1."/>
      <w:lvlJc w:val="left"/>
      <w:pPr>
        <w:ind w:left="2432" w:hanging="504"/>
        <w:jc w:val="left"/>
      </w:pPr>
      <w:rPr>
        <w:rFonts w:ascii="仿宋" w:eastAsia="仿宋" w:hAnsi="仿宋" w:cs="仿宋" w:hint="default"/>
        <w:w w:val="100"/>
        <w:sz w:val="36"/>
        <w:szCs w:val="36"/>
      </w:rPr>
    </w:lvl>
    <w:lvl w:ilvl="1">
      <w:start w:val="0"/>
      <w:numFmt w:val="bullet"/>
      <w:lvlText w:val="•"/>
      <w:lvlJc w:val="left"/>
      <w:pPr>
        <w:ind w:left="3746" w:hanging="504"/>
      </w:pPr>
      <w:rPr>
        <w:rFonts w:hint="default"/>
      </w:rPr>
    </w:lvl>
    <w:lvl w:ilvl="2">
      <w:start w:val="0"/>
      <w:numFmt w:val="bullet"/>
      <w:lvlText w:val="•"/>
      <w:lvlJc w:val="left"/>
      <w:pPr>
        <w:ind w:left="5052" w:hanging="504"/>
      </w:pPr>
      <w:rPr>
        <w:rFonts w:hint="default"/>
      </w:rPr>
    </w:lvl>
    <w:lvl w:ilvl="3">
      <w:start w:val="0"/>
      <w:numFmt w:val="bullet"/>
      <w:lvlText w:val="•"/>
      <w:lvlJc w:val="left"/>
      <w:pPr>
        <w:ind w:left="6358" w:hanging="504"/>
      </w:pPr>
      <w:rPr>
        <w:rFonts w:hint="default"/>
      </w:rPr>
    </w:lvl>
    <w:lvl w:ilvl="4">
      <w:start w:val="0"/>
      <w:numFmt w:val="bullet"/>
      <w:lvlText w:val="•"/>
      <w:lvlJc w:val="left"/>
      <w:pPr>
        <w:ind w:left="7665" w:hanging="504"/>
      </w:pPr>
      <w:rPr>
        <w:rFonts w:hint="default"/>
      </w:rPr>
    </w:lvl>
    <w:lvl w:ilvl="5">
      <w:start w:val="0"/>
      <w:numFmt w:val="bullet"/>
      <w:lvlText w:val="•"/>
      <w:lvlJc w:val="left"/>
      <w:pPr>
        <w:ind w:left="8971" w:hanging="504"/>
      </w:pPr>
      <w:rPr>
        <w:rFonts w:hint="default"/>
      </w:rPr>
    </w:lvl>
    <w:lvl w:ilvl="6">
      <w:start w:val="0"/>
      <w:numFmt w:val="bullet"/>
      <w:lvlText w:val="•"/>
      <w:lvlJc w:val="left"/>
      <w:pPr>
        <w:ind w:left="10277" w:hanging="504"/>
      </w:pPr>
      <w:rPr>
        <w:rFonts w:hint="default"/>
      </w:rPr>
    </w:lvl>
    <w:lvl w:ilvl="7">
      <w:start w:val="0"/>
      <w:numFmt w:val="bullet"/>
      <w:lvlText w:val="•"/>
      <w:lvlJc w:val="left"/>
      <w:pPr>
        <w:ind w:left="11584" w:hanging="504"/>
      </w:pPr>
      <w:rPr>
        <w:rFonts w:hint="default"/>
      </w:rPr>
    </w:lvl>
    <w:lvl w:ilvl="8">
      <w:start w:val="0"/>
      <w:numFmt w:val="bullet"/>
      <w:lvlText w:val="•"/>
      <w:lvlJc w:val="left"/>
      <w:pPr>
        <w:ind w:left="12890" w:hanging="504"/>
      </w:pPr>
      <w:rPr>
        <w:rFonts w:hint="default"/>
      </w:rPr>
    </w:lvl>
  </w:abstractNum>
  <w:abstractNum w:abstractNumId="50">
    <w:nsid w:val="796BDC7B"/>
    <w:multiLevelType w:val="hybridMultilevel"/>
    <w:tmpl w:val="00000000"/>
    <w:lvl w:ilvl="0">
      <w:start w:val="0"/>
      <w:numFmt w:val="bullet"/>
      <w:lvlText w:val=""/>
      <w:lvlJc w:val="left"/>
      <w:pPr>
        <w:ind w:left="1583" w:hanging="576"/>
      </w:pPr>
      <w:rPr>
        <w:rFonts w:ascii="Symbol" w:eastAsia="Symbol" w:hAnsi="Symbol" w:cs="Symbol" w:hint="default"/>
        <w:w w:val="100"/>
        <w:sz w:val="36"/>
        <w:szCs w:val="36"/>
      </w:rPr>
    </w:lvl>
    <w:lvl w:ilvl="1">
      <w:start w:val="0"/>
      <w:numFmt w:val="bullet"/>
      <w:lvlText w:val="◗"/>
      <w:lvlJc w:val="left"/>
      <w:pPr>
        <w:ind w:left="2007" w:hanging="724"/>
      </w:pPr>
      <w:rPr>
        <w:rFonts w:ascii="Marlett" w:eastAsia="Marlett" w:hAnsi="Marlett" w:cs="Marlett" w:hint="default"/>
        <w:w w:val="200"/>
        <w:sz w:val="36"/>
        <w:szCs w:val="36"/>
      </w:rPr>
    </w:lvl>
    <w:lvl w:ilvl="2">
      <w:start w:val="0"/>
      <w:numFmt w:val="bullet"/>
      <w:lvlText w:val="•"/>
      <w:lvlJc w:val="left"/>
      <w:pPr>
        <w:ind w:left="3500" w:hanging="724"/>
      </w:pPr>
      <w:rPr>
        <w:rFonts w:hint="default"/>
      </w:rPr>
    </w:lvl>
    <w:lvl w:ilvl="3">
      <w:start w:val="0"/>
      <w:numFmt w:val="bullet"/>
      <w:lvlText w:val="•"/>
      <w:lvlJc w:val="left"/>
      <w:pPr>
        <w:ind w:left="5000" w:hanging="724"/>
      </w:pPr>
      <w:rPr>
        <w:rFonts w:hint="default"/>
      </w:rPr>
    </w:lvl>
    <w:lvl w:ilvl="4">
      <w:start w:val="0"/>
      <w:numFmt w:val="bullet"/>
      <w:lvlText w:val="•"/>
      <w:lvlJc w:val="left"/>
      <w:pPr>
        <w:ind w:left="6501" w:hanging="724"/>
      </w:pPr>
      <w:rPr>
        <w:rFonts w:hint="default"/>
      </w:rPr>
    </w:lvl>
    <w:lvl w:ilvl="5">
      <w:start w:val="0"/>
      <w:numFmt w:val="bullet"/>
      <w:lvlText w:val="•"/>
      <w:lvlJc w:val="left"/>
      <w:pPr>
        <w:ind w:left="8001" w:hanging="724"/>
      </w:pPr>
      <w:rPr>
        <w:rFonts w:hint="default"/>
      </w:rPr>
    </w:lvl>
    <w:lvl w:ilvl="6">
      <w:start w:val="0"/>
      <w:numFmt w:val="bullet"/>
      <w:lvlText w:val="•"/>
      <w:lvlJc w:val="left"/>
      <w:pPr>
        <w:ind w:left="9501" w:hanging="724"/>
      </w:pPr>
      <w:rPr>
        <w:rFonts w:hint="default"/>
      </w:rPr>
    </w:lvl>
    <w:lvl w:ilvl="7">
      <w:start w:val="0"/>
      <w:numFmt w:val="bullet"/>
      <w:lvlText w:val="•"/>
      <w:lvlJc w:val="left"/>
      <w:pPr>
        <w:ind w:left="11002" w:hanging="724"/>
      </w:pPr>
      <w:rPr>
        <w:rFonts w:hint="default"/>
      </w:rPr>
    </w:lvl>
    <w:lvl w:ilvl="8">
      <w:start w:val="0"/>
      <w:numFmt w:val="bullet"/>
      <w:lvlText w:val="•"/>
      <w:lvlJc w:val="left"/>
      <w:pPr>
        <w:ind w:left="12502" w:hanging="724"/>
      </w:pPr>
      <w:rPr>
        <w:rFonts w:hint="default"/>
      </w:rPr>
    </w:lvl>
  </w:abstractNum>
  <w:num w:numId="1">
    <w:abstractNumId w:val="27"/>
  </w:num>
  <w:num w:numId="2">
    <w:abstractNumId w:val="15"/>
  </w:num>
  <w:num w:numId="3">
    <w:abstractNumId w:val="0"/>
  </w:num>
  <w:num w:numId="4">
    <w:abstractNumId w:val="48"/>
  </w:num>
  <w:num w:numId="5">
    <w:abstractNumId w:val="39"/>
  </w:num>
  <w:num w:numId="6">
    <w:abstractNumId w:val="11"/>
  </w:num>
  <w:num w:numId="7">
    <w:abstractNumId w:val="14"/>
  </w:num>
  <w:num w:numId="8">
    <w:abstractNumId w:val="45"/>
  </w:num>
  <w:num w:numId="9">
    <w:abstractNumId w:val="32"/>
  </w:num>
  <w:num w:numId="10">
    <w:abstractNumId w:val="21"/>
  </w:num>
  <w:num w:numId="11">
    <w:abstractNumId w:val="26"/>
  </w:num>
  <w:num w:numId="12">
    <w:abstractNumId w:val="9"/>
  </w:num>
  <w:num w:numId="13">
    <w:abstractNumId w:val="13"/>
  </w:num>
  <w:num w:numId="14">
    <w:abstractNumId w:val="33"/>
  </w:num>
  <w:num w:numId="15">
    <w:abstractNumId w:val="42"/>
  </w:num>
  <w:num w:numId="16">
    <w:abstractNumId w:val="6"/>
  </w:num>
  <w:num w:numId="17">
    <w:abstractNumId w:val="49"/>
  </w:num>
  <w:num w:numId="18">
    <w:abstractNumId w:val="17"/>
  </w:num>
  <w:num w:numId="19">
    <w:abstractNumId w:val="43"/>
  </w:num>
  <w:num w:numId="20">
    <w:abstractNumId w:val="30"/>
  </w:num>
  <w:num w:numId="21">
    <w:abstractNumId w:val="40"/>
  </w:num>
  <w:num w:numId="22">
    <w:abstractNumId w:val="47"/>
  </w:num>
  <w:num w:numId="23">
    <w:abstractNumId w:val="2"/>
  </w:num>
  <w:num w:numId="24">
    <w:abstractNumId w:val="29"/>
  </w:num>
  <w:num w:numId="25">
    <w:abstractNumId w:val="22"/>
  </w:num>
  <w:num w:numId="26">
    <w:abstractNumId w:val="1"/>
  </w:num>
  <w:num w:numId="27">
    <w:abstractNumId w:val="25"/>
  </w:num>
  <w:num w:numId="28">
    <w:abstractNumId w:val="28"/>
  </w:num>
  <w:num w:numId="29">
    <w:abstractNumId w:val="3"/>
  </w:num>
  <w:num w:numId="30">
    <w:abstractNumId w:val="50"/>
  </w:num>
  <w:num w:numId="31">
    <w:abstractNumId w:val="20"/>
  </w:num>
  <w:num w:numId="32">
    <w:abstractNumId w:val="36"/>
  </w:num>
  <w:num w:numId="33">
    <w:abstractNumId w:val="23"/>
  </w:num>
  <w:num w:numId="34">
    <w:abstractNumId w:val="34"/>
  </w:num>
  <w:num w:numId="35">
    <w:abstractNumId w:val="35"/>
  </w:num>
  <w:num w:numId="36">
    <w:abstractNumId w:val="12"/>
  </w:num>
  <w:num w:numId="37">
    <w:abstractNumId w:val="31"/>
  </w:num>
  <w:num w:numId="38">
    <w:abstractNumId w:val="24"/>
  </w:num>
  <w:num w:numId="39">
    <w:abstractNumId w:val="46"/>
  </w:num>
  <w:num w:numId="40">
    <w:abstractNumId w:val="19"/>
  </w:num>
  <w:num w:numId="41">
    <w:abstractNumId w:val="8"/>
  </w:num>
  <w:num w:numId="42">
    <w:abstractNumId w:val="44"/>
  </w:num>
  <w:num w:numId="43">
    <w:abstractNumId w:val="37"/>
  </w:num>
  <w:num w:numId="44">
    <w:abstractNumId w:val="18"/>
  </w:num>
  <w:num w:numId="45">
    <w:abstractNumId w:val="7"/>
  </w:num>
  <w:num w:numId="46">
    <w:abstractNumId w:val="4"/>
  </w:num>
  <w:num w:numId="47">
    <w:abstractNumId w:val="5"/>
  </w:num>
  <w:num w:numId="48">
    <w:abstractNumId w:val="10"/>
  </w:num>
  <w:num w:numId="49">
    <w:abstractNumId w:val="38"/>
  </w:num>
  <w:num w:numId="50">
    <w:abstractNumId w:val="16"/>
  </w:num>
  <w:num w:numId="51">
    <w:abstractNumId w:val="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仿宋" w:eastAsia="仿宋" w:hAnsi="仿宋" w:cs="仿宋"/>
    </w:rPr>
  </w:style>
  <w:style w:type="paragraph" w:styleId="Heading1">
    <w:name w:val="heading 1"/>
    <w:basedOn w:val="Normal"/>
    <w:uiPriority w:val="1"/>
    <w:qFormat/>
    <w:pPr>
      <w:spacing w:before="21"/>
      <w:ind w:left="1583" w:hanging="1279"/>
      <w:outlineLvl w:val="0"/>
    </w:pPr>
    <w:rPr>
      <w:rFonts w:ascii="仿宋" w:eastAsia="仿宋" w:hAnsi="仿宋" w:cs="仿宋"/>
      <w:b/>
      <w:bCs/>
      <w:sz w:val="48"/>
      <w:szCs w:val="48"/>
    </w:rPr>
  </w:style>
  <w:style w:type="paragraph" w:styleId="Heading2">
    <w:name w:val="heading 2"/>
    <w:basedOn w:val="Normal"/>
    <w:uiPriority w:val="1"/>
    <w:qFormat/>
    <w:pPr>
      <w:ind w:left="1583" w:hanging="1275"/>
      <w:outlineLvl w:val="1"/>
    </w:pPr>
    <w:rPr>
      <w:rFonts w:ascii="仿宋" w:eastAsia="仿宋" w:hAnsi="仿宋" w:cs="仿宋"/>
      <w:b/>
      <w:bCs/>
      <w:sz w:val="42"/>
      <w:szCs w:val="42"/>
    </w:rPr>
  </w:style>
  <w:style w:type="paragraph" w:styleId="Heading3">
    <w:name w:val="heading 3"/>
    <w:basedOn w:val="Normal"/>
    <w:uiPriority w:val="1"/>
    <w:qFormat/>
    <w:pPr>
      <w:spacing w:line="427" w:lineRule="exact"/>
      <w:ind w:left="141"/>
      <w:outlineLvl w:val="2"/>
    </w:pPr>
    <w:rPr>
      <w:rFonts w:ascii="仿宋" w:eastAsia="仿宋" w:hAnsi="仿宋" w:cs="仿宋"/>
      <w:sz w:val="38"/>
      <w:szCs w:val="38"/>
    </w:rPr>
  </w:style>
  <w:style w:type="paragraph" w:styleId="Heading4">
    <w:name w:val="heading 4"/>
    <w:basedOn w:val="Normal"/>
    <w:uiPriority w:val="1"/>
    <w:qFormat/>
    <w:pPr>
      <w:ind w:left="2007" w:hanging="1700"/>
      <w:outlineLvl w:val="3"/>
    </w:pPr>
    <w:rPr>
      <w:rFonts w:ascii="仿宋" w:eastAsia="仿宋" w:hAnsi="仿宋" w:cs="仿宋"/>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仿宋" w:eastAsia="仿宋" w:hAnsi="仿宋" w:cs="仿宋"/>
      <w:sz w:val="36"/>
      <w:szCs w:val="36"/>
    </w:rPr>
  </w:style>
  <w:style w:type="paragraph" w:styleId="ListParagraph">
    <w:name w:val="List Paragraph"/>
    <w:basedOn w:val="Normal"/>
    <w:uiPriority w:val="1"/>
    <w:qFormat/>
    <w:pPr>
      <w:ind w:left="848" w:hanging="541"/>
    </w:pPr>
    <w:rPr>
      <w:rFonts w:ascii="仿宋" w:eastAsia="仿宋" w:hAnsi="仿宋" w:cs="仿宋"/>
    </w:rPr>
  </w:style>
  <w:style w:type="paragraph" w:customStyle="1" w:styleId="TableParagraph">
    <w:name w:val="Table Paragraph"/>
    <w:basedOn w:val="Normal"/>
    <w:uiPriority w:val="1"/>
    <w:qFormat/>
    <w:rPr>
      <w:rFonts w:ascii="仿宋" w:eastAsia="仿宋" w:hAnsi="仿宋" w:cs="仿宋"/>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hyperlink" Target="https://d.book118.com/156041055032010033" TargetMode="External" /><Relationship Id="rId31" Type="http://schemas.openxmlformats.org/officeDocument/2006/relationships/theme" Target="theme/theme1.xml" /><Relationship Id="rId32" Type="http://schemas.openxmlformats.org/officeDocument/2006/relationships/numbering" Target="numbering.xml" /><Relationship Id="rId33"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2023-12-18T12:18:27Z</dcterms:created>
  <dcterms:modified xsi:type="dcterms:W3CDTF">2023-12-18T12:18:27Z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2022-10-19T00:00:00Z</vt:filetime>
  </property>
  <property fmtid="{D5CDD505-2E9C-101B-9397-08002B2CF9AE}" pid="3" name="LastSaved">
    <vt:filetime>2023-12-18T00:00:00Z</vt:filetime>
  </property>
</Properties>
</file>