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both"/>
        <w:rPr>
          <w:color w:val="00CCFF"/>
          <w:sz w:val="15"/>
          <w:szCs w:val="15"/>
        </w:rPr>
      </w:pPr>
      <w:r>
        <w:rPr>
          <w:rFonts w:ascii="黑体" w:eastAsia="黑体" w:hAnsi="黑体" w:hint="eastAsia"/>
          <w:sz w:val="15"/>
          <w:szCs w:val="15"/>
        </w:rPr>
        <w:t>沈阳市化妆品进口贸易问题及对策研究--以沈阳皎月美容美发用品商场为例</w:t>
      </w: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sz w:val="32"/>
        </w:rPr>
      </w:pPr>
    </w:p>
    <w:p>
      <w:pPr>
        <w:spacing w:line="300" w:lineRule="auto"/>
        <w:ind w:firstLine="720" w:firstLineChars="300"/>
        <w:rPr>
          <w:rFonts w:ascii="仿宋_GB2312" w:eastAsia="仿宋_GB2312" w:hAnsi="宋体"/>
          <w:color w:val="000000"/>
          <w:sz w:val="24"/>
        </w:rPr>
      </w:pPr>
    </w:p>
    <w:p>
      <w:pPr>
        <w:spacing w:line="300" w:lineRule="auto"/>
        <w:ind w:firstLine="720" w:firstLineChars="300"/>
        <w:rPr>
          <w:rFonts w:ascii="仿宋_GB2312" w:eastAsia="仿宋_GB2312" w:hAnsi="宋体"/>
          <w:color w:val="000000"/>
          <w:sz w:val="24"/>
        </w:rPr>
      </w:pPr>
    </w:p>
    <w:p>
      <w:pPr>
        <w:spacing w:line="300" w:lineRule="auto"/>
        <w:ind w:firstLine="353" w:firstLineChars="147"/>
        <w:rPr>
          <w:rFonts w:ascii="仿宋_GB2312" w:eastAsia="仿宋_GB2312" w:hAnsi="宋体"/>
          <w:color w:val="000000"/>
          <w:sz w:val="24"/>
          <w:u w:val="single"/>
        </w:rPr>
      </w:pPr>
      <w:r>
        <w:rPr>
          <w:rFonts w:ascii="仿宋_GB2312" w:eastAsia="仿宋_GB2312" w:hAnsi="宋体" w:hint="eastAsia"/>
          <w:color w:val="000000"/>
          <w:sz w:val="24"/>
        </w:rPr>
        <w:t>指 导 教 师 签 名：</w:t>
      </w:r>
      <w:r>
        <w:rPr>
          <w:rFonts w:ascii="仿宋_GB2312" w:eastAsia="仿宋_GB2312" w:hAnsi="宋体" w:hint="eastAsia"/>
          <w:color w:val="000000"/>
          <w:sz w:val="24"/>
          <w:u w:val="single"/>
        </w:rPr>
        <w:t xml:space="preserve">                      </w:t>
      </w:r>
      <w:r>
        <w:rPr>
          <w:rFonts w:ascii="仿宋_GB2312" w:eastAsia="仿宋_GB2312" w:hAnsi="宋体" w:hint="eastAsia"/>
          <w:color w:val="000000"/>
          <w:sz w:val="24"/>
        </w:rPr>
        <w:t xml:space="preserve">   日期： </w:t>
      </w:r>
      <w:r>
        <w:rPr>
          <w:rFonts w:ascii="仿宋_GB2312" w:eastAsia="仿宋_GB2312" w:hAnsi="宋体" w:hint="eastAsia"/>
          <w:color w:val="000000"/>
          <w:sz w:val="24"/>
          <w:u w:val="single"/>
        </w:rPr>
        <w:t xml:space="preserve">            </w:t>
      </w:r>
    </w:p>
    <w:p>
      <w:pPr>
        <w:spacing w:line="300" w:lineRule="auto"/>
        <w:rPr>
          <w:rFonts w:ascii="黑体" w:eastAsia="黑体" w:hAnsi="黑体"/>
          <w:color w:val="00CCFF"/>
          <w:sz w:val="32"/>
          <w:szCs w:val="32"/>
        </w:rPr>
        <w:sectPr>
          <w:headerReference w:type="default" r:id="rId5"/>
          <w:footerReference w:type="default" r:id="rId6"/>
          <w:pgSz w:w="11907" w:h="16840"/>
          <w:pgMar w:top="1418" w:right="1134" w:bottom="1418" w:left="1418" w:header="851" w:footer="1134" w:gutter="0"/>
          <w:pgNumType w:fmt="numberInDash" w:start="1"/>
          <w:cols w:num="1" w:space="425"/>
          <w:docGrid w:type="lines" w:linePitch="312" w:charSpace="0"/>
        </w:sectPr>
      </w:pPr>
    </w:p>
    <w:sdt>
      <w:sdtPr>
        <w:rPr>
          <w:rFonts w:eastAsia="黑体"/>
          <w:sz w:val="32"/>
          <w:lang w:val="zh-CN"/>
        </w:rPr>
        <w:id w:val="2014209"/>
        <w:richText/>
      </w:sdtPr>
      <w:sdtEndPr>
        <w:rPr>
          <w:rFonts w:eastAsia="宋体" w:asciiTheme="majorEastAsia" w:hAnsiTheme="majorEastAsia"/>
          <w:sz w:val="24"/>
          <w:lang w:val="en-US"/>
        </w:rPr>
      </w:sdtEndPr>
      <w:sdtContent>
        <w:p>
          <w:pPr>
            <w:tabs>
              <w:tab w:val="right" w:leader="dot" w:pos="9345"/>
            </w:tabs>
            <w:adjustRightInd w:val="0"/>
            <w:snapToGrid w:val="0"/>
            <w:spacing w:line="300" w:lineRule="auto"/>
            <w:ind w:left="420"/>
            <w:jc w:val="center"/>
          </w:pPr>
          <w:r>
            <w:rPr>
              <w:rFonts w:eastAsia="黑体" w:asciiTheme="minorHAnsi" w:hAnsiTheme="minorHAnsi"/>
              <w:kern w:val="0"/>
              <w:sz w:val="32"/>
            </w:rPr>
            <w:t>目</w:t>
          </w:r>
          <w:r>
            <w:rPr>
              <w:rFonts w:eastAsia="黑体" w:asciiTheme="minorHAnsi" w:hAnsiTheme="minorHAnsi" w:hint="eastAsia"/>
              <w:kern w:val="0"/>
              <w:sz w:val="32"/>
            </w:rPr>
            <w:t xml:space="preserve">   </w:t>
          </w:r>
          <w:r>
            <w:rPr>
              <w:rFonts w:eastAsia="黑体" w:asciiTheme="minorHAnsi" w:hAnsiTheme="minorHAnsi"/>
              <w:kern w:val="0"/>
              <w:sz w:val="32"/>
            </w:rPr>
            <w:t>录</w:t>
          </w:r>
        </w:p>
        <w:p>
          <w:pPr>
            <w:pStyle w:val="TOC1"/>
            <w:tabs>
              <w:tab w:val="right" w:leader="dot" w:pos="8301"/>
            </w:tabs>
          </w:pPr>
          <w:r>
            <w:rPr>
              <w:rFonts w:asciiTheme="majorEastAsia" w:eastAsiaTheme="majorEastAsia" w:hAnsiTheme="majorEastAsia"/>
              <w:sz w:val="24"/>
            </w:rPr>
            <w:fldChar w:fldCharType="begin"/>
          </w:r>
          <w:r>
            <w:rPr>
              <w:rFonts w:asciiTheme="majorEastAsia" w:eastAsiaTheme="majorEastAsia" w:hAnsiTheme="majorEastAsia"/>
              <w:sz w:val="24"/>
            </w:rPr>
            <w:instrText xml:space="preserve"> TOC \o "1-3" \h \z \u </w:instrText>
          </w:r>
          <w:r>
            <w:rPr>
              <w:rFonts w:asciiTheme="majorEastAsia" w:eastAsiaTheme="majorEastAsia" w:hAnsiTheme="majorEastAsia"/>
              <w:sz w:val="24"/>
            </w:rPr>
            <w:fldChar w:fldCharType="separate"/>
          </w:r>
          <w:hyperlink w:anchor="_Toc7106" w:history="1">
            <w:r>
              <w:rPr>
                <w:rFonts w:hint="eastAsia"/>
              </w:rPr>
              <w:t>摘   要</w:t>
            </w:r>
            <w:r>
              <w:tab/>
            </w:r>
            <w:r>
              <w:fldChar w:fldCharType="begin"/>
            </w:r>
            <w:r>
              <w:instrText xml:space="preserve"> PAGEREF _Toc7106 </w:instrText>
            </w:r>
            <w:r>
              <w:fldChar w:fldCharType="separate"/>
            </w:r>
            <w:r>
              <w:t>II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18442" w:history="1">
            <w:r>
              <w:rPr>
                <w:szCs w:val="36"/>
              </w:rPr>
              <w:t>Abstract</w:t>
            </w:r>
            <w:r>
              <w:tab/>
            </w:r>
            <w:r>
              <w:fldChar w:fldCharType="begin"/>
            </w:r>
            <w:r>
              <w:instrText xml:space="preserve"> PAGEREF _Toc18442 </w:instrText>
            </w:r>
            <w:r>
              <w:fldChar w:fldCharType="separate"/>
            </w:r>
            <w:r>
              <w:t>IV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22169" w:history="1">
            <w:r>
              <w:rPr>
                <w:rFonts w:hint="eastAsia"/>
              </w:rPr>
              <w:t>引   言</w:t>
            </w:r>
            <w:r>
              <w:tab/>
            </w:r>
            <w:r>
              <w:fldChar w:fldCharType="begin"/>
            </w:r>
            <w:r>
              <w:instrText xml:space="preserve"> PAGEREF _Toc22169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21612" w:history="1">
            <w:r>
              <w:rPr>
                <w:rFonts w:ascii="黑体" w:hAnsi="黑体" w:hint="eastAsia"/>
                <w:bCs/>
                <w:kern w:val="44"/>
                <w:szCs w:val="44"/>
              </w:rPr>
              <w:t>1沈阳市化妆品进口发展现状</w:t>
            </w:r>
            <w:r>
              <w:tab/>
            </w:r>
            <w:r>
              <w:fldChar w:fldCharType="begin"/>
            </w:r>
            <w:r>
              <w:instrText xml:space="preserve"> PAGEREF _Toc21612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29537" w:history="1">
            <w:r>
              <w:rPr>
                <w:rFonts w:hint="eastAsia"/>
              </w:rPr>
              <w:t>1.1沈阳市化妆品进口贸易规模</w:t>
            </w:r>
            <w:r>
              <w:tab/>
            </w:r>
            <w:r>
              <w:fldChar w:fldCharType="begin"/>
            </w:r>
            <w:r>
              <w:instrText xml:space="preserve"> PAGEREF _Toc29537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20071" w:history="1">
            <w:r>
              <w:rPr>
                <w:rFonts w:hint="eastAsia"/>
              </w:rPr>
              <w:t>1.2沈阳市</w:t>
            </w:r>
            <w:r>
              <w:t>化妆品</w:t>
            </w:r>
            <w:r>
              <w:rPr>
                <w:rFonts w:hint="eastAsia"/>
              </w:rPr>
              <w:t>进口产品结构</w:t>
            </w:r>
            <w:r>
              <w:tab/>
            </w:r>
            <w:r>
              <w:fldChar w:fldCharType="begin"/>
            </w:r>
            <w:r>
              <w:instrText xml:space="preserve"> PAGEREF _Toc20071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21014" w:history="1">
            <w:r>
              <w:rPr>
                <w:rFonts w:hint="eastAsia"/>
              </w:rPr>
              <w:t>1.3沈阳市化妆品进口国家分析</w:t>
            </w:r>
            <w:r>
              <w:tab/>
            </w:r>
            <w:r>
              <w:fldChar w:fldCharType="begin"/>
            </w:r>
            <w:r>
              <w:instrText xml:space="preserve"> PAGEREF _Toc21014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4976" w:history="1">
            <w:r>
              <w:rPr>
                <w:rFonts w:hint="eastAsia"/>
                <w:szCs w:val="22"/>
              </w:rPr>
              <w:t>2沈阳市化妆品进口问题分析</w:t>
            </w:r>
            <w:r>
              <w:tab/>
            </w:r>
            <w:r>
              <w:fldChar w:fldCharType="begin"/>
            </w:r>
            <w:r>
              <w:instrText xml:space="preserve"> PAGEREF _Toc4976 </w:instrText>
            </w:r>
            <w:r>
              <w:fldChar w:fldCharType="separate"/>
            </w:r>
            <w:r>
              <w:t>11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2589" w:history="1">
            <w:r>
              <w:rPr>
                <w:rFonts w:hint="eastAsia"/>
              </w:rPr>
              <w:t>2.1沈阳市进口化妆品出现质量问题</w:t>
            </w:r>
            <w:r>
              <w:tab/>
            </w:r>
            <w:r>
              <w:fldChar w:fldCharType="begin"/>
            </w:r>
            <w:r>
              <w:instrText xml:space="preserve"> PAGEREF _Toc2589 </w:instrText>
            </w:r>
            <w:r>
              <w:fldChar w:fldCharType="separate"/>
            </w:r>
            <w:r>
              <w:t>11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22040" w:history="1">
            <w:r>
              <w:rPr>
                <w:rFonts w:hint="eastAsia"/>
              </w:rPr>
              <w:t>2.2化妆品关税下调，品类市场竞争惨烈</w:t>
            </w:r>
            <w:r>
              <w:tab/>
            </w:r>
            <w:r>
              <w:fldChar w:fldCharType="begin"/>
            </w:r>
            <w:r>
              <w:instrText xml:space="preserve"> PAGEREF _Toc22040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402" w:history="1">
            <w:r>
              <w:rPr>
                <w:rFonts w:hint="eastAsia"/>
              </w:rPr>
              <w:t>2.3进口化妆品产品种类单一</w:t>
            </w:r>
            <w:r>
              <w:tab/>
            </w:r>
            <w:r>
              <w:fldChar w:fldCharType="begin"/>
            </w:r>
            <w:r>
              <w:instrText xml:space="preserve"> PAGEREF _Toc402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12943" w:history="1">
            <w:r>
              <w:rPr>
                <w:rFonts w:hint="eastAsia"/>
              </w:rPr>
              <w:t>3沈阳市化妆品进口对策分析</w:t>
            </w:r>
            <w:r>
              <w:tab/>
            </w:r>
            <w:r>
              <w:fldChar w:fldCharType="begin"/>
            </w:r>
            <w:r>
              <w:instrText xml:space="preserve"> PAGEREF _Toc12943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8265" w:history="1">
            <w:r>
              <w:rPr>
                <w:rFonts w:hint="eastAsia"/>
              </w:rPr>
              <w:t>3.1加强对化妆品质量风险意识</w:t>
            </w:r>
            <w:r>
              <w:tab/>
            </w:r>
            <w:r>
              <w:fldChar w:fldCharType="begin"/>
            </w:r>
            <w:r>
              <w:instrText xml:space="preserve"> PAGEREF _Toc8265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17463" w:history="1">
            <w:r>
              <w:rPr>
                <w:rFonts w:hint="eastAsia"/>
              </w:rPr>
              <w:t>3.2加强进口化妆品检验监管的建议</w:t>
            </w:r>
            <w:r>
              <w:tab/>
            </w:r>
            <w:r>
              <w:fldChar w:fldCharType="begin"/>
            </w:r>
            <w:r>
              <w:instrText xml:space="preserve"> PAGEREF _Toc17463 </w:instrText>
            </w:r>
            <w:r>
              <w:fldChar w:fldCharType="separate"/>
            </w:r>
            <w:r>
              <w:t>14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8301"/>
            </w:tabs>
            <w:ind w:left="560"/>
          </w:pPr>
          <w:hyperlink w:anchor="_Toc912" w:history="1">
            <w:r>
              <w:rPr>
                <w:rFonts w:hint="eastAsia"/>
              </w:rPr>
              <w:t>3.3优化进口产品结构</w:t>
            </w:r>
            <w:r>
              <w:tab/>
            </w:r>
            <w:r>
              <w:fldChar w:fldCharType="begin"/>
            </w:r>
            <w:r>
              <w:instrText xml:space="preserve"> PAGEREF _Toc912 </w:instrText>
            </w:r>
            <w:r>
              <w:fldChar w:fldCharType="separate"/>
            </w:r>
            <w:r>
              <w:t>16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11469" w:history="1">
            <w:r>
              <w:t>结</w:t>
            </w:r>
            <w:r>
              <w:rPr>
                <w:rFonts w:hint="eastAsia"/>
              </w:rPr>
              <w:t xml:space="preserve">    </w:t>
            </w:r>
            <w:r>
              <w:t>论</w:t>
            </w:r>
            <w:r>
              <w:tab/>
            </w:r>
            <w:r>
              <w:fldChar w:fldCharType="begin"/>
            </w:r>
            <w:r>
              <w:instrText xml:space="preserve"> PAGEREF _Toc11469 </w:instrText>
            </w:r>
            <w:r>
              <w:fldChar w:fldCharType="separate"/>
            </w:r>
            <w:r>
              <w:t>16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301" w:history="1">
            <w:r>
              <w:t>参考文献</w:t>
            </w:r>
            <w:r>
              <w:tab/>
            </w:r>
            <w:r>
              <w:fldChar w:fldCharType="begin"/>
            </w:r>
            <w:r>
              <w:instrText xml:space="preserve"> PAGEREF _Toc301 </w:instrText>
            </w:r>
            <w:r>
              <w:fldChar w:fldCharType="separate"/>
            </w:r>
            <w:r>
              <w:t>18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8301"/>
            </w:tabs>
          </w:pPr>
          <w:hyperlink w:anchor="_Toc16891" w:history="1">
            <w:r>
              <w:t>致</w:t>
            </w:r>
            <w:r>
              <w:rPr>
                <w:rFonts w:hint="eastAsia"/>
              </w:rPr>
              <w:t xml:space="preserve">    </w:t>
            </w:r>
            <w:r>
              <w:t>谢</w:t>
            </w:r>
            <w:r>
              <w:tab/>
            </w:r>
            <w:r>
              <w:fldChar w:fldCharType="begin"/>
            </w:r>
            <w:r>
              <w:instrText xml:space="preserve"> PAGEREF _Toc16891 </w:instrText>
            </w:r>
            <w:r>
              <w:fldChar w:fldCharType="separate"/>
            </w:r>
            <w:r>
              <w:t>21</w:t>
            </w:r>
            <w:r>
              <w:fldChar w:fldCharType="end"/>
            </w:r>
          </w:hyperlink>
        </w:p>
        <w:p>
          <w:pPr>
            <w:rPr>
              <w:rFonts w:asciiTheme="majorEastAsia" w:eastAsiaTheme="majorEastAsia" w:hAnsiTheme="majorEastAsia"/>
              <w:sz w:val="24"/>
            </w:rPr>
          </w:pPr>
          <w:r>
            <w:rPr>
              <w:rFonts w:asciiTheme="majorEastAsia" w:eastAsiaTheme="majorEastAsia" w:hAnsiTheme="majorEastAsia"/>
            </w:rPr>
            <w:fldChar w:fldCharType="end"/>
          </w:r>
        </w:p>
      </w:sdtContent>
    </w:sdt>
    <w:p>
      <w:pPr>
        <w:adjustRightInd w:val="0"/>
        <w:snapToGrid w:val="0"/>
        <w:spacing w:line="460" w:lineRule="exact"/>
        <w:jc w:val="center"/>
        <w:rPr>
          <w:rFonts w:asciiTheme="majorEastAsia" w:eastAsiaTheme="majorEastAsia" w:hAnsiTheme="majorEastAsia" w:cs="黑体"/>
          <w:sz w:val="36"/>
          <w:szCs w:val="36"/>
        </w:rPr>
      </w:pPr>
      <w:r>
        <w:rPr>
          <w:rFonts w:asciiTheme="majorEastAsia" w:eastAsiaTheme="majorEastAsia" w:hAnsiTheme="majorEastAsia" w:cs="黑体"/>
          <w:sz w:val="36"/>
          <w:szCs w:val="36"/>
        </w:rPr>
        <w:br/>
      </w:r>
      <w:r>
        <w:rPr>
          <w:rFonts w:asciiTheme="majorEastAsia" w:eastAsiaTheme="majorEastAsia" w:hAnsiTheme="majorEastAsia" w:cs="黑体"/>
          <w:sz w:val="36"/>
          <w:szCs w:val="36"/>
        </w:rP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https://d.book118.com/156101122115010052</w:t>
        </w:r>
      </w:hyperlink>
    </w:p>
    <w:p>
      <w:pPr>
        <w:adjustRightInd w:val="0"/>
        <w:snapToGrid w:val="0"/>
        <w:spacing w:line="460" w:lineRule="exact"/>
        <w:jc w:val="center"/>
        <w:rPr>
          <w:rFonts w:asciiTheme="majorEastAsia" w:eastAsiaTheme="majorEastAsia" w:hAnsiTheme="majorEastAsia" w:cs="黑体"/>
          <w:sz w:val="36"/>
          <w:szCs w:val="36"/>
        </w:rPr>
      </w:pPr>
    </w:p>
    <w:sectPr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1440" w:right="1803" w:bottom="1440" w:left="1803" w:header="851" w:footer="1134" w:gutter="0"/>
      <w:pg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upperRoman" w:start="1"/>
      <w:cols w:num="1" w:space="0"/>
      <w:titlePg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swiss"/>
    <w:pitch w:val="default"/>
    <w:sig w:usb0="E0002EFF" w:usb1="C000785B" w:usb2="00000009" w:usb3="00000000" w:csb0="4004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napToGrid w:val="0"/>
      <w:ind w:right="360"/>
      <w:rPr>
        <w:rFonts w:eastAsia="楷体_GB2312" w:asciiTheme="minorHAnsi" w:hAnsiTheme="minorHAns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tabs>
        <w:tab w:val="center" w:pos="4153"/>
        <w:tab w:val="clear" w:pos="4320"/>
        <w:tab w:val="right" w:pos="8306"/>
        <w:tab w:val="clear" w:pos="8640"/>
      </w:tabs>
      <w:jc w:val="both"/>
      <w:rPr>
        <w:lang w:val="zh-CN"/>
      </w:rPr>
    </w:pPr>
    <w:r>
      <w:rPr>
        <w:lang w:val="zh-CN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IV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2050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2336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IV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lang w:val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22860</wp:posOffset>
              </wp:positionV>
              <wp:extent cx="5943600" cy="0"/>
              <wp:effectExtent l="0" t="0" r="0" b="0"/>
              <wp:wrapNone/>
              <wp:docPr id="6" name="直线 102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3175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直线 1027" o:spid="_x0000_s2051" style="mso-wrap-distance-bottom:0;mso-wrap-distance-left:9pt;mso-wrap-distance-right:9pt;mso-wrap-distance-top:0;position:absolute;v-text-anchor:top;z-index:251658240" from="0,1.8pt" to="468pt,1.8pt" fillcolor="this" stroked="f" strokeweight="0.2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103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I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038" o:spid="_x0000_s2049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0288" filled="f" fillcolor="this" stroked="f" strokeweight="0.7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I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9B59D525"/>
    <w:multiLevelType w:val="singleLevel"/>
    <w:tmpl w:val="9B59D525"/>
    <w:lvl w:ilvl="0">
      <w:start w:val="1"/>
      <w:numFmt w:val="decimal"/>
      <w:suff w:val="nothing"/>
      <w:lvlText w:val="（%1）"/>
      <w:lvlJc w:val="left"/>
    </w:lvl>
  </w:abstractNum>
  <w:abstractNum w:abstractNumId="1">
    <w:nsid w:val="F80F6ED8"/>
    <w:multiLevelType w:val="singleLevel"/>
    <w:tmpl w:val="F80F6ED8"/>
    <w:lvl w:ilvl="0">
      <w:start w:val="1"/>
      <w:numFmt w:val="decimal"/>
      <w:suff w:val="nothing"/>
      <w:lvlText w:val="（%1）"/>
      <w:lvlJc w:val="left"/>
    </w:lvl>
  </w:abstractNum>
  <w:abstractNum w:abstractNumId="2">
    <w:nsid w:val="14D1AA8A"/>
    <w:multiLevelType w:val="singleLevel"/>
    <w:tmpl w:val="14D1AA8A"/>
    <w:lvl w:ilvl="0">
      <w:start w:val="1"/>
      <w:numFmt w:val="decimal"/>
      <w:suff w:val="nothing"/>
      <w:lvlText w:val="（%1）"/>
      <w:lvlJc w:val="left"/>
    </w:lvl>
  </w:abstractNum>
  <w:abstractNum w:abstractNumId="3">
    <w:nsid w:val="7A510BBE"/>
    <w:multiLevelType w:val="singleLevel"/>
    <w:tmpl w:val="7A510BBE"/>
    <w:lvl w:ilvl="0">
      <w:start w:val="16"/>
      <w:numFmt w:val="decimal"/>
      <w:suff w:val="space"/>
      <w:lvlText w:val="[%1]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HorizontalSpacing w:val="140"/>
  <w:drawingGridVerticalSpacing w:val="38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E20"/>
    <w:rsid w:val="00056804"/>
    <w:rsid w:val="002A2E20"/>
    <w:rsid w:val="698334D4"/>
  </w:rsids>
  <w:docVars>
    <w:docVar w:name="commondata" w:val="eyJoZGlkIjoiZGY5OGNiNGUyMjQ5MmI4ZDQ3ZjRhNGEzOTgxOWU3NGE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 w:qFormat="1"/>
    <w:lsdException w:name="annotation text" w:semiHidden="0" w:uiPriority="0" w:unhideWhenUsed="0" w:qFormat="1"/>
    <w:lsdException w:name="header" w:semiHidden="0" w:unhideWhenUsed="0" w:qFormat="1"/>
    <w:lsdException w:name="footer" w:semiHidden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 w:qFormat="1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 w:qFormat="1"/>
    <w:lsdException w:name="Block Text" w:semiHidden="0" w:uiPriority="0" w:unhideWhenUsed="0"/>
    <w:lsdException w:name="Hyperlink" w:semiHidden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 w:qFormat="1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200" w:line="276" w:lineRule="auto"/>
      <w:jc w:val="both"/>
    </w:pPr>
    <w:rPr>
      <w:rFonts w:ascii="Times New Roman" w:eastAsia="宋体" w:hAnsi="Times New Roman" w:cs="Times New Roman"/>
      <w:kern w:val="2"/>
      <w:sz w:val="28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jc w:val="center"/>
      <w:outlineLvl w:val="0"/>
    </w:pPr>
    <w:rPr>
      <w:rFonts w:eastAsia="黑体"/>
      <w:sz w:val="32"/>
    </w:rPr>
  </w:style>
  <w:style w:type="paragraph" w:styleId="Heading2">
    <w:name w:val="heading 2"/>
    <w:basedOn w:val="Normal"/>
    <w:next w:val="Normal"/>
    <w:link w:val="20"/>
    <w:qFormat/>
    <w:pPr>
      <w:keepNext/>
      <w:ind w:firstLine="1571" w:firstLineChars="500"/>
      <w:jc w:val="left"/>
      <w:outlineLvl w:val="1"/>
    </w:pPr>
    <w:rPr>
      <w:rFonts w:eastAsia="黑体"/>
      <w:bCs/>
      <w:sz w:val="30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BodyText">
    <w:name w:val="Body Text"/>
    <w:basedOn w:val="Normal"/>
    <w:qFormat/>
    <w:rPr>
      <w:rFonts w:eastAsia="黑体"/>
      <w:b/>
      <w:bCs/>
      <w:spacing w:val="1"/>
      <w:kern w:val="0"/>
      <w:sz w:val="36"/>
    </w:rPr>
  </w:style>
  <w:style w:type="paragraph" w:styleId="PlainText">
    <w:name w:val="Plain Text"/>
    <w:basedOn w:val="Normal"/>
    <w:link w:val="a0"/>
    <w:qFormat/>
    <w:rPr>
      <w:rFonts w:ascii="宋体" w:hAnsi="Courier New" w:cs="Courier New"/>
      <w:sz w:val="24"/>
      <w:szCs w:val="21"/>
    </w:rPr>
  </w:style>
  <w:style w:type="paragraph" w:styleId="BodyTextIndent2">
    <w:name w:val="Body Text Indent 2"/>
    <w:basedOn w:val="Normal"/>
    <w:link w:val="2"/>
    <w:qFormat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a"/>
    <w:qFormat/>
    <w:rPr>
      <w:sz w:val="18"/>
      <w:szCs w:val="18"/>
    </w:rPr>
  </w:style>
  <w:style w:type="paragraph" w:styleId="Footer">
    <w:name w:val="footer"/>
    <w:basedOn w:val="Normal"/>
    <w:link w:val="a1"/>
    <w:uiPriority w:val="99"/>
    <w:qFormat/>
    <w:pPr>
      <w:tabs>
        <w:tab w:val="center" w:pos="4320"/>
        <w:tab w:val="right" w:pos="8640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qFormat/>
  </w:style>
  <w:style w:type="paragraph" w:styleId="FootnoteText">
    <w:name w:val="footnote text"/>
    <w:basedOn w:val="Normal"/>
    <w:qFormat/>
    <w:pPr>
      <w:snapToGrid w:val="0"/>
      <w:jc w:val="left"/>
    </w:pPr>
    <w:rPr>
      <w:sz w:val="18"/>
    </w:rPr>
  </w:style>
  <w:style w:type="paragraph" w:styleId="BodyTextIndent3">
    <w:name w:val="Body Text Indent 3"/>
    <w:basedOn w:val="Normal"/>
    <w:qFormat/>
    <w:pPr>
      <w:spacing w:line="0" w:lineRule="atLeast"/>
      <w:ind w:left="136"/>
    </w:pPr>
    <w:rPr>
      <w:rFonts w:ascii="_x000B__x000C_" w:hAnsi="_x000B__x000C_"/>
      <w:szCs w:val="18"/>
    </w:rPr>
  </w:style>
  <w:style w:type="paragraph" w:styleId="TOC2">
    <w:name w:val="toc 2"/>
    <w:basedOn w:val="Normal"/>
    <w:next w:val="Normal"/>
    <w:uiPriority w:val="39"/>
    <w:qFormat/>
    <w:pPr>
      <w:ind w:left="420" w:leftChars="200"/>
    </w:pPr>
  </w:style>
  <w:style w:type="paragraph" w:styleId="BodyText2">
    <w:name w:val="Body Text 2"/>
    <w:basedOn w:val="Normal"/>
    <w:qFormat/>
    <w:rPr>
      <w:color w:val="00CCFF"/>
    </w:rPr>
  </w:style>
  <w:style w:type="paragraph" w:styleId="NormalWeb">
    <w:name w:val="Normal (Web)"/>
    <w:basedOn w:val="Normal"/>
    <w:qFormat/>
    <w:pPr>
      <w:spacing w:beforeAutospacing="1" w:afterAutospacing="1"/>
      <w:jc w:val="left"/>
    </w:pPr>
    <w:rPr>
      <w:kern w:val="0"/>
      <w:sz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qFormat/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customStyle="1" w:styleId="2">
    <w:name w:val="正文文本缩进 2 字符"/>
    <w:link w:val="BodyTextIndent2"/>
    <w:qFormat/>
    <w:rPr>
      <w:kern w:val="2"/>
      <w:sz w:val="21"/>
      <w:szCs w:val="24"/>
    </w:rPr>
  </w:style>
  <w:style w:type="character" w:customStyle="1" w:styleId="a">
    <w:name w:val="批注框文本 字符"/>
    <w:link w:val="BalloonText"/>
    <w:qFormat/>
    <w:rPr>
      <w:kern w:val="2"/>
      <w:sz w:val="18"/>
      <w:szCs w:val="18"/>
    </w:rPr>
  </w:style>
  <w:style w:type="character" w:customStyle="1" w:styleId="a0">
    <w:name w:val="纯文本 字符"/>
    <w:link w:val="PlainText"/>
    <w:qFormat/>
    <w:rPr>
      <w:rFonts w:ascii="宋体" w:hAnsi="Courier New" w:cs="Courier New"/>
      <w:kern w:val="2"/>
      <w:sz w:val="24"/>
      <w:szCs w:val="21"/>
    </w:rPr>
  </w:style>
  <w:style w:type="character" w:customStyle="1" w:styleId="a1">
    <w:name w:val="页脚 字符"/>
    <w:link w:val="Footer"/>
    <w:uiPriority w:val="99"/>
    <w:qFormat/>
    <w:rPr>
      <w:kern w:val="2"/>
      <w:sz w:val="18"/>
      <w:szCs w:val="18"/>
    </w:rPr>
  </w:style>
  <w:style w:type="character" w:customStyle="1" w:styleId="a2">
    <w:name w:val="页眉 字符"/>
    <w:link w:val="Header"/>
    <w:uiPriority w:val="99"/>
    <w:qFormat/>
    <w:rPr>
      <w:kern w:val="2"/>
      <w:sz w:val="18"/>
      <w:szCs w:val="18"/>
    </w:rPr>
  </w:style>
  <w:style w:type="character" w:customStyle="1" w:styleId="1">
    <w:name w:val="标题 1 字符"/>
    <w:link w:val="Heading1"/>
    <w:qFormat/>
    <w:rPr>
      <w:rFonts w:eastAsia="黑体"/>
      <w:sz w:val="32"/>
    </w:rPr>
  </w:style>
  <w:style w:type="character" w:customStyle="1" w:styleId="20">
    <w:name w:val="标题 2 字符"/>
    <w:link w:val="Heading2"/>
    <w:qFormat/>
    <w:rPr>
      <w:rFonts w:eastAsia="黑体"/>
      <w:bCs/>
      <w:sz w:val="30"/>
    </w:rPr>
  </w:style>
  <w:style w:type="table" w:customStyle="1" w:styleId="Table">
    <w:name w:val="Table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WPSOffice1">
    <w:name w:val="WPSOffice手动目录 1"/>
    <w:qFormat/>
    <w:pPr>
      <w:spacing w:after="200" w:line="276" w:lineRule="auto"/>
    </w:pPr>
    <w:rPr>
      <w:rFonts w:asciiTheme="minorHAnsi" w:eastAsiaTheme="minorHAnsi" w:hAnsiTheme="minorHAnsi" w:cstheme="minorBidi"/>
      <w:lang w:val="en-US" w:eastAsia="zh-CN" w:bidi="ar-SA"/>
    </w:rPr>
  </w:style>
  <w:style w:type="paragraph" w:customStyle="1" w:styleId="WPSOffice2">
    <w:name w:val="WPSOffice手动目录 2"/>
    <w:qFormat/>
    <w:pPr>
      <w:spacing w:after="200" w:line="276" w:lineRule="auto"/>
      <w:ind w:left="200" w:leftChars="200"/>
    </w:pPr>
    <w:rPr>
      <w:rFonts w:asciiTheme="minorHAnsi" w:eastAsiaTheme="minorHAnsi" w:hAnsiTheme="minorHAnsi" w:cstheme="minorBidi"/>
      <w:lang w:val="en-US" w:eastAsia="zh-CN" w:bidi="ar-SA"/>
    </w:rPr>
  </w:style>
  <w:style w:type="paragraph" w:customStyle="1" w:styleId="WPSOffice3">
    <w:name w:val="WPSOffice手动目录 3"/>
    <w:qFormat/>
    <w:pPr>
      <w:spacing w:after="200" w:line="276" w:lineRule="auto"/>
      <w:ind w:left="400" w:leftChars="400"/>
    </w:pPr>
    <w:rPr>
      <w:rFonts w:asciiTheme="minorHAnsi" w:eastAsiaTheme="minorHAnsi" w:hAnsiTheme="minorHAnsi" w:cstheme="minorBidi"/>
      <w:lang w:val="en-US" w:eastAsia="zh-CN" w:bidi="ar-SA"/>
    </w:rPr>
  </w:style>
  <w:style w:type="paragraph" w:customStyle="1" w:styleId="10">
    <w:name w:val="正文1"/>
    <w:qFormat/>
    <w:pPr>
      <w:spacing w:after="200" w:line="276" w:lineRule="auto"/>
      <w:jc w:val="both"/>
    </w:pPr>
    <w:rPr>
      <w:rFonts w:ascii="Cambria" w:eastAsia="宋体" w:hAnsi="Cambria" w:cs="宋体"/>
      <w:kern w:val="2"/>
      <w:sz w:val="21"/>
      <w:szCs w:val="21"/>
      <w:lang w:val="en-US" w:eastAsia="zh-CN" w:bidi="ar-SA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keepLines/>
      <w:widowControl/>
      <w:spacing w:before="480"/>
      <w:jc w:val="left"/>
      <w:outlineLvl w:val="9"/>
    </w:pPr>
    <w:rPr>
      <w:rFonts w:asciiTheme="majorHAnsi" w:eastAsiaTheme="majorEastAsia" w:hAnsiTheme="majorHAnsi" w:cstheme="majorBidi"/>
      <w:b/>
      <w:bCs/>
      <w:color w:val="376092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yperlink" Target="https://d.book118.com/156101122115010052" TargetMode="Externa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2146</Words>
  <Characters>12237</Characters>
  <Application>Microsoft Office Word</Application>
  <DocSecurity>0</DocSecurity>
  <Lines>101</Lines>
  <Paragraphs>28</Paragraphs>
  <ScaleCrop>false</ScaleCrop>
  <Company>CHINA</Company>
  <LinksUpToDate>false</LinksUpToDate>
  <CharactersWithSpaces>14355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信息工程学院毕业设计论文模板</dc:title>
  <dc:creator>范立南</dc:creator>
  <cp:lastModifiedBy>张老师</cp:lastModifiedBy>
  <cp:revision>62</cp:revision>
  <cp:lastPrinted>2021-05-15T16:52:00Z</cp:lastPrinted>
  <dcterms:created xsi:type="dcterms:W3CDTF">2019-05-24T01:23:00Z</dcterms:created>
  <dcterms:modified xsi:type="dcterms:W3CDTF">2023-11-06T06:23:34Z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07D236C9F9C344AA9462139A6DD4FAC0_12</vt:lpwstr>
  </property>
  <property fmtid="{D5CDD505-2E9C-101B-9397-08002B2CF9AE}" pid="3" name="KSOProductBuildVer">
    <vt:lpwstr>2052-12.1.0.15712</vt:lpwstr>
  </property>
  <property fmtid="{D5CDD505-2E9C-101B-9397-08002B2CF9AE}" pid="4" name="KSORubyTemplateID">
    <vt:lpwstr>6</vt:lpwstr>
  </property>
</Properties>
</file>