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同位素及应用产品项目规划设计纲要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80" w:history="1">
        <w:r>
          <w:rPr>
            <w:rFonts w:ascii="仿宋" w:eastAsia="仿宋" w:hAnsi="仿宋" w:cs="仿宋" w:hint="eastAsia"/>
            <w:lang w:eastAsia="zh-CN"/>
          </w:rPr>
          <w:t>概论</w:t>
        </w:r>
        <w:r>
          <w:tab/>
        </w:r>
        <w:r>
          <w:fldChar w:fldCharType="begin"/>
        </w:r>
        <w:r>
          <w:instrText xml:space="preserve"> PAGEREF _Toc16580 \h </w:instrText>
        </w:r>
        <w:r>
          <w:fldChar w:fldCharType="separate"/>
        </w:r>
        <w:r>
          <w:t>3</w:t>
        </w:r>
        <w:r>
          <w:fldChar w:fldCharType="end"/>
        </w:r>
      </w:hyperlink>
    </w:p>
    <w:p>
      <w:pPr>
        <w:pStyle w:val="TOC1"/>
        <w:tabs>
          <w:tab w:val="right" w:leader="dot" w:pos="8306"/>
        </w:tabs>
      </w:pPr>
      <w:hyperlink w:anchor="_Toc9563" w:history="1">
        <w:r>
          <w:rPr>
            <w:rFonts w:ascii="仿宋" w:eastAsia="仿宋" w:hAnsi="仿宋" w:cs="仿宋" w:hint="eastAsia"/>
            <w:lang w:eastAsia="zh-CN"/>
          </w:rPr>
          <w:t>一、同位素及应用产品项目危机管理</w:t>
        </w:r>
        <w:r>
          <w:tab/>
        </w:r>
        <w:r>
          <w:fldChar w:fldCharType="begin"/>
        </w:r>
        <w:r>
          <w:instrText xml:space="preserve"> PAGEREF _Toc9563 \h </w:instrText>
        </w:r>
        <w:r>
          <w:fldChar w:fldCharType="separate"/>
        </w:r>
        <w:r>
          <w:t>3</w:t>
        </w:r>
        <w:r>
          <w:fldChar w:fldCharType="end"/>
        </w:r>
      </w:hyperlink>
    </w:p>
    <w:p>
      <w:pPr>
        <w:pStyle w:val="TOC2"/>
        <w:tabs>
          <w:tab w:val="right" w:leader="dot" w:pos="8306"/>
        </w:tabs>
      </w:pPr>
      <w:hyperlink w:anchor="_Toc17381" w:history="1">
        <w:r>
          <w:rPr>
            <w:rFonts w:ascii="仿宋" w:eastAsia="仿宋" w:hAnsi="仿宋" w:cs="仿宋" w:hint="eastAsia"/>
            <w:lang w:eastAsia="zh-CN"/>
          </w:rPr>
          <w:t>(一)、危机预警与识别</w:t>
        </w:r>
        <w:r>
          <w:tab/>
        </w:r>
        <w:r>
          <w:fldChar w:fldCharType="begin"/>
        </w:r>
        <w:r>
          <w:instrText xml:space="preserve"> PAGEREF _Toc17381 \h </w:instrText>
        </w:r>
        <w:r>
          <w:fldChar w:fldCharType="separate"/>
        </w:r>
        <w:r>
          <w:t>3</w:t>
        </w:r>
        <w:r>
          <w:fldChar w:fldCharType="end"/>
        </w:r>
      </w:hyperlink>
    </w:p>
    <w:p>
      <w:pPr>
        <w:pStyle w:val="TOC2"/>
        <w:tabs>
          <w:tab w:val="right" w:leader="dot" w:pos="8306"/>
        </w:tabs>
      </w:pPr>
      <w:hyperlink w:anchor="_Toc15883" w:history="1">
        <w:r>
          <w:rPr>
            <w:rFonts w:ascii="仿宋" w:eastAsia="仿宋" w:hAnsi="仿宋" w:cs="仿宋" w:hint="eastAsia"/>
            <w:lang w:eastAsia="zh-CN"/>
          </w:rPr>
          <w:t>(二)、危机应对与恢复</w:t>
        </w:r>
        <w:r>
          <w:tab/>
        </w:r>
        <w:r>
          <w:fldChar w:fldCharType="begin"/>
        </w:r>
        <w:r>
          <w:instrText xml:space="preserve"> PAGEREF _Toc15883 \h </w:instrText>
        </w:r>
        <w:r>
          <w:fldChar w:fldCharType="separate"/>
        </w:r>
        <w:r>
          <w:t>4</w:t>
        </w:r>
        <w:r>
          <w:fldChar w:fldCharType="end"/>
        </w:r>
      </w:hyperlink>
    </w:p>
    <w:p>
      <w:pPr>
        <w:pStyle w:val="TOC1"/>
        <w:tabs>
          <w:tab w:val="right" w:leader="dot" w:pos="8306"/>
        </w:tabs>
      </w:pPr>
      <w:hyperlink w:anchor="_Toc24127" w:history="1">
        <w:r>
          <w:rPr>
            <w:rFonts w:ascii="仿宋" w:eastAsia="仿宋" w:hAnsi="仿宋" w:cs="仿宋" w:hint="eastAsia"/>
            <w:lang w:eastAsia="zh-CN"/>
          </w:rPr>
          <w:t>二、市场分析、调研</w:t>
        </w:r>
        <w:r>
          <w:tab/>
        </w:r>
        <w:r>
          <w:fldChar w:fldCharType="begin"/>
        </w:r>
        <w:r>
          <w:instrText xml:space="preserve"> PAGEREF _Toc24127 \h </w:instrText>
        </w:r>
        <w:r>
          <w:fldChar w:fldCharType="separate"/>
        </w:r>
        <w:r>
          <w:t>6</w:t>
        </w:r>
        <w:r>
          <w:fldChar w:fldCharType="end"/>
        </w:r>
      </w:hyperlink>
    </w:p>
    <w:p>
      <w:pPr>
        <w:pStyle w:val="TOC2"/>
        <w:tabs>
          <w:tab w:val="right" w:leader="dot" w:pos="8306"/>
        </w:tabs>
      </w:pPr>
      <w:hyperlink w:anchor="_Toc25055" w:history="1">
        <w:r>
          <w:rPr>
            <w:rFonts w:ascii="仿宋" w:eastAsia="仿宋" w:hAnsi="仿宋" w:cs="仿宋" w:hint="eastAsia"/>
            <w:lang w:eastAsia="zh-CN"/>
          </w:rPr>
          <w:t>(一)、同位素及应用产品行业分析</w:t>
        </w:r>
        <w:r>
          <w:tab/>
        </w:r>
        <w:r>
          <w:fldChar w:fldCharType="begin"/>
        </w:r>
        <w:r>
          <w:instrText xml:space="preserve"> PAGEREF _Toc25055 \h </w:instrText>
        </w:r>
        <w:r>
          <w:fldChar w:fldCharType="separate"/>
        </w:r>
        <w:r>
          <w:t>6</w:t>
        </w:r>
        <w:r>
          <w:fldChar w:fldCharType="end"/>
        </w:r>
      </w:hyperlink>
    </w:p>
    <w:p>
      <w:pPr>
        <w:pStyle w:val="TOC2"/>
        <w:tabs>
          <w:tab w:val="right" w:leader="dot" w:pos="8306"/>
        </w:tabs>
      </w:pPr>
      <w:hyperlink w:anchor="_Toc14775" w:history="1">
        <w:r>
          <w:rPr>
            <w:rFonts w:ascii="仿宋" w:eastAsia="仿宋" w:hAnsi="仿宋" w:cs="仿宋" w:hint="eastAsia"/>
            <w:lang w:eastAsia="zh-CN"/>
          </w:rPr>
          <w:t>(二)、同位素及应用产品市场分析预测</w:t>
        </w:r>
        <w:r>
          <w:tab/>
        </w:r>
        <w:r>
          <w:fldChar w:fldCharType="begin"/>
        </w:r>
        <w:r>
          <w:instrText xml:space="preserve"> PAGEREF _Toc14775 \h </w:instrText>
        </w:r>
        <w:r>
          <w:fldChar w:fldCharType="separate"/>
        </w:r>
        <w:r>
          <w:t>6</w:t>
        </w:r>
        <w:r>
          <w:fldChar w:fldCharType="end"/>
        </w:r>
      </w:hyperlink>
    </w:p>
    <w:p>
      <w:pPr>
        <w:pStyle w:val="TOC1"/>
        <w:tabs>
          <w:tab w:val="right" w:leader="dot" w:pos="8306"/>
        </w:tabs>
      </w:pPr>
      <w:hyperlink w:anchor="_Toc7092" w:history="1">
        <w:r>
          <w:rPr>
            <w:rFonts w:ascii="仿宋" w:eastAsia="仿宋" w:hAnsi="仿宋" w:cs="仿宋" w:hint="eastAsia"/>
            <w:lang w:eastAsia="zh-CN"/>
          </w:rPr>
          <w:t>三、工艺说明</w:t>
        </w:r>
        <w:r>
          <w:tab/>
        </w:r>
        <w:r>
          <w:fldChar w:fldCharType="begin"/>
        </w:r>
        <w:r>
          <w:instrText xml:space="preserve"> PAGEREF _Toc7092 \h </w:instrText>
        </w:r>
        <w:r>
          <w:fldChar w:fldCharType="separate"/>
        </w:r>
        <w:r>
          <w:t>7</w:t>
        </w:r>
        <w:r>
          <w:fldChar w:fldCharType="end"/>
        </w:r>
      </w:hyperlink>
    </w:p>
    <w:p>
      <w:pPr>
        <w:pStyle w:val="TOC2"/>
        <w:tabs>
          <w:tab w:val="right" w:leader="dot" w:pos="8306"/>
        </w:tabs>
      </w:pPr>
      <w:hyperlink w:anchor="_Toc17435" w:history="1">
        <w:r>
          <w:rPr>
            <w:rFonts w:ascii="仿宋" w:eastAsia="仿宋" w:hAnsi="仿宋" w:cs="仿宋" w:hint="eastAsia"/>
            <w:lang w:eastAsia="zh-CN"/>
          </w:rPr>
          <w:t>(一)、技术管理特点</w:t>
        </w:r>
        <w:r>
          <w:tab/>
        </w:r>
        <w:r>
          <w:fldChar w:fldCharType="begin"/>
        </w:r>
        <w:r>
          <w:instrText xml:space="preserve"> PAGEREF _Toc17435 \h </w:instrText>
        </w:r>
        <w:r>
          <w:fldChar w:fldCharType="separate"/>
        </w:r>
        <w:r>
          <w:t>7</w:t>
        </w:r>
        <w:r>
          <w:fldChar w:fldCharType="end"/>
        </w:r>
      </w:hyperlink>
    </w:p>
    <w:p>
      <w:pPr>
        <w:pStyle w:val="TOC2"/>
        <w:tabs>
          <w:tab w:val="right" w:leader="dot" w:pos="8306"/>
        </w:tabs>
      </w:pPr>
      <w:hyperlink w:anchor="_Toc32508" w:history="1">
        <w:r>
          <w:rPr>
            <w:rFonts w:ascii="仿宋" w:eastAsia="仿宋" w:hAnsi="仿宋" w:cs="仿宋" w:hint="eastAsia"/>
            <w:lang w:eastAsia="zh-CN"/>
          </w:rPr>
          <w:t>(二)、同位素及应用产品项目工艺技术设计方案</w:t>
        </w:r>
        <w:r>
          <w:tab/>
        </w:r>
        <w:r>
          <w:fldChar w:fldCharType="begin"/>
        </w:r>
        <w:r>
          <w:instrText xml:space="preserve"> PAGEREF _Toc32508 \h </w:instrText>
        </w:r>
        <w:r>
          <w:fldChar w:fldCharType="separate"/>
        </w:r>
        <w:r>
          <w:t>8</w:t>
        </w:r>
        <w:r>
          <w:fldChar w:fldCharType="end"/>
        </w:r>
      </w:hyperlink>
    </w:p>
    <w:p>
      <w:pPr>
        <w:pStyle w:val="TOC2"/>
        <w:tabs>
          <w:tab w:val="right" w:leader="dot" w:pos="8306"/>
        </w:tabs>
      </w:pPr>
      <w:hyperlink w:anchor="_Toc5256" w:history="1">
        <w:r>
          <w:rPr>
            <w:rFonts w:ascii="仿宋" w:eastAsia="仿宋" w:hAnsi="仿宋" w:cs="仿宋" w:hint="eastAsia"/>
            <w:lang w:eastAsia="zh-CN"/>
          </w:rPr>
          <w:t>(三)、设备选型方案</w:t>
        </w:r>
        <w:r>
          <w:tab/>
        </w:r>
        <w:r>
          <w:fldChar w:fldCharType="begin"/>
        </w:r>
        <w:r>
          <w:instrText xml:space="preserve"> PAGEREF _Toc5256 \h </w:instrText>
        </w:r>
        <w:r>
          <w:fldChar w:fldCharType="separate"/>
        </w:r>
        <w:r>
          <w:t>10</w:t>
        </w:r>
        <w:r>
          <w:fldChar w:fldCharType="end"/>
        </w:r>
      </w:hyperlink>
    </w:p>
    <w:p>
      <w:pPr>
        <w:pStyle w:val="TOC1"/>
        <w:tabs>
          <w:tab w:val="right" w:leader="dot" w:pos="8306"/>
        </w:tabs>
      </w:pPr>
      <w:hyperlink w:anchor="_Toc6666" w:history="1">
        <w:r>
          <w:rPr>
            <w:rFonts w:ascii="仿宋" w:eastAsia="仿宋" w:hAnsi="仿宋" w:cs="仿宋" w:hint="eastAsia"/>
            <w:lang w:eastAsia="zh-CN"/>
          </w:rPr>
          <w:t>四、同位素及应用产品项目土建工程</w:t>
        </w:r>
        <w:r>
          <w:tab/>
        </w:r>
        <w:r>
          <w:fldChar w:fldCharType="begin"/>
        </w:r>
        <w:r>
          <w:instrText xml:space="preserve"> PAGEREF _Toc6666 \h </w:instrText>
        </w:r>
        <w:r>
          <w:fldChar w:fldCharType="separate"/>
        </w:r>
        <w:r>
          <w:t>11</w:t>
        </w:r>
        <w:r>
          <w:fldChar w:fldCharType="end"/>
        </w:r>
      </w:hyperlink>
    </w:p>
    <w:p>
      <w:pPr>
        <w:pStyle w:val="TOC2"/>
        <w:tabs>
          <w:tab w:val="right" w:leader="dot" w:pos="8306"/>
        </w:tabs>
      </w:pPr>
      <w:hyperlink w:anchor="_Toc11525" w:history="1">
        <w:r>
          <w:rPr>
            <w:rFonts w:ascii="仿宋" w:eastAsia="仿宋" w:hAnsi="仿宋" w:cs="仿宋" w:hint="eastAsia"/>
            <w:lang w:eastAsia="zh-CN"/>
          </w:rPr>
          <w:t>(一)、建筑工程设计原则</w:t>
        </w:r>
        <w:r>
          <w:tab/>
        </w:r>
        <w:r>
          <w:fldChar w:fldCharType="begin"/>
        </w:r>
        <w:r>
          <w:instrText xml:space="preserve"> PAGEREF _Toc11525 \h </w:instrText>
        </w:r>
        <w:r>
          <w:fldChar w:fldCharType="separate"/>
        </w:r>
        <w:r>
          <w:t>11</w:t>
        </w:r>
        <w:r>
          <w:fldChar w:fldCharType="end"/>
        </w:r>
      </w:hyperlink>
    </w:p>
    <w:p>
      <w:pPr>
        <w:pStyle w:val="TOC2"/>
        <w:tabs>
          <w:tab w:val="right" w:leader="dot" w:pos="8306"/>
        </w:tabs>
      </w:pPr>
      <w:hyperlink w:anchor="_Toc26560" w:history="1">
        <w:r>
          <w:rPr>
            <w:rFonts w:ascii="仿宋" w:eastAsia="仿宋" w:hAnsi="仿宋" w:cs="仿宋" w:hint="eastAsia"/>
            <w:lang w:eastAsia="zh-CN"/>
          </w:rPr>
          <w:t>(二)、土建工程设计年限及安全等级</w:t>
        </w:r>
        <w:r>
          <w:tab/>
        </w:r>
        <w:r>
          <w:fldChar w:fldCharType="begin"/>
        </w:r>
        <w:r>
          <w:instrText xml:space="preserve"> PAGEREF _Toc26560 \h </w:instrText>
        </w:r>
        <w:r>
          <w:fldChar w:fldCharType="separate"/>
        </w:r>
        <w:r>
          <w:t>12</w:t>
        </w:r>
        <w:r>
          <w:fldChar w:fldCharType="end"/>
        </w:r>
      </w:hyperlink>
    </w:p>
    <w:p>
      <w:pPr>
        <w:pStyle w:val="TOC2"/>
        <w:tabs>
          <w:tab w:val="right" w:leader="dot" w:pos="8306"/>
        </w:tabs>
      </w:pPr>
      <w:hyperlink w:anchor="_Toc509" w:history="1">
        <w:r>
          <w:rPr>
            <w:rFonts w:ascii="仿宋" w:eastAsia="仿宋" w:hAnsi="仿宋" w:cs="仿宋" w:hint="eastAsia"/>
            <w:lang w:eastAsia="zh-CN"/>
          </w:rPr>
          <w:t>(三)、建筑工程设计总体要求</w:t>
        </w:r>
        <w:r>
          <w:tab/>
        </w:r>
        <w:r>
          <w:fldChar w:fldCharType="begin"/>
        </w:r>
        <w:r>
          <w:instrText xml:space="preserve"> PAGEREF _Toc509 \h </w:instrText>
        </w:r>
        <w:r>
          <w:fldChar w:fldCharType="separate"/>
        </w:r>
        <w:r>
          <w:t>14</w:t>
        </w:r>
        <w:r>
          <w:fldChar w:fldCharType="end"/>
        </w:r>
      </w:hyperlink>
    </w:p>
    <w:p>
      <w:pPr>
        <w:pStyle w:val="TOC2"/>
        <w:tabs>
          <w:tab w:val="right" w:leader="dot" w:pos="8306"/>
        </w:tabs>
      </w:pPr>
      <w:hyperlink w:anchor="_Toc9125" w:history="1">
        <w:r>
          <w:rPr>
            <w:rFonts w:ascii="仿宋" w:eastAsia="仿宋" w:hAnsi="仿宋" w:cs="仿宋" w:hint="eastAsia"/>
            <w:lang w:eastAsia="zh-CN"/>
          </w:rPr>
          <w:t>(四)、土建工程建设指标</w:t>
        </w:r>
        <w:r>
          <w:tab/>
        </w:r>
        <w:r>
          <w:fldChar w:fldCharType="begin"/>
        </w:r>
        <w:r>
          <w:instrText xml:space="preserve"> PAGEREF _Toc9125 \h </w:instrText>
        </w:r>
        <w:r>
          <w:fldChar w:fldCharType="separate"/>
        </w:r>
        <w:r>
          <w:t>14</w:t>
        </w:r>
        <w:r>
          <w:fldChar w:fldCharType="end"/>
        </w:r>
      </w:hyperlink>
    </w:p>
    <w:p>
      <w:pPr>
        <w:pStyle w:val="TOC1"/>
        <w:tabs>
          <w:tab w:val="right" w:leader="dot" w:pos="8306"/>
        </w:tabs>
      </w:pPr>
      <w:hyperlink w:anchor="_Toc15999" w:history="1">
        <w:r>
          <w:rPr>
            <w:rFonts w:ascii="仿宋" w:eastAsia="仿宋" w:hAnsi="仿宋" w:cs="仿宋" w:hint="eastAsia"/>
            <w:lang w:eastAsia="zh-CN"/>
          </w:rPr>
          <w:t>五、同位素及应用产品项目文档管理</w:t>
        </w:r>
        <w:r>
          <w:tab/>
        </w:r>
        <w:r>
          <w:fldChar w:fldCharType="begin"/>
        </w:r>
        <w:r>
          <w:instrText xml:space="preserve"> PAGEREF _Toc15999 \h </w:instrText>
        </w:r>
        <w:r>
          <w:fldChar w:fldCharType="separate"/>
        </w:r>
        <w:r>
          <w:t>14</w:t>
        </w:r>
        <w:r>
          <w:fldChar w:fldCharType="end"/>
        </w:r>
      </w:hyperlink>
    </w:p>
    <w:p>
      <w:pPr>
        <w:pStyle w:val="TOC2"/>
        <w:tabs>
          <w:tab w:val="right" w:leader="dot" w:pos="8306"/>
        </w:tabs>
      </w:pPr>
      <w:hyperlink w:anchor="_Toc15276" w:history="1">
        <w:r>
          <w:rPr>
            <w:rFonts w:ascii="仿宋" w:eastAsia="仿宋" w:hAnsi="仿宋" w:cs="仿宋" w:hint="eastAsia"/>
            <w:lang w:eastAsia="zh-CN"/>
          </w:rPr>
          <w:t>(一)、文档编制与审查</w:t>
        </w:r>
        <w:r>
          <w:tab/>
        </w:r>
        <w:r>
          <w:fldChar w:fldCharType="begin"/>
        </w:r>
        <w:r>
          <w:instrText xml:space="preserve"> PAGEREF _Toc15276 \h </w:instrText>
        </w:r>
        <w:r>
          <w:fldChar w:fldCharType="separate"/>
        </w:r>
        <w:r>
          <w:t>14</w:t>
        </w:r>
        <w:r>
          <w:fldChar w:fldCharType="end"/>
        </w:r>
      </w:hyperlink>
    </w:p>
    <w:p>
      <w:pPr>
        <w:pStyle w:val="TOC2"/>
        <w:tabs>
          <w:tab w:val="right" w:leader="dot" w:pos="8306"/>
        </w:tabs>
      </w:pPr>
      <w:hyperlink w:anchor="_Toc13155" w:history="1">
        <w:r>
          <w:rPr>
            <w:rFonts w:ascii="仿宋" w:eastAsia="仿宋" w:hAnsi="仿宋" w:cs="仿宋" w:hint="eastAsia"/>
            <w:lang w:eastAsia="zh-CN"/>
          </w:rPr>
          <w:t>(二)、文档发布与分发</w:t>
        </w:r>
        <w:r>
          <w:tab/>
        </w:r>
        <w:r>
          <w:fldChar w:fldCharType="begin"/>
        </w:r>
        <w:r>
          <w:instrText xml:space="preserve"> PAGEREF _Toc13155 \h </w:instrText>
        </w:r>
        <w:r>
          <w:fldChar w:fldCharType="separate"/>
        </w:r>
        <w:r>
          <w:t>16</w:t>
        </w:r>
        <w:r>
          <w:fldChar w:fldCharType="end"/>
        </w:r>
      </w:hyperlink>
    </w:p>
    <w:p>
      <w:pPr>
        <w:pStyle w:val="TOC2"/>
        <w:tabs>
          <w:tab w:val="right" w:leader="dot" w:pos="8306"/>
        </w:tabs>
      </w:pPr>
      <w:hyperlink w:anchor="_Toc13621" w:history="1">
        <w:r>
          <w:rPr>
            <w:rFonts w:ascii="仿宋" w:eastAsia="仿宋" w:hAnsi="仿宋" w:cs="仿宋" w:hint="eastAsia"/>
            <w:lang w:eastAsia="zh-CN"/>
          </w:rPr>
          <w:t>(三)、文档存档与归档</w:t>
        </w:r>
        <w:r>
          <w:tab/>
        </w:r>
        <w:r>
          <w:fldChar w:fldCharType="begin"/>
        </w:r>
        <w:r>
          <w:instrText xml:space="preserve"> PAGEREF _Toc13621 \h </w:instrText>
        </w:r>
        <w:r>
          <w:fldChar w:fldCharType="separate"/>
        </w:r>
        <w:r>
          <w:t>17</w:t>
        </w:r>
        <w:r>
          <w:fldChar w:fldCharType="end"/>
        </w:r>
      </w:hyperlink>
    </w:p>
    <w:p>
      <w:pPr>
        <w:pStyle w:val="TOC1"/>
        <w:tabs>
          <w:tab w:val="right" w:leader="dot" w:pos="8306"/>
        </w:tabs>
      </w:pPr>
      <w:hyperlink w:anchor="_Toc4302" w:history="1">
        <w:r>
          <w:rPr>
            <w:rFonts w:ascii="仿宋" w:eastAsia="仿宋" w:hAnsi="仿宋" w:cs="仿宋" w:hint="eastAsia"/>
            <w:lang w:eastAsia="zh-CN"/>
          </w:rPr>
          <w:t>六、同位素及应用产品项目可持续发展</w:t>
        </w:r>
        <w:r>
          <w:tab/>
        </w:r>
        <w:r>
          <w:fldChar w:fldCharType="begin"/>
        </w:r>
        <w:r>
          <w:instrText xml:space="preserve"> PAGEREF _Toc4302 \h </w:instrText>
        </w:r>
        <w:r>
          <w:fldChar w:fldCharType="separate"/>
        </w:r>
        <w:r>
          <w:t>18</w:t>
        </w:r>
        <w:r>
          <w:fldChar w:fldCharType="end"/>
        </w:r>
      </w:hyperlink>
    </w:p>
    <w:p>
      <w:pPr>
        <w:pStyle w:val="TOC2"/>
        <w:tabs>
          <w:tab w:val="right" w:leader="dot" w:pos="8306"/>
        </w:tabs>
      </w:pPr>
      <w:hyperlink w:anchor="_Toc18187" w:history="1">
        <w:r>
          <w:rPr>
            <w:rFonts w:ascii="仿宋" w:eastAsia="仿宋" w:hAnsi="仿宋" w:cs="仿宋" w:hint="eastAsia"/>
            <w:lang w:eastAsia="zh-CN"/>
          </w:rPr>
          <w:t>(一)、可持续战略与实践</w:t>
        </w:r>
        <w:r>
          <w:tab/>
        </w:r>
        <w:r>
          <w:fldChar w:fldCharType="begin"/>
        </w:r>
        <w:r>
          <w:instrText xml:space="preserve"> PAGEREF _Toc18187 \h </w:instrText>
        </w:r>
        <w:r>
          <w:fldChar w:fldCharType="separate"/>
        </w:r>
        <w:r>
          <w:t>18</w:t>
        </w:r>
        <w:r>
          <w:fldChar w:fldCharType="end"/>
        </w:r>
      </w:hyperlink>
    </w:p>
    <w:p>
      <w:pPr>
        <w:pStyle w:val="TOC2"/>
        <w:tabs>
          <w:tab w:val="right" w:leader="dot" w:pos="8306"/>
        </w:tabs>
      </w:pPr>
      <w:hyperlink w:anchor="_Toc17579" w:history="1">
        <w:r>
          <w:rPr>
            <w:rFonts w:ascii="仿宋" w:eastAsia="仿宋" w:hAnsi="仿宋" w:cs="仿宋" w:hint="eastAsia"/>
            <w:lang w:eastAsia="zh-CN"/>
          </w:rPr>
          <w:t>(二)、环保与社会责任</w:t>
        </w:r>
        <w:r>
          <w:tab/>
        </w:r>
        <w:r>
          <w:fldChar w:fldCharType="begin"/>
        </w:r>
        <w:r>
          <w:instrText xml:space="preserve"> PAGEREF _Toc17579 \h </w:instrText>
        </w:r>
        <w:r>
          <w:fldChar w:fldCharType="separate"/>
        </w:r>
        <w:r>
          <w:t>19</w:t>
        </w:r>
        <w:r>
          <w:fldChar w:fldCharType="end"/>
        </w:r>
      </w:hyperlink>
    </w:p>
    <w:p>
      <w:pPr>
        <w:pStyle w:val="TOC1"/>
        <w:tabs>
          <w:tab w:val="right" w:leader="dot" w:pos="8306"/>
        </w:tabs>
      </w:pPr>
      <w:hyperlink w:anchor="_Toc14450" w:history="1">
        <w:r>
          <w:rPr>
            <w:rFonts w:ascii="仿宋" w:eastAsia="仿宋" w:hAnsi="仿宋" w:cs="仿宋" w:hint="eastAsia"/>
            <w:lang w:eastAsia="zh-CN"/>
          </w:rPr>
          <w:t>七、同位素及应用产品项目社会影响</w:t>
        </w:r>
        <w:r>
          <w:tab/>
        </w:r>
        <w:r>
          <w:fldChar w:fldCharType="begin"/>
        </w:r>
        <w:r>
          <w:instrText xml:space="preserve"> PAGEREF _Toc14450 \h </w:instrText>
        </w:r>
        <w:r>
          <w:fldChar w:fldCharType="separate"/>
        </w:r>
        <w:r>
          <w:t>20</w:t>
        </w:r>
        <w:r>
          <w:fldChar w:fldCharType="end"/>
        </w:r>
      </w:hyperlink>
    </w:p>
    <w:p>
      <w:pPr>
        <w:pStyle w:val="TOC2"/>
        <w:tabs>
          <w:tab w:val="right" w:leader="dot" w:pos="8306"/>
        </w:tabs>
      </w:pPr>
      <w:hyperlink w:anchor="_Toc28179" w:history="1">
        <w:r>
          <w:rPr>
            <w:rFonts w:ascii="仿宋" w:eastAsia="仿宋" w:hAnsi="仿宋" w:cs="仿宋" w:hint="eastAsia"/>
            <w:lang w:eastAsia="zh-CN"/>
          </w:rPr>
          <w:t>(一)、社会责任与义务</w:t>
        </w:r>
        <w:r>
          <w:tab/>
        </w:r>
        <w:r>
          <w:fldChar w:fldCharType="begin"/>
        </w:r>
        <w:r>
          <w:instrText xml:space="preserve"> PAGEREF _Toc28179 \h </w:instrText>
        </w:r>
        <w:r>
          <w:fldChar w:fldCharType="separate"/>
        </w:r>
        <w:r>
          <w:t>20</w:t>
        </w:r>
        <w:r>
          <w:fldChar w:fldCharType="end"/>
        </w:r>
      </w:hyperlink>
    </w:p>
    <w:p>
      <w:pPr>
        <w:pStyle w:val="TOC2"/>
        <w:tabs>
          <w:tab w:val="right" w:leader="dot" w:pos="8306"/>
        </w:tabs>
      </w:pPr>
      <w:hyperlink w:anchor="_Toc21890" w:history="1">
        <w:r>
          <w:rPr>
            <w:rFonts w:ascii="仿宋" w:eastAsia="仿宋" w:hAnsi="仿宋" w:cs="仿宋" w:hint="eastAsia"/>
            <w:lang w:eastAsia="zh-CN"/>
          </w:rPr>
          <w:t>(二)、社会参与与沟通</w:t>
        </w:r>
        <w:r>
          <w:tab/>
        </w:r>
        <w:r>
          <w:fldChar w:fldCharType="begin"/>
        </w:r>
        <w:r>
          <w:instrText xml:space="preserve"> PAGEREF _Toc21890 \h </w:instrText>
        </w:r>
        <w:r>
          <w:fldChar w:fldCharType="separate"/>
        </w:r>
        <w:r>
          <w:t>20</w:t>
        </w:r>
        <w:r>
          <w:fldChar w:fldCharType="end"/>
        </w:r>
      </w:hyperlink>
    </w:p>
    <w:p>
      <w:pPr>
        <w:pStyle w:val="TOC1"/>
        <w:tabs>
          <w:tab w:val="right" w:leader="dot" w:pos="8306"/>
        </w:tabs>
      </w:pPr>
      <w:hyperlink w:anchor="_Toc5299" w:history="1">
        <w:r>
          <w:rPr>
            <w:rFonts w:ascii="仿宋" w:eastAsia="仿宋" w:hAnsi="仿宋" w:cs="仿宋" w:hint="eastAsia"/>
            <w:lang w:eastAsia="zh-CN"/>
          </w:rPr>
          <w:t>八、同位素及应用产品项目财务管理</w:t>
        </w:r>
        <w:r>
          <w:tab/>
        </w:r>
        <w:r>
          <w:fldChar w:fldCharType="begin"/>
        </w:r>
        <w:r>
          <w:instrText xml:space="preserve"> PAGEREF _Toc5299 \h </w:instrText>
        </w:r>
        <w:r>
          <w:fldChar w:fldCharType="separate"/>
        </w:r>
        <w:r>
          <w:t>21</w:t>
        </w:r>
        <w:r>
          <w:fldChar w:fldCharType="end"/>
        </w:r>
      </w:hyperlink>
    </w:p>
    <w:p>
      <w:pPr>
        <w:pStyle w:val="TOC2"/>
        <w:tabs>
          <w:tab w:val="right" w:leader="dot" w:pos="8306"/>
        </w:tabs>
      </w:pPr>
      <w:hyperlink w:anchor="_Toc2902" w:history="1">
        <w:r>
          <w:rPr>
            <w:rFonts w:ascii="仿宋" w:eastAsia="仿宋" w:hAnsi="仿宋" w:cs="仿宋" w:hint="eastAsia"/>
            <w:lang w:eastAsia="zh-CN"/>
          </w:rPr>
          <w:t>(一)、资金需求大</w:t>
        </w:r>
        <w:r>
          <w:tab/>
        </w:r>
        <w:r>
          <w:fldChar w:fldCharType="begin"/>
        </w:r>
        <w:r>
          <w:instrText xml:space="preserve"> PAGEREF _Toc2902 \h </w:instrText>
        </w:r>
        <w:r>
          <w:fldChar w:fldCharType="separate"/>
        </w:r>
        <w:r>
          <w:t>21</w:t>
        </w:r>
        <w:r>
          <w:fldChar w:fldCharType="end"/>
        </w:r>
      </w:hyperlink>
    </w:p>
    <w:p>
      <w:pPr>
        <w:pStyle w:val="TOC2"/>
        <w:tabs>
          <w:tab w:val="right" w:leader="dot" w:pos="8306"/>
        </w:tabs>
      </w:pPr>
      <w:hyperlink w:anchor="_Toc3256" w:history="1">
        <w:r>
          <w:rPr>
            <w:rFonts w:ascii="仿宋" w:eastAsia="仿宋" w:hAnsi="仿宋" w:cs="仿宋" w:hint="eastAsia"/>
            <w:lang w:eastAsia="zh-CN"/>
          </w:rPr>
          <w:t>(二)、研发周期长</w:t>
        </w:r>
        <w:r>
          <w:tab/>
        </w:r>
        <w:r>
          <w:fldChar w:fldCharType="begin"/>
        </w:r>
        <w:r>
          <w:instrText xml:space="preserve"> PAGEREF _Toc3256 \h </w:instrText>
        </w:r>
        <w:r>
          <w:fldChar w:fldCharType="separate"/>
        </w:r>
        <w:r>
          <w:t>22</w:t>
        </w:r>
        <w:r>
          <w:fldChar w:fldCharType="end"/>
        </w:r>
      </w:hyperlink>
    </w:p>
    <w:p>
      <w:pPr>
        <w:pStyle w:val="TOC2"/>
        <w:tabs>
          <w:tab w:val="right" w:leader="dot" w:pos="8306"/>
        </w:tabs>
      </w:pPr>
      <w:hyperlink w:anchor="_Toc4839" w:history="1">
        <w:r>
          <w:rPr>
            <w:rFonts w:ascii="仿宋" w:eastAsia="仿宋" w:hAnsi="仿宋" w:cs="仿宋" w:hint="eastAsia"/>
            <w:lang w:eastAsia="zh-CN"/>
          </w:rPr>
          <w:t>(三)、市场风险大</w:t>
        </w:r>
        <w:r>
          <w:tab/>
        </w:r>
        <w:r>
          <w:fldChar w:fldCharType="begin"/>
        </w:r>
        <w:r>
          <w:instrText xml:space="preserve"> PAGEREF _Toc4839 \h </w:instrText>
        </w:r>
        <w:r>
          <w:fldChar w:fldCharType="separate"/>
        </w:r>
        <w:r>
          <w:t>24</w:t>
        </w:r>
        <w:r>
          <w:fldChar w:fldCharType="end"/>
        </w:r>
      </w:hyperlink>
    </w:p>
    <w:p>
      <w:pPr>
        <w:pStyle w:val="TOC2"/>
        <w:tabs>
          <w:tab w:val="right" w:leader="dot" w:pos="8306"/>
        </w:tabs>
      </w:pPr>
      <w:hyperlink w:anchor="_Toc29384" w:history="1">
        <w:r>
          <w:rPr>
            <w:rFonts w:ascii="仿宋" w:eastAsia="仿宋" w:hAnsi="仿宋" w:cs="仿宋" w:hint="eastAsia"/>
            <w:lang w:eastAsia="zh-CN"/>
          </w:rPr>
          <w:t>(四)、利润率高</w:t>
        </w:r>
        <w:r>
          <w:tab/>
        </w:r>
        <w:r>
          <w:fldChar w:fldCharType="begin"/>
        </w:r>
        <w:r>
          <w:instrText xml:space="preserve"> PAGEREF _Toc29384 \h </w:instrText>
        </w:r>
        <w:r>
          <w:fldChar w:fldCharType="separate"/>
        </w:r>
        <w:r>
          <w:t>26</w:t>
        </w:r>
        <w:r>
          <w:fldChar w:fldCharType="end"/>
        </w:r>
      </w:hyperlink>
    </w:p>
    <w:p>
      <w:pPr>
        <w:pStyle w:val="TOC1"/>
        <w:tabs>
          <w:tab w:val="right" w:leader="dot" w:pos="8306"/>
        </w:tabs>
      </w:pPr>
      <w:hyperlink w:anchor="_Toc1929" w:history="1">
        <w:r>
          <w:rPr>
            <w:rFonts w:ascii="仿宋" w:eastAsia="仿宋" w:hAnsi="仿宋" w:cs="仿宋" w:hint="eastAsia"/>
            <w:lang w:eastAsia="zh-CN"/>
          </w:rPr>
          <w:t>九、同位素及应用产品项目环境影响分析</w:t>
        </w:r>
        <w:r>
          <w:tab/>
        </w:r>
        <w:r>
          <w:fldChar w:fldCharType="begin"/>
        </w:r>
        <w:r>
          <w:instrText xml:space="preserve"> PAGEREF _Toc1929 \h </w:instrText>
        </w:r>
        <w:r>
          <w:fldChar w:fldCharType="separate"/>
        </w:r>
        <w:r>
          <w:t>29</w:t>
        </w:r>
        <w:r>
          <w:fldChar w:fldCharType="end"/>
        </w:r>
      </w:hyperlink>
    </w:p>
    <w:p>
      <w:pPr>
        <w:pStyle w:val="TOC2"/>
        <w:tabs>
          <w:tab w:val="right" w:leader="dot" w:pos="8306"/>
        </w:tabs>
      </w:pPr>
      <w:hyperlink w:anchor="_Toc18701" w:history="1">
        <w:r>
          <w:rPr>
            <w:rFonts w:ascii="仿宋" w:eastAsia="仿宋" w:hAnsi="仿宋" w:cs="仿宋" w:hint="eastAsia"/>
            <w:lang w:eastAsia="zh-CN"/>
          </w:rPr>
          <w:t>(一)、建设区域环境质量现状</w:t>
        </w:r>
        <w:r>
          <w:tab/>
        </w:r>
        <w:r>
          <w:fldChar w:fldCharType="begin"/>
        </w:r>
        <w:r>
          <w:instrText xml:space="preserve"> PAGEREF _Toc18701 \h </w:instrText>
        </w:r>
        <w:r>
          <w:fldChar w:fldCharType="separate"/>
        </w:r>
        <w:r>
          <w:t>29</w:t>
        </w:r>
        <w:r>
          <w:fldChar w:fldCharType="end"/>
        </w:r>
      </w:hyperlink>
    </w:p>
    <w:p>
      <w:pPr>
        <w:pStyle w:val="TOC2"/>
        <w:tabs>
          <w:tab w:val="right" w:leader="dot" w:pos="8306"/>
        </w:tabs>
      </w:pPr>
      <w:hyperlink w:anchor="_Toc28246" w:history="1">
        <w:r>
          <w:rPr>
            <w:rFonts w:ascii="仿宋" w:eastAsia="仿宋" w:hAnsi="仿宋" w:cs="仿宋" w:hint="eastAsia"/>
            <w:lang w:eastAsia="zh-CN"/>
          </w:rPr>
          <w:t>(二)、建设期环境保护</w:t>
        </w:r>
        <w:r>
          <w:tab/>
        </w:r>
        <w:r>
          <w:fldChar w:fldCharType="begin"/>
        </w:r>
        <w:r>
          <w:instrText xml:space="preserve"> PAGEREF _Toc28246 \h </w:instrText>
        </w:r>
        <w:r>
          <w:fldChar w:fldCharType="separate"/>
        </w:r>
        <w:r>
          <w:t>30</w:t>
        </w:r>
        <w:r>
          <w:fldChar w:fldCharType="end"/>
        </w:r>
      </w:hyperlink>
    </w:p>
    <w:p>
      <w:pPr>
        <w:pStyle w:val="TOC2"/>
        <w:tabs>
          <w:tab w:val="right" w:leader="dot" w:pos="8306"/>
        </w:tabs>
      </w:pPr>
      <w:hyperlink w:anchor="_Toc17768" w:history="1">
        <w:r>
          <w:rPr>
            <w:rFonts w:ascii="仿宋" w:eastAsia="仿宋" w:hAnsi="仿宋" w:cs="仿宋" w:hint="eastAsia"/>
            <w:lang w:eastAsia="zh-CN"/>
          </w:rPr>
          <w:t>(三)、运营期环境保护</w:t>
        </w:r>
        <w:r>
          <w:tab/>
        </w:r>
        <w:r>
          <w:fldChar w:fldCharType="begin"/>
        </w:r>
        <w:r>
          <w:instrText xml:space="preserve"> PAGEREF _Toc17768 \h </w:instrText>
        </w:r>
        <w:r>
          <w:fldChar w:fldCharType="separate"/>
        </w:r>
        <w:r>
          <w:t>31</w:t>
        </w:r>
        <w:r>
          <w:fldChar w:fldCharType="end"/>
        </w:r>
      </w:hyperlink>
    </w:p>
    <w:p>
      <w:pPr>
        <w:pStyle w:val="TOC2"/>
        <w:tabs>
          <w:tab w:val="right" w:leader="dot" w:pos="8306"/>
        </w:tabs>
      </w:pPr>
      <w:hyperlink w:anchor="_Toc7709" w:history="1">
        <w:r>
          <w:rPr>
            <w:rFonts w:ascii="仿宋" w:eastAsia="仿宋" w:hAnsi="仿宋" w:cs="仿宋" w:hint="eastAsia"/>
            <w:lang w:eastAsia="zh-CN"/>
          </w:rPr>
          <w:t>(四)、同位素及应用产品项目建设对区域经济的影响</w:t>
        </w:r>
        <w:r>
          <w:tab/>
        </w:r>
        <w:r>
          <w:fldChar w:fldCharType="begin"/>
        </w:r>
        <w:r>
          <w:instrText xml:space="preserve"> PAGEREF _Toc7709 \h </w:instrText>
        </w:r>
        <w:r>
          <w:fldChar w:fldCharType="separate"/>
        </w:r>
        <w:r>
          <w:t>33</w:t>
        </w:r>
        <w:r>
          <w:fldChar w:fldCharType="end"/>
        </w:r>
      </w:hyperlink>
    </w:p>
    <w:p>
      <w:pPr>
        <w:pStyle w:val="TOC2"/>
        <w:tabs>
          <w:tab w:val="right" w:leader="dot" w:pos="8306"/>
        </w:tabs>
      </w:pPr>
      <w:hyperlink w:anchor="_Toc8755" w:history="1">
        <w:r>
          <w:rPr>
            <w:rFonts w:ascii="仿宋" w:eastAsia="仿宋" w:hAnsi="仿宋" w:cs="仿宋" w:hint="eastAsia"/>
            <w:lang w:eastAsia="zh-CN"/>
          </w:rPr>
          <w:t>(五)、废弃物处理</w:t>
        </w:r>
        <w:r>
          <w:tab/>
        </w:r>
        <w:r>
          <w:fldChar w:fldCharType="begin"/>
        </w:r>
        <w:r>
          <w:instrText xml:space="preserve"> PAGEREF _Toc8755 \h </w:instrText>
        </w:r>
        <w:r>
          <w:fldChar w:fldCharType="separate"/>
        </w:r>
        <w:r>
          <w:t>35</w:t>
        </w:r>
        <w:r>
          <w:fldChar w:fldCharType="end"/>
        </w:r>
      </w:hyperlink>
    </w:p>
    <w:p>
      <w:pPr>
        <w:pStyle w:val="TOC2"/>
        <w:tabs>
          <w:tab w:val="right" w:leader="dot" w:pos="8306"/>
        </w:tabs>
      </w:pPr>
      <w:hyperlink w:anchor="_Toc13186" w:history="1">
        <w:r>
          <w:rPr>
            <w:rFonts w:ascii="仿宋" w:eastAsia="仿宋" w:hAnsi="仿宋" w:cs="仿宋" w:hint="eastAsia"/>
            <w:lang w:eastAsia="zh-CN"/>
          </w:rPr>
          <w:t>(六)、特殊环境影响分析</w:t>
        </w:r>
        <w:r>
          <w:tab/>
        </w:r>
        <w:r>
          <w:fldChar w:fldCharType="begin"/>
        </w:r>
        <w:r>
          <w:instrText xml:space="preserve"> PAGEREF _Toc13186 \h </w:instrText>
        </w:r>
        <w:r>
          <w:fldChar w:fldCharType="separate"/>
        </w:r>
        <w:r>
          <w:t>36</w:t>
        </w:r>
        <w:r>
          <w:fldChar w:fldCharType="end"/>
        </w:r>
      </w:hyperlink>
    </w:p>
    <w:p>
      <w:pPr>
        <w:pStyle w:val="TOC2"/>
        <w:tabs>
          <w:tab w:val="right" w:leader="dot" w:pos="8306"/>
        </w:tabs>
      </w:pPr>
      <w:hyperlink w:anchor="_Toc3660" w:history="1">
        <w:r>
          <w:rPr>
            <w:rFonts w:ascii="仿宋" w:eastAsia="仿宋" w:hAnsi="仿宋" w:cs="仿宋" w:hint="eastAsia"/>
            <w:lang w:eastAsia="zh-CN"/>
          </w:rPr>
          <w:t>(七)、清洁生产</w:t>
        </w:r>
        <w:r>
          <w:tab/>
        </w:r>
        <w:r>
          <w:fldChar w:fldCharType="begin"/>
        </w:r>
        <w:r>
          <w:instrText xml:space="preserve"> PAGEREF _Toc3660 \h </w:instrText>
        </w:r>
        <w:r>
          <w:fldChar w:fldCharType="separate"/>
        </w:r>
        <w:r>
          <w:t>37</w:t>
        </w:r>
        <w:r>
          <w:fldChar w:fldCharType="end"/>
        </w:r>
      </w:hyperlink>
    </w:p>
    <w:p>
      <w:pPr>
        <w:pStyle w:val="TOC2"/>
        <w:tabs>
          <w:tab w:val="right" w:leader="dot" w:pos="8306"/>
        </w:tabs>
      </w:pPr>
      <w:hyperlink w:anchor="_Toc23419" w:history="1">
        <w:r>
          <w:rPr>
            <w:rFonts w:ascii="仿宋" w:eastAsia="仿宋" w:hAnsi="仿宋" w:cs="仿宋" w:hint="eastAsia"/>
            <w:lang w:eastAsia="zh-CN"/>
          </w:rPr>
          <w:t>(八)、环境保护综合评价</w:t>
        </w:r>
        <w:r>
          <w:tab/>
        </w:r>
        <w:r>
          <w:fldChar w:fldCharType="begin"/>
        </w:r>
        <w:r>
          <w:instrText xml:space="preserve"> PAGEREF _Toc23419 \h </w:instrText>
        </w:r>
        <w:r>
          <w:fldChar w:fldCharType="separate"/>
        </w:r>
        <w:r>
          <w:t>38</w:t>
        </w:r>
        <w:r>
          <w:fldChar w:fldCharType="end"/>
        </w:r>
      </w:hyperlink>
    </w:p>
    <w:p>
      <w:pPr>
        <w:pStyle w:val="TOC1"/>
        <w:tabs>
          <w:tab w:val="right" w:leader="dot" w:pos="8306"/>
        </w:tabs>
      </w:pPr>
      <w:hyperlink w:anchor="_Toc32314" w:history="1">
        <w:r>
          <w:rPr>
            <w:rFonts w:ascii="仿宋" w:eastAsia="仿宋" w:hAnsi="仿宋" w:cs="仿宋" w:hint="eastAsia"/>
            <w:lang w:eastAsia="zh-CN"/>
          </w:rPr>
          <w:t>十、同位素及应用产品项目人力资源培养与发展</w:t>
        </w:r>
        <w:r>
          <w:tab/>
        </w:r>
        <w:r>
          <w:fldChar w:fldCharType="begin"/>
        </w:r>
        <w:r>
          <w:instrText xml:space="preserve"> PAGEREF _Toc32314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42" w:history="1">
        <w:r>
          <w:rPr>
            <w:rFonts w:ascii="仿宋" w:eastAsia="仿宋" w:hAnsi="仿宋" w:cs="仿宋" w:hint="eastAsia"/>
            <w:lang w:eastAsia="zh-CN"/>
          </w:rPr>
          <w:t>(一)、人才需求与规划</w:t>
        </w:r>
        <w:r>
          <w:tab/>
        </w:r>
        <w:r>
          <w:fldChar w:fldCharType="begin"/>
        </w:r>
        <w:r>
          <w:instrText xml:space="preserve"> PAGEREF _Toc20042 \h </w:instrText>
        </w:r>
        <w:r>
          <w:fldChar w:fldCharType="separate"/>
        </w:r>
        <w:r>
          <w:t>40</w:t>
        </w:r>
        <w:r>
          <w:fldChar w:fldCharType="end"/>
        </w:r>
      </w:hyperlink>
    </w:p>
    <w:p>
      <w:pPr>
        <w:pStyle w:val="TOC2"/>
        <w:tabs>
          <w:tab w:val="right" w:leader="dot" w:pos="8306"/>
        </w:tabs>
      </w:pPr>
      <w:hyperlink w:anchor="_Toc28582" w:history="1">
        <w:r>
          <w:rPr>
            <w:rFonts w:ascii="仿宋" w:eastAsia="仿宋" w:hAnsi="仿宋" w:cs="仿宋" w:hint="eastAsia"/>
            <w:lang w:eastAsia="zh-CN"/>
          </w:rPr>
          <w:t>(二)、培训与发展计划</w:t>
        </w:r>
        <w:r>
          <w:tab/>
        </w:r>
        <w:r>
          <w:fldChar w:fldCharType="begin"/>
        </w:r>
        <w:r>
          <w:instrText xml:space="preserve"> PAGEREF _Toc28582 \h </w:instrText>
        </w:r>
        <w:r>
          <w:fldChar w:fldCharType="separate"/>
        </w:r>
        <w:r>
          <w:t>40</w:t>
        </w:r>
        <w:r>
          <w:fldChar w:fldCharType="end"/>
        </w:r>
      </w:hyperlink>
    </w:p>
    <w:p>
      <w:pPr>
        <w:pStyle w:val="TOC1"/>
        <w:tabs>
          <w:tab w:val="right" w:leader="dot" w:pos="8306"/>
        </w:tabs>
      </w:pPr>
      <w:hyperlink w:anchor="_Toc26525" w:history="1">
        <w:r>
          <w:rPr>
            <w:rFonts w:ascii="仿宋" w:eastAsia="仿宋" w:hAnsi="仿宋" w:cs="仿宋" w:hint="eastAsia"/>
            <w:lang w:eastAsia="zh-CN"/>
          </w:rPr>
          <w:t>十一、同位素及应用产品项目创新与研发</w:t>
        </w:r>
        <w:r>
          <w:tab/>
        </w:r>
        <w:r>
          <w:fldChar w:fldCharType="begin"/>
        </w:r>
        <w:r>
          <w:instrText xml:space="preserve"> PAGEREF _Toc26525 \h </w:instrText>
        </w:r>
        <w:r>
          <w:fldChar w:fldCharType="separate"/>
        </w:r>
        <w:r>
          <w:t>41</w:t>
        </w:r>
        <w:r>
          <w:fldChar w:fldCharType="end"/>
        </w:r>
      </w:hyperlink>
    </w:p>
    <w:p>
      <w:pPr>
        <w:pStyle w:val="TOC2"/>
        <w:tabs>
          <w:tab w:val="right" w:leader="dot" w:pos="8306"/>
        </w:tabs>
      </w:pPr>
      <w:hyperlink w:anchor="_Toc31110" w:history="1">
        <w:r>
          <w:rPr>
            <w:rFonts w:ascii="仿宋" w:eastAsia="仿宋" w:hAnsi="仿宋" w:cs="仿宋" w:hint="eastAsia"/>
            <w:lang w:eastAsia="zh-CN"/>
          </w:rPr>
          <w:t>(一)、创新策略与方向</w:t>
        </w:r>
        <w:r>
          <w:tab/>
        </w:r>
        <w:r>
          <w:fldChar w:fldCharType="begin"/>
        </w:r>
        <w:r>
          <w:instrText xml:space="preserve"> PAGEREF _Toc31110 \h </w:instrText>
        </w:r>
        <w:r>
          <w:fldChar w:fldCharType="separate"/>
        </w:r>
        <w:r>
          <w:t>41</w:t>
        </w:r>
        <w:r>
          <w:fldChar w:fldCharType="end"/>
        </w:r>
      </w:hyperlink>
    </w:p>
    <w:p>
      <w:pPr>
        <w:pStyle w:val="TOC2"/>
        <w:tabs>
          <w:tab w:val="right" w:leader="dot" w:pos="8306"/>
        </w:tabs>
      </w:pPr>
      <w:hyperlink w:anchor="_Toc27789" w:history="1">
        <w:r>
          <w:rPr>
            <w:rFonts w:ascii="仿宋" w:eastAsia="仿宋" w:hAnsi="仿宋" w:cs="仿宋" w:hint="eastAsia"/>
            <w:lang w:eastAsia="zh-CN"/>
          </w:rPr>
          <w:t>(二)、研发规划与投入</w:t>
        </w:r>
        <w:r>
          <w:tab/>
        </w:r>
        <w:r>
          <w:fldChar w:fldCharType="begin"/>
        </w:r>
        <w:r>
          <w:instrText xml:space="preserve"> PAGEREF _Toc27789 \h </w:instrText>
        </w:r>
        <w:r>
          <w:fldChar w:fldCharType="separate"/>
        </w:r>
        <w:r>
          <w:t>42</w:t>
        </w:r>
        <w:r>
          <w:fldChar w:fldCharType="end"/>
        </w:r>
      </w:hyperlink>
    </w:p>
    <w:p>
      <w:pPr>
        <w:pStyle w:val="TOC1"/>
        <w:tabs>
          <w:tab w:val="right" w:leader="dot" w:pos="8306"/>
        </w:tabs>
      </w:pPr>
      <w:hyperlink w:anchor="_Toc5799" w:history="1">
        <w:r>
          <w:rPr>
            <w:rFonts w:ascii="仿宋" w:eastAsia="仿宋" w:hAnsi="仿宋" w:cs="仿宋" w:hint="eastAsia"/>
            <w:lang w:eastAsia="zh-CN"/>
          </w:rPr>
          <w:t>十二、同位素及应用产品项目计划安排</w:t>
        </w:r>
        <w:r>
          <w:tab/>
        </w:r>
        <w:r>
          <w:fldChar w:fldCharType="begin"/>
        </w:r>
        <w:r>
          <w:instrText xml:space="preserve"> PAGEREF _Toc5799 \h </w:instrText>
        </w:r>
        <w:r>
          <w:fldChar w:fldCharType="separate"/>
        </w:r>
        <w:r>
          <w:t>44</w:t>
        </w:r>
        <w:r>
          <w:fldChar w:fldCharType="end"/>
        </w:r>
      </w:hyperlink>
    </w:p>
    <w:p>
      <w:pPr>
        <w:pStyle w:val="TOC2"/>
        <w:tabs>
          <w:tab w:val="right" w:leader="dot" w:pos="8306"/>
        </w:tabs>
      </w:pPr>
      <w:hyperlink w:anchor="_Toc22142" w:history="1">
        <w:r>
          <w:rPr>
            <w:rFonts w:ascii="仿宋" w:eastAsia="仿宋" w:hAnsi="仿宋" w:cs="仿宋" w:hint="eastAsia"/>
            <w:lang w:eastAsia="zh-CN"/>
          </w:rPr>
          <w:t>(一)、建设周期</w:t>
        </w:r>
        <w:r>
          <w:tab/>
        </w:r>
        <w:r>
          <w:fldChar w:fldCharType="begin"/>
        </w:r>
        <w:r>
          <w:instrText xml:space="preserve"> PAGEREF _Toc22142 \h </w:instrText>
        </w:r>
        <w:r>
          <w:fldChar w:fldCharType="separate"/>
        </w:r>
        <w:r>
          <w:t>44</w:t>
        </w:r>
        <w:r>
          <w:fldChar w:fldCharType="end"/>
        </w:r>
      </w:hyperlink>
    </w:p>
    <w:p>
      <w:pPr>
        <w:pStyle w:val="TOC2"/>
        <w:tabs>
          <w:tab w:val="right" w:leader="dot" w:pos="8306"/>
        </w:tabs>
      </w:pPr>
      <w:hyperlink w:anchor="_Toc17783" w:history="1">
        <w:r>
          <w:rPr>
            <w:rFonts w:ascii="仿宋" w:eastAsia="仿宋" w:hAnsi="仿宋" w:cs="仿宋" w:hint="eastAsia"/>
            <w:lang w:eastAsia="zh-CN"/>
          </w:rPr>
          <w:t>(二)、建设进度</w:t>
        </w:r>
        <w:r>
          <w:tab/>
        </w:r>
        <w:r>
          <w:fldChar w:fldCharType="begin"/>
        </w:r>
        <w:r>
          <w:instrText xml:space="preserve"> PAGEREF _Toc17783 \h </w:instrText>
        </w:r>
        <w:r>
          <w:fldChar w:fldCharType="separate"/>
        </w:r>
        <w:r>
          <w:t>45</w:t>
        </w:r>
        <w:r>
          <w:fldChar w:fldCharType="end"/>
        </w:r>
      </w:hyperlink>
    </w:p>
    <w:p>
      <w:pPr>
        <w:pStyle w:val="TOC2"/>
        <w:tabs>
          <w:tab w:val="right" w:leader="dot" w:pos="8306"/>
        </w:tabs>
      </w:pPr>
      <w:hyperlink w:anchor="_Toc29246" w:history="1">
        <w:r>
          <w:rPr>
            <w:rFonts w:ascii="仿宋" w:eastAsia="仿宋" w:hAnsi="仿宋" w:cs="仿宋" w:hint="eastAsia"/>
            <w:lang w:eastAsia="zh-CN"/>
          </w:rPr>
          <w:t>(三)、进度安排注意事项</w:t>
        </w:r>
        <w:r>
          <w:tab/>
        </w:r>
        <w:r>
          <w:fldChar w:fldCharType="begin"/>
        </w:r>
        <w:r>
          <w:instrText xml:space="preserve"> PAGEREF _Toc29246 \h </w:instrText>
        </w:r>
        <w:r>
          <w:fldChar w:fldCharType="separate"/>
        </w:r>
        <w:r>
          <w:t>46</w:t>
        </w:r>
        <w:r>
          <w:fldChar w:fldCharType="end"/>
        </w:r>
      </w:hyperlink>
    </w:p>
    <w:p>
      <w:pPr>
        <w:pStyle w:val="TOC2"/>
        <w:tabs>
          <w:tab w:val="right" w:leader="dot" w:pos="8306"/>
        </w:tabs>
      </w:pPr>
      <w:hyperlink w:anchor="_Toc12100" w:history="1">
        <w:r>
          <w:rPr>
            <w:rFonts w:ascii="仿宋" w:eastAsia="仿宋" w:hAnsi="仿宋" w:cs="仿宋" w:hint="eastAsia"/>
            <w:lang w:eastAsia="zh-CN"/>
          </w:rPr>
          <w:t>(四)、人力资源配置</w:t>
        </w:r>
        <w:r>
          <w:tab/>
        </w:r>
        <w:r>
          <w:fldChar w:fldCharType="begin"/>
        </w:r>
        <w:r>
          <w:instrText xml:space="preserve"> PAGEREF _Toc12100 \h </w:instrText>
        </w:r>
        <w:r>
          <w:fldChar w:fldCharType="separate"/>
        </w:r>
        <w:r>
          <w:t>48</w:t>
        </w:r>
        <w:r>
          <w:fldChar w:fldCharType="end"/>
        </w:r>
      </w:hyperlink>
    </w:p>
    <w:p>
      <w:pPr>
        <w:pStyle w:val="TOC1"/>
        <w:tabs>
          <w:tab w:val="right" w:leader="dot" w:pos="8306"/>
        </w:tabs>
      </w:pPr>
      <w:hyperlink w:anchor="_Toc23759" w:history="1">
        <w:r>
          <w:rPr>
            <w:rFonts w:ascii="仿宋" w:eastAsia="仿宋" w:hAnsi="仿宋" w:cs="仿宋" w:hint="eastAsia"/>
            <w:lang w:eastAsia="zh-CN"/>
          </w:rPr>
          <w:t>十三、供应链管理</w:t>
        </w:r>
        <w:r>
          <w:tab/>
        </w:r>
        <w:r>
          <w:fldChar w:fldCharType="begin"/>
        </w:r>
        <w:r>
          <w:instrText xml:space="preserve"> PAGEREF _Toc23759 \h </w:instrText>
        </w:r>
        <w:r>
          <w:fldChar w:fldCharType="separate"/>
        </w:r>
        <w:r>
          <w:t>48</w:t>
        </w:r>
        <w:r>
          <w:fldChar w:fldCharType="end"/>
        </w:r>
      </w:hyperlink>
    </w:p>
    <w:p>
      <w:pPr>
        <w:pStyle w:val="TOC2"/>
        <w:tabs>
          <w:tab w:val="right" w:leader="dot" w:pos="8306"/>
        </w:tabs>
      </w:pPr>
      <w:hyperlink w:anchor="_Toc23113" w:history="1">
        <w:r>
          <w:rPr>
            <w:rFonts w:ascii="仿宋" w:eastAsia="仿宋" w:hAnsi="仿宋" w:cs="仿宋" w:hint="eastAsia"/>
            <w:lang w:eastAsia="zh-CN"/>
          </w:rPr>
          <w:t>(一)、供应链战略规划</w:t>
        </w:r>
        <w:r>
          <w:tab/>
        </w:r>
        <w:r>
          <w:fldChar w:fldCharType="begin"/>
        </w:r>
        <w:r>
          <w:instrText xml:space="preserve"> PAGEREF _Toc23113 \h </w:instrText>
        </w:r>
        <w:r>
          <w:fldChar w:fldCharType="separate"/>
        </w:r>
        <w:r>
          <w:t>48</w:t>
        </w:r>
        <w:r>
          <w:fldChar w:fldCharType="end"/>
        </w:r>
      </w:hyperlink>
    </w:p>
    <w:p>
      <w:pPr>
        <w:pStyle w:val="TOC2"/>
        <w:tabs>
          <w:tab w:val="right" w:leader="dot" w:pos="8306"/>
        </w:tabs>
      </w:pPr>
      <w:hyperlink w:anchor="_Toc29627" w:history="1">
        <w:r>
          <w:rPr>
            <w:rFonts w:ascii="仿宋" w:eastAsia="仿宋" w:hAnsi="仿宋" w:cs="仿宋" w:hint="eastAsia"/>
            <w:lang w:eastAsia="zh-CN"/>
          </w:rPr>
          <w:t>(二)、供应商选择与合作</w:t>
        </w:r>
        <w:r>
          <w:tab/>
        </w:r>
        <w:r>
          <w:fldChar w:fldCharType="begin"/>
        </w:r>
        <w:r>
          <w:instrText xml:space="preserve"> PAGEREF _Toc29627 \h </w:instrText>
        </w:r>
        <w:r>
          <w:fldChar w:fldCharType="separate"/>
        </w:r>
        <w:r>
          <w:t>50</w:t>
        </w:r>
        <w:r>
          <w:fldChar w:fldCharType="end"/>
        </w:r>
      </w:hyperlink>
    </w:p>
    <w:p>
      <w:pPr>
        <w:pStyle w:val="TOC2"/>
        <w:tabs>
          <w:tab w:val="right" w:leader="dot" w:pos="8306"/>
        </w:tabs>
      </w:pPr>
      <w:hyperlink w:anchor="_Toc17722" w:history="1">
        <w:r>
          <w:rPr>
            <w:rFonts w:ascii="仿宋" w:eastAsia="仿宋" w:hAnsi="仿宋" w:cs="仿宋" w:hint="eastAsia"/>
            <w:lang w:eastAsia="zh-CN"/>
          </w:rPr>
          <w:t>(三)、物流与库存管理</w:t>
        </w:r>
        <w:r>
          <w:tab/>
        </w:r>
        <w:r>
          <w:fldChar w:fldCharType="begin"/>
        </w:r>
        <w:r>
          <w:instrText xml:space="preserve"> PAGEREF _Toc17722 \h </w:instrText>
        </w:r>
        <w:r>
          <w:fldChar w:fldCharType="separate"/>
        </w:r>
        <w:r>
          <w:t>51</w:t>
        </w:r>
        <w:r>
          <w:fldChar w:fldCharType="end"/>
        </w:r>
      </w:hyperlink>
    </w:p>
    <w:p>
      <w:pPr>
        <w:pStyle w:val="TOC1"/>
        <w:tabs>
          <w:tab w:val="right" w:leader="dot" w:pos="8306"/>
        </w:tabs>
      </w:pPr>
      <w:hyperlink w:anchor="_Toc15596" w:history="1">
        <w:r>
          <w:rPr>
            <w:rFonts w:ascii="仿宋" w:eastAsia="仿宋" w:hAnsi="仿宋" w:cs="仿宋" w:hint="eastAsia"/>
            <w:lang w:eastAsia="zh-CN"/>
          </w:rPr>
          <w:t>十四、质量管理体系</w:t>
        </w:r>
        <w:r>
          <w:tab/>
        </w:r>
        <w:r>
          <w:fldChar w:fldCharType="begin"/>
        </w:r>
        <w:r>
          <w:instrText xml:space="preserve"> PAGEREF _Toc15596 \h </w:instrText>
        </w:r>
        <w:r>
          <w:fldChar w:fldCharType="separate"/>
        </w:r>
        <w:r>
          <w:t>53</w:t>
        </w:r>
        <w:r>
          <w:fldChar w:fldCharType="end"/>
        </w:r>
      </w:hyperlink>
    </w:p>
    <w:p>
      <w:pPr>
        <w:pStyle w:val="TOC2"/>
        <w:tabs>
          <w:tab w:val="right" w:leader="dot" w:pos="8306"/>
        </w:tabs>
      </w:pPr>
      <w:hyperlink w:anchor="_Toc56" w:history="1">
        <w:r>
          <w:rPr>
            <w:rFonts w:ascii="仿宋" w:eastAsia="仿宋" w:hAnsi="仿宋" w:cs="仿宋" w:hint="eastAsia"/>
            <w:lang w:eastAsia="zh-CN"/>
          </w:rPr>
          <w:t>(一)、质量目标与方针</w:t>
        </w:r>
        <w:r>
          <w:tab/>
        </w:r>
        <w:r>
          <w:fldChar w:fldCharType="begin"/>
        </w:r>
        <w:r>
          <w:instrText xml:space="preserve"> PAGEREF _Toc56 \h </w:instrText>
        </w:r>
        <w:r>
          <w:fldChar w:fldCharType="separate"/>
        </w:r>
        <w:r>
          <w:t>53</w:t>
        </w:r>
        <w:r>
          <w:fldChar w:fldCharType="end"/>
        </w:r>
      </w:hyperlink>
    </w:p>
    <w:p>
      <w:pPr>
        <w:pStyle w:val="TOC2"/>
        <w:tabs>
          <w:tab w:val="right" w:leader="dot" w:pos="8306"/>
        </w:tabs>
      </w:pPr>
      <w:hyperlink w:anchor="_Toc10842" w:history="1">
        <w:r>
          <w:rPr>
            <w:rFonts w:ascii="仿宋" w:eastAsia="仿宋" w:hAnsi="仿宋" w:cs="仿宋" w:hint="eastAsia"/>
            <w:lang w:eastAsia="zh-CN"/>
          </w:rPr>
          <w:t>(二)、质量管理责任</w:t>
        </w:r>
        <w:r>
          <w:tab/>
        </w:r>
        <w:r>
          <w:fldChar w:fldCharType="begin"/>
        </w:r>
        <w:r>
          <w:instrText xml:space="preserve"> PAGEREF _Toc10842 \h </w:instrText>
        </w:r>
        <w:r>
          <w:fldChar w:fldCharType="separate"/>
        </w:r>
        <w:r>
          <w:t>54</w:t>
        </w:r>
        <w:r>
          <w:fldChar w:fldCharType="end"/>
        </w:r>
      </w:hyperlink>
    </w:p>
    <w:p>
      <w:pPr>
        <w:pStyle w:val="TOC2"/>
        <w:tabs>
          <w:tab w:val="right" w:leader="dot" w:pos="8306"/>
        </w:tabs>
      </w:pPr>
      <w:hyperlink w:anchor="_Toc13903" w:history="1">
        <w:r>
          <w:rPr>
            <w:rFonts w:ascii="仿宋" w:eastAsia="仿宋" w:hAnsi="仿宋" w:cs="仿宋" w:hint="eastAsia"/>
            <w:lang w:eastAsia="zh-CN"/>
          </w:rPr>
          <w:t>(三)、质量管理体系文件</w:t>
        </w:r>
        <w:r>
          <w:tab/>
        </w:r>
        <w:r>
          <w:fldChar w:fldCharType="begin"/>
        </w:r>
        <w:r>
          <w:instrText xml:space="preserve"> PAGEREF _Toc13903 \h </w:instrText>
        </w:r>
        <w:r>
          <w:fldChar w:fldCharType="separate"/>
        </w:r>
        <w:r>
          <w:t>55</w:t>
        </w:r>
        <w:r>
          <w:fldChar w:fldCharType="end"/>
        </w:r>
      </w:hyperlink>
    </w:p>
    <w:p>
      <w:pPr>
        <w:pStyle w:val="TOC2"/>
        <w:tabs>
          <w:tab w:val="right" w:leader="dot" w:pos="8306"/>
        </w:tabs>
      </w:pPr>
      <w:hyperlink w:anchor="_Toc14" w:history="1">
        <w:r>
          <w:rPr>
            <w:rFonts w:ascii="仿宋" w:eastAsia="仿宋" w:hAnsi="仿宋" w:cs="仿宋" w:hint="eastAsia"/>
            <w:lang w:eastAsia="zh-CN"/>
          </w:rPr>
          <w:t>(四)、质量培训与教育</w:t>
        </w:r>
        <w:r>
          <w:tab/>
        </w:r>
        <w:r>
          <w:fldChar w:fldCharType="begin"/>
        </w:r>
        <w:r>
          <w:instrText xml:space="preserve"> PAGEREF _Toc14 \h </w:instrText>
        </w:r>
        <w:r>
          <w:fldChar w:fldCharType="separate"/>
        </w:r>
        <w:r>
          <w:t>57</w:t>
        </w:r>
        <w:r>
          <w:fldChar w:fldCharType="end"/>
        </w:r>
      </w:hyperlink>
    </w:p>
    <w:p>
      <w:pPr>
        <w:pStyle w:val="TOC2"/>
        <w:tabs>
          <w:tab w:val="right" w:leader="dot" w:pos="8306"/>
        </w:tabs>
      </w:pPr>
      <w:hyperlink w:anchor="_Toc29672" w:history="1">
        <w:r>
          <w:rPr>
            <w:rFonts w:ascii="仿宋" w:eastAsia="仿宋" w:hAnsi="仿宋" w:cs="仿宋" w:hint="eastAsia"/>
            <w:lang w:eastAsia="zh-CN"/>
          </w:rPr>
          <w:t>(五)、质量审核与评价</w:t>
        </w:r>
        <w:r>
          <w:tab/>
        </w:r>
        <w:r>
          <w:fldChar w:fldCharType="begin"/>
        </w:r>
        <w:r>
          <w:instrText xml:space="preserve"> PAGEREF _Toc29672 \h </w:instrText>
        </w:r>
        <w:r>
          <w:fldChar w:fldCharType="separate"/>
        </w:r>
        <w:r>
          <w:t>58</w:t>
        </w:r>
        <w:r>
          <w:fldChar w:fldCharType="end"/>
        </w:r>
      </w:hyperlink>
    </w:p>
    <w:p>
      <w:pPr>
        <w:pStyle w:val="TOC2"/>
        <w:tabs>
          <w:tab w:val="right" w:leader="dot" w:pos="8306"/>
        </w:tabs>
      </w:pPr>
      <w:hyperlink w:anchor="_Toc5957" w:history="1">
        <w:r>
          <w:rPr>
            <w:rFonts w:ascii="仿宋" w:eastAsia="仿宋" w:hAnsi="仿宋" w:cs="仿宋" w:hint="eastAsia"/>
            <w:lang w:eastAsia="zh-CN"/>
          </w:rPr>
          <w:t>(六)、不符合与纠正措施</w:t>
        </w:r>
        <w:r>
          <w:tab/>
        </w:r>
        <w:r>
          <w:fldChar w:fldCharType="begin"/>
        </w:r>
        <w:r>
          <w:instrText xml:space="preserve"> PAGEREF _Toc5957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563"/>
      <w:r>
        <w:rPr>
          <w:rFonts w:ascii="仿宋" w:eastAsia="仿宋" w:hAnsi="仿宋" w:cs="仿宋" w:hint="eastAsia"/>
          <w:sz w:val="28"/>
          <w:lang w:eastAsia="zh-CN"/>
        </w:rPr>
        <w:t>一、同位素及应用产品项目危机管理</w:t>
      </w:r>
      <w:bookmarkEnd w:id="2"/>
    </w:p>
    <w:p>
      <w:pPr>
        <w:pStyle w:val="Heading2"/>
        <w:rPr>
          <w:rFonts w:ascii="仿宋" w:eastAsia="仿宋" w:hAnsi="仿宋" w:cs="仿宋" w:hint="eastAsia"/>
          <w:lang w:eastAsia="zh-CN"/>
        </w:rPr>
      </w:pPr>
      <w:bookmarkStart w:id="3" w:name="_Toc1738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同位素及应用产品项目危机管理中，危机预警与识别是确保同位素及应用产品项目稳健运行的核心步骤。通过建立全面的监测机制，同位素及应用产品项目团队旨在及时发现和理解潜在的风险和危机因素，以便采取及时的预防和应对措施，确保同位素及应用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同位素及应用产品项目团队全面分析了整个同位素及应用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同位素及应用产品项目团队着重于明确定义同位素及应用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同位素及应用产品项目进展的持续监控，团队能够及时发现潜在问题并作出迅速反应。同位素及应用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在这一阶段，团队的专业素养和反应速度将发挥至关重要的作用，以确保潜在危机能够在初期得到有效的处理，最大程度地减轻负面影响。通过危机预警与识别，同位素及应用产品项目得以更有序、可控地推进。</w:t>
      </w:r>
    </w:p>
    <w:p>
      <w:pPr>
        <w:pStyle w:val="Heading2"/>
        <w:ind w:firstLine="560" w:firstLineChars="200"/>
        <w:rPr>
          <w:rFonts w:ascii="仿宋" w:eastAsia="仿宋" w:hAnsi="仿宋" w:cs="仿宋" w:hint="eastAsia"/>
          <w:sz w:val="28"/>
          <w:lang w:eastAsia="zh-CN"/>
        </w:rPr>
      </w:pPr>
      <w:bookmarkStart w:id="4" w:name="_Toc1588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在危机发生时，同位素及应用产品项目团队立即行动，成立了应急小组。该小组的任务是迅速制定并实施紧急应对措施，以最小化潜在损失。以下是采取的主要措施：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暂停同位素及应用产品项目进度：为遏制危机蔓延，同位素及应用产品项目暂时停止进行，以便全面评估当前状况。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资源重新分配：重新评估同位素及应用产品项目资源的分配，确保最大限度地减小损失。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实时沟通：与关键利益相关者建立实时沟通机制，向他们传递同位素及应用产品项目危机的实际状况，保障同位素及应用产品项目核心利益。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在紧急应对的同时，同位素及应用产品项目团队强调了团队协作和有效沟通的重要性。以下是团队协作的关键举措：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信息共享机制：建立了信息共享平台，确保团队成员能够及时获取同位素及应用产品项目危机的实时信息。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领导者沟通：同位素及应用产品项目领导者通过定期会议和即时沟通工具，指导团队应对危机，保持团队稳定运行。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随着危机得到初步控制，同位素及应用产品项目团队转向制定恢复计划，以确保同位素及应用产品项目能够从中迅速恢复。主要恢复计划包括：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修复受损的进度计划：重新评估同位素及应用产品项目进度，制定修复计划，确保同位素及应用产品项目尽快回归正常进程。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重新调整资源分配：优化资源分配，确保同位素及应用产品项目在有限资源下高效运转。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风险管理机制加强：对同位素及应用产品项目风险进行全面评估，制定更强化的风险管理策略，以预防未来可能的危机。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12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5055"/>
      <w:r>
        <w:rPr>
          <w:rFonts w:ascii="仿宋" w:eastAsia="仿宋" w:hAnsi="仿宋" w:cs="仿宋" w:hint="eastAsia"/>
          <w:lang w:eastAsia="zh-CN"/>
        </w:rPr>
        <w:t>(一)、同位素及应用产品行业分析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同位素及应用产品行业一直以来都是市场的关注焦点。行业内的发展趋势、竞争态势以及潜在机会都对同位素及应用产品项目的推进产生深远的影响。通过深入研究行业的整体概貌，我们将更好地理解行业的核心特征，为同位素及应用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同位素及应用产品行业，技术一直是推动创新和发展的关键因素。我们将对当前技术趋势进行详尽分析，包括但不限于人工智能、大数据应用、先进制造技术等。这有助于同位素及应用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同位素及应用产品项目成功的基础。我们将对主要竞争对手进行深入研究，包括其市场份额、产品特点、市场定位等。通过全面了解竞争对手的优势和劣势，同位素及应用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4775"/>
      <w:r>
        <w:rPr>
          <w:rFonts w:ascii="仿宋" w:eastAsia="仿宋" w:hAnsi="仿宋" w:cs="仿宋" w:hint="eastAsia"/>
          <w:sz w:val="28"/>
          <w:lang w:eastAsia="zh-CN"/>
        </w:rPr>
        <w:t>(二)、同位素及应用产品市场分析预测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同位素及应用产品市场未来的增长趋势。这包括市场的整体规模、各细分领域的发展趋势等。同位素及应用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同位素及应用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同位素及应用产品项目实施过程中需要充分考虑的因素。我们将对市场风险进行全面评估，包括但不限于政策法规风险、市场竞争风险、技术变革风险等。通过对潜在风险的深入分析，同位素及应用产品项目可以制定相应的风险缓解策略，降低不确定性对同位素及应用产品项目的影响。</w:t>
      </w:r>
    </w:p>
    <w:p>
      <w:pPr>
        <w:pStyle w:val="Heading1"/>
        <w:ind w:firstLine="560" w:firstLineChars="200"/>
        <w:rPr>
          <w:rFonts w:ascii="仿宋" w:eastAsia="仿宋" w:hAnsi="仿宋" w:cs="仿宋" w:hint="eastAsia"/>
          <w:sz w:val="28"/>
          <w:lang w:eastAsia="zh-CN"/>
        </w:rPr>
      </w:pPr>
      <w:bookmarkStart w:id="8" w:name="_Toc7092"/>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743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同位素及应用产品项目的技术管理特点体现在其创新导向。通过引入最先进的技术趋势和解决方案，同位素及应用产品项目致力于提升科技含量、提高质量和效率水平。这意味着我们将采用最新的工具和方法，确保同位素及应用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同位素及应用产品项目技术管理的显著特征。通过整合不同领域的技术资源，我们实现了跨学科的协同工作。这有助于优化技术架构，提高整体效能。此外，整合性策略还促进了不同技术团队之间的紧密沟通和高效合作，确保同位素及应用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同位素及应用产品项目所采用的技术。通过不断优化技术方案，同位素及应用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同位素及应用产品项目团队将在同位素及应用产品项目初期识别可能的技术风险，并采取相应的预防和应对措施。通过建立健全的风险评估机制，同位素及应用产品项目能够在实施过程中及时发现并解决潜在的技术问题，保障同位素及应用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同位素及应用产品项目中，技术将成为同位素及应用产品项目成功的有力支持。这一深度剖析揭示了技术管理在同位素及应用产品项目实施中的关键作用，为同位素及应用产品项目的技术基础奠定了坚实的基础。</w:t>
      </w:r>
    </w:p>
    <w:p>
      <w:pPr>
        <w:pStyle w:val="Heading2"/>
        <w:ind w:firstLine="560" w:firstLineChars="200"/>
        <w:rPr>
          <w:rFonts w:ascii="仿宋" w:eastAsia="仿宋" w:hAnsi="仿宋" w:cs="仿宋" w:hint="eastAsia"/>
          <w:sz w:val="28"/>
          <w:lang w:eastAsia="zh-CN"/>
        </w:rPr>
      </w:pPr>
      <w:bookmarkStart w:id="10" w:name="_Toc32508"/>
      <w:r>
        <w:rPr>
          <w:rFonts w:ascii="仿宋" w:eastAsia="仿宋" w:hAnsi="仿宋" w:cs="仿宋" w:hint="eastAsia"/>
          <w:sz w:val="28"/>
          <w:lang w:eastAsia="zh-CN"/>
        </w:rPr>
        <w:t>(二)、同位素及应用产品项目工艺技术设计方案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同位素及应用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同位素及应用产品项目将严格按照相关行业规范要求进行组织。通过有效控制产品质量，同位素及应用产品项目将致力于为顾客提供优质的同位素及应用产品项目产品和良好的服务。这体现了同位素及应用产品项目对于生产活动合规性和质量标准的高度重视，为同位素及应用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同位素及应用产品项目注重生态效益和清洁生产原则。同位素及应用产品项目建设将紧密结合地方特色经济发展，与社会经济发展规划和区域环境保护规划方案相协调一致。通过与当地区域自然生态系统的结合，同位素及应用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同位素及应用产品项目产品具有多样化的客户需求和个性化的特点。因此，同位素及应用产品项目产品规格品种多样，且单批生产数量较小。为满足这一特点，同位素及应用产品项目承办单位将建设先进的柔性制造生产线。通过广泛应用柔性制造技术，同位素及应用产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同位素及应用产品项目采用的技术具有较高的技术含量和自动化水平，处于国内先进水平。这一技术选用不仅体现了对生产效率、质量和环境友好性的高标准要求，同时为同位素及应用产品项目的可持续发展奠定了坚实的基础。</w:t>
      </w:r>
    </w:p>
    <w:p>
      <w:pPr>
        <w:pStyle w:val="Heading2"/>
        <w:ind w:firstLine="560" w:firstLineChars="200"/>
        <w:rPr>
          <w:rFonts w:ascii="仿宋" w:eastAsia="仿宋" w:hAnsi="仿宋" w:cs="仿宋" w:hint="eastAsia"/>
          <w:sz w:val="28"/>
          <w:lang w:eastAsia="zh-CN"/>
        </w:rPr>
      </w:pPr>
      <w:bookmarkStart w:id="11" w:name="_Toc525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为确保同位素及应用产品项目的高效生产和技术实施，我们制定了一套精心设计的设备选型方案，以满足同位素及应用产品项目生产、质量和环保的要求。该方案的主要特点如下：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同位素及应用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针对同位素及应用产品项目产品的多样性和小批量生产的特点，我们将建设柔性制造生产线。通过在设备选型中考虑柔性制造技术，可以灵活应对不同产品规格和生产需求，实现生产线的高度灵活性和适应性。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6666"/>
      <w:r>
        <w:rPr>
          <w:rFonts w:ascii="仿宋" w:eastAsia="仿宋" w:hAnsi="仿宋" w:cs="仿宋" w:hint="eastAsia"/>
          <w:sz w:val="28"/>
          <w:lang w:eastAsia="zh-CN"/>
        </w:rPr>
        <w:t>四、同位素及应用产品项目土建工程</w:t>
      </w:r>
      <w:bookmarkEnd w:id="12"/>
    </w:p>
    <w:p>
      <w:pPr>
        <w:pStyle w:val="Heading2"/>
        <w:rPr>
          <w:rFonts w:ascii="仿宋" w:eastAsia="仿宋" w:hAnsi="仿宋" w:cs="仿宋" w:hint="eastAsia"/>
          <w:lang w:eastAsia="zh-CN"/>
        </w:rPr>
      </w:pPr>
      <w:bookmarkStart w:id="13" w:name="_Toc1152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在同位素及应用产品项目的建筑工程设计中，我们将秉承一系列重要的设计原则，以确保同位素及应用产品项目建筑在功能、美观、可持续性等方面达到最佳效果。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首要原则是确保建筑的功能性得到最大化的发挥。我们将充分理解同位素及应用产品项目的实际需求，合理布局各个功能区域，保证建筑在满足业务需求的同时，提供高效的工作环境。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在建筑设计中，我们将综合考虑建设和运营成本。通过精细的经济效益分析，确保设计方案在高效利用资源的同时，对同位素及应用产品项目的长期盈利能力有积极的贡献。</w:t>
      </w:r>
    </w:p>
    <w:p>
      <w:pPr>
        <w:pStyle w:val="Heading2"/>
        <w:ind w:firstLine="560" w:firstLineChars="200"/>
        <w:rPr>
          <w:rFonts w:ascii="仿宋" w:eastAsia="仿宋" w:hAnsi="仿宋" w:cs="仿宋" w:hint="eastAsia"/>
          <w:sz w:val="28"/>
          <w:lang w:eastAsia="zh-CN"/>
        </w:rPr>
      </w:pPr>
      <w:bookmarkStart w:id="14" w:name="_Toc2656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同位素及应用产品项目的土建工程设计中，我们将精准设定设计年限，结合同位素及应用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同位素及应用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50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同位素及应用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同位素及应用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同位素及应用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912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本期工程同位素及应用产品项目预计总建筑面积XXX平方米，其中：计容建筑面积XXX平方米，计划建筑工程投资XX万元，占同位素及应用产品项目总投资的XX%。</w:t>
      </w:r>
    </w:p>
    <w:p>
      <w:pPr>
        <w:pStyle w:val="Heading1"/>
        <w:ind w:firstLine="560" w:firstLineChars="200"/>
        <w:rPr>
          <w:rFonts w:ascii="仿宋" w:eastAsia="仿宋" w:hAnsi="仿宋" w:cs="仿宋" w:hint="eastAsia"/>
          <w:sz w:val="28"/>
          <w:lang w:eastAsia="zh-CN"/>
        </w:rPr>
      </w:pPr>
      <w:bookmarkStart w:id="17" w:name="_Toc15999"/>
      <w:r>
        <w:rPr>
          <w:rFonts w:ascii="仿宋" w:eastAsia="仿宋" w:hAnsi="仿宋" w:cs="仿宋" w:hint="eastAsia"/>
          <w:sz w:val="28"/>
          <w:lang w:eastAsia="zh-CN"/>
        </w:rPr>
        <w:t>五、同位素及应用产品项目文档管理</w:t>
      </w:r>
      <w:bookmarkEnd w:id="17"/>
    </w:p>
    <w:p>
      <w:pPr>
        <w:pStyle w:val="Heading2"/>
        <w:rPr>
          <w:rFonts w:ascii="仿宋" w:eastAsia="仿宋" w:hAnsi="仿宋" w:cs="仿宋" w:hint="eastAsia"/>
          <w:lang w:eastAsia="zh-CN"/>
        </w:rPr>
      </w:pPr>
      <w:bookmarkStart w:id="18" w:name="_Toc15276"/>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同位素及应用产品项目高度重视文档的质量和准确性，以支持同位素及应用产品项目的各项活动和决策。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及应用产品项目文档的编制始于同位素及应用产品项目计划的初期，我们制定了详细的文档编制计划，明确了每个文档的内容、格式和编写责任人。在同位素及应用产品项目启动阶段，我们首先编制了同位素及应用产品项目章程，明确定义了同位素及应用产品项目的目标、范围、风险等关键要素。随后，同位素及应用产品项目团队根据计划陆续编制了需求文档、设计文档、测试文档等各类文档，确保同位素及应用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同位素及应用产品项目管理中的重要环节，旨在确保同位素及应用产品项目文档符合质量标准和同位素及应用产品项目需求。在同位素及应用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同位素及应用产品项目相关利益方和专业领域的专家对文档进行独立审查。这有助于获取更全面、客观的反馈，确保同位素及应用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及应用产品项目在文档编制与审查方面建立了严格的管理机制，通过规范的流程和多维度的审查，确保同位素及应用产品项目文档的质量、准确性和可靠性，为同位素及应用产品项目的顺利推进提供了有力支持。</w:t>
      </w:r>
    </w:p>
    <w:p>
      <w:pPr>
        <w:pStyle w:val="Heading2"/>
        <w:ind w:firstLine="560" w:firstLineChars="200"/>
        <w:rPr>
          <w:rFonts w:ascii="仿宋" w:eastAsia="仿宋" w:hAnsi="仿宋" w:cs="仿宋" w:hint="eastAsia"/>
          <w:sz w:val="28"/>
          <w:lang w:eastAsia="zh-CN"/>
        </w:rPr>
      </w:pPr>
      <w:bookmarkStart w:id="19" w:name="_Toc13155"/>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在同位素及应用产品项目中，我们致力于优化文档发布与分发过程，以确保信息的高效传递和团队间协作的顺畅进行。以下是我们采取的关键优化策略：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我们通过多渠道发布文档，包括电子邮件、同位素及应用产品项目管理平台、内部网站等，以满足不同团队成员的偏好和需求。多渠道发布确保了信息的全面覆盖。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我们采用了精细的权限控制，确保只有授权人员可以访问敏感信息。这种安全措施保护了同位素及应用产品项目文档的机密性，防止了未经授权的信息泄露。</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https://d.book118.com/156211115111010053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同位素及应用产品项目规划设计纲要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同位素及应用产品项目规划设计纲要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同位素及应用产品项目规划设计纲要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同位素及应用产品项目规划设计纲要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同位素及应用产品项目规划设计纲要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同位素及应用产品项目规划设计纲要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同位素及应用产品项目规划设计纲要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同位素及应用产品项目规划设计纲要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同位素及应用产品项目规划设计纲要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同位素及应用产品项目规划设计纲要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同位素及应用产品项目规划设计纲要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同位素及应用产品项目规划设计纲要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同位素及应用产品项目规划设计纲要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同位素及应用产品项目规划设计纲要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同位素及应用产品项目规划设计纲要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同位素及应用产品项目规划设计纲要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同位素及应用产品项目规划设计纲要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8A62B8"/>
    <w:rsid w:val="5A8A62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6211115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2024-02-21T22:47:00Z</dcterms:created>
  <dcterms:modified xsi:type="dcterms:W3CDTF">2024-02-21T22:48:04Z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0323F3B339BF4DF9B5BE100598F083B5_11</vt:lpwstr>
  </property>
  <property fmtid="{D5CDD505-2E9C-101B-9397-08002B2CF9AE}" pid="3" name="KSOProductBuildVer">
    <vt:lpwstr>2052-12.1.0.16250</vt:lpwstr>
  </property>
</Properties>
</file>