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驱虫灭害化学品项目招商引资报告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1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二、员工职业生涯规划与发展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_Toc4362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四、组织架构与人力资源配置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五、驱虫灭害化学品人力资源管理策略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(一)、驱虫灭害化学品劳动关系管理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(二)、驱虫灭害化学品人力资源管理原则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(三)、驱虫灭害化学品人员配置方案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1" w:history="1">
        <w:r>
          <w:rPr>
            <w:rFonts w:ascii="仿宋" w:eastAsia="仿宋" w:hAnsi="仿宋" w:cs="仿宋" w:hint="eastAsia"/>
            <w:lang w:eastAsia="zh-CN"/>
          </w:rPr>
          <w:t>(四)、驱虫灭害化学品员工招聘方案</w:t>
        </w:r>
        <w:r>
          <w:tab/>
        </w:r>
        <w:r>
          <w:fldChar w:fldCharType="begin"/>
        </w:r>
        <w:r>
          <w:instrText xml:space="preserve"> PAGEREF _Toc17671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(五)、驱虫灭害化学品绩效和薪酬管理方案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(六)、驱虫灭害化学品员工福利管理方案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六、风险因素分析及规避措施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七、驱虫灭害化学品行业发展分析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(一)、驱虫灭害化学品行业发展总体概况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(二)、驱虫灭害化学品行业发展背景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6" w:history="1">
        <w:r>
          <w:rPr>
            <w:rFonts w:ascii="仿宋" w:eastAsia="仿宋" w:hAnsi="仿宋" w:cs="仿宋" w:hint="eastAsia"/>
            <w:lang w:eastAsia="zh-CN"/>
          </w:rPr>
          <w:t>(三)、驱虫灭害化学品行业发展前景</w:t>
        </w:r>
        <w:r>
          <w:tab/>
        </w:r>
        <w:r>
          <w:fldChar w:fldCharType="begin"/>
        </w:r>
        <w:r>
          <w:instrText xml:space="preserve"> PAGEREF _Toc7886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八、投资方案计划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(一)、驱虫灭害化学品项目估算说明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(二)、驱虫灭害化学品项目总投资估算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九、环境基础状况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_Toc24273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十一、投资方案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_Toc13494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(五)、驱虫灭害化学品项目总投资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十二、S W O T 分 析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十三、项目投资情况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2" w:history="1">
        <w:r>
          <w:rPr>
            <w:rFonts w:ascii="仿宋" w:eastAsia="仿宋" w:hAnsi="仿宋" w:cs="仿宋" w:hint="eastAsia"/>
            <w:lang w:eastAsia="zh-CN"/>
          </w:rPr>
          <w:t>十四、风险评估分析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(一)、驱虫灭害化学品项目风险分析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3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6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1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十七、法律与合规性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(二)、驱虫灭害化学品项目合同管理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_Toc19483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十九、财务管理与报告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1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_Toc17311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1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(二)、合作驱虫灭害化学品项目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二十一、员工关系管理与危机处理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11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38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 现有产能已无法满足公司业务发展需求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作为本行业的领军企业，我们以卓越的品牌声誉和广泛的市场知名度为支撑，产品销售持续增长，销售率已超过100%。预计未来几年，公司的业务规模将继续迅速扩大。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业务的持续扩张，公司现有的生产厂房和设备资源已无法满足市场需求的不断增加。尽管公司通过生产流程的优化和管理强化等方式不断提升产能，但仍无法从根本上解决产能不足的问题。因此，通过本驱虫灭害化学品项目的建设，我们将有效地解决产能瓶颈问题，为公司充分抓住市场机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 公司产品结构升级的需求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https://d.book118.com/156232150145010053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驱虫灭害化学品项目招商引资报告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驱虫灭害化学品项目招商引资报告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驱虫灭害化学品项目招商引资报告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驱虫灭害化学品项目招商引资报告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驱虫灭害化学品项目招商引资报告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C84C44"/>
    <w:rsid w:val="2BC84C4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232150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2024-03-01T11:33:00Z</dcterms:created>
  <dcterms:modified xsi:type="dcterms:W3CDTF">2024-03-01T11:33:24Z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8DEA63FBC09D4C05B4951CF2390FCA7F_11</vt:lpwstr>
  </property>
  <property fmtid="{D5CDD505-2E9C-101B-9397-08002B2CF9AE}" pid="3" name="KSOProductBuildVer">
    <vt:lpwstr>2052-12.1.0.16399</vt:lpwstr>
  </property>
</Properties>
</file>