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4CC5" w:rsidRPr="00327426" w:rsidP="00327426">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327426">
        <w:rPr>
          <w:rFonts w:ascii="微软雅黑" w:eastAsia="微软雅黑" w:hAnsi="微软雅黑" w:cs="宋体" w:hint="eastAsia"/>
          <w:bCs/>
          <w:color w:val="FF0000"/>
          <w:kern w:val="0"/>
          <w:sz w:val="30"/>
          <w:szCs w:val="36"/>
        </w:rPr>
        <w:t>《商品期货与期权市场实务》课程期末考试题库（含答案）</w:t>
      </w:r>
    </w:p>
    <w:p w:rsidR="00644CC5" w:rsidRPr="00327426" w:rsidP="00327426">
      <w:pPr>
        <w:widowControl/>
        <w:shd w:val="clear" w:color="auto" w:fill="FFFFFF"/>
        <w:wordWrap w:val="0"/>
        <w:spacing w:line="480" w:lineRule="auto"/>
        <w:jc w:val="left"/>
        <w:rPr>
          <w:rFonts w:ascii="黑体" w:eastAsia="黑体" w:hAnsi="黑体" w:cs="宋体"/>
          <w:bCs/>
          <w:color w:val="000000"/>
          <w:kern w:val="0"/>
          <w:sz w:val="24"/>
          <w:szCs w:val="30"/>
        </w:rPr>
      </w:pPr>
      <w:r w:rsidRPr="00327426">
        <w:rPr>
          <w:rFonts w:ascii="黑体" w:eastAsia="黑体" w:hAnsi="黑体" w:cs="宋体" w:hint="eastAsia"/>
          <w:bCs/>
          <w:color w:val="000000"/>
          <w:kern w:val="0"/>
          <w:sz w:val="24"/>
          <w:szCs w:val="30"/>
        </w:rPr>
        <w:t>一、单选题</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1.()期权允许买方在期权到期前的任何时间执行期权。</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A、日式</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B、中式</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C、美式</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D、欧式</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答案：C</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解析：按照对买方行权时间规定的不同,可以将期权分为美式期权和欧式期权。美式期权允许买方在期权到期前的任何时间执行期权。</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2.下列关于期权执行价格的描述,不正确的是()。</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A、对实值状态的看涨期权来说,其他条件不变的情况下,执行价格降低,期权内涵价值增加</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B、对看跌期权来说,其他条件不变的情况下,当标的物的市场价格等于或高于执行价格时,内涵价值为零</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C、实值看涨期权的执行价格低于其标的物价格</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D、对看涨期权来说,标的物价格超过执行价格越多,内涵价值越小</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答案：D</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27426">
        <w:rPr>
          <w:rFonts w:ascii="黑体" w:eastAsia="黑体" w:hAnsi="黑体" w:cs="宋体" w:hint="eastAsia"/>
          <w:color w:val="000000"/>
          <w:kern w:val="0"/>
          <w:sz w:val="24"/>
          <w:szCs w:val="27"/>
        </w:rPr>
        <w:t>解析：就看涨期权而言,看涨期权的内涵价值=标的物的市场价格-执行价格。标的物价格超过执行价格越多,内涵价值越大。</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3.12月1日,某油脂企业与某饲料厂签订合约,约定出售一批豆粕,协商以下一年3月份豆粕期货价格为基准,以高于期货价格20元/吨的价格作为现货交收价格。同时该油脂企业进行套期保值,以3215元/吨的价格卖出下一年3月份豆粕期货。则通过这些操作,该油脂企业将下一年3月份豆粕价格锁定为()元/吨。</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A、3195</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B、3235</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C、3255</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D、无法判断</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答案：B</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本题考查基差交易。假设下一年3月份豆粕期货的价格为X元/吨,该油脂企业需要以X价格买入期货合约平仓,其在期货市场上的盈亏=3215-X;该油脂企业以(X+20)元/吨的价格在现货市场上卖出豆粕;综上,油脂企业相当于以(X+20)+(3215-X)=3235(元/吨)的价格卖出现货豆粕。</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4.某交易者以130元/吨的价格买入一张执行价格为3300元/吨的某豆粕看跌期权,其损益平衡点为()元/吨。(不考虑交易费用)</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A、3200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B、3300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C、3430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D、3170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答案：D</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解析：买入看跌期权的损益平衡点=执行价格-权利金=3300-130=3170(元/吨)。</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327426">
        <w:rPr>
          <w:rFonts w:ascii="黑体" w:eastAsia="黑体" w:hAnsi="黑体" w:cs="宋体" w:hint="eastAsia"/>
          <w:color w:val="000000"/>
          <w:kern w:val="0"/>
          <w:sz w:val="24"/>
          <w:szCs w:val="27"/>
        </w:rPr>
        <w:t>5.在现货市场和期货市场上采取方向相反的买卖行为,是()。</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A、现货交易</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B、期货交易</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C、期权交易</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D、套期保值交易</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答案：D</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解析：期货的套期保值是指企业通过持有与其现货市场头寸相反的期货合约,或将期货合约作为其现货市场未来要进行的交易的替代物,以期对冲价格风险的方式。</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6.当客户的可用资金为负值时,()。</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A、期货公司将首先通知客户追加保证金或要求客户自行平仓</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B、期货公司将第一时间对客户实行强行平仓</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C、期货交易所将首先通知客户追加保证金或要求客户自行平仓</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D、期货交易所将第一时间对客户实行强行平仓</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答案：A</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解析：期货公司应严格执行保证金制度,客户保证金不足时,应当及时追加保证金或者自行平仓,客户未在期货公司规定时间内及时追加保证金或者自行平仓的,期货公司应当强行平仓。</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327426">
        <w:rPr>
          <w:rFonts w:ascii="黑体" w:eastAsia="黑体" w:hAnsi="黑体" w:cs="宋体" w:hint="eastAsia"/>
          <w:color w:val="000000"/>
          <w:kern w:val="0"/>
          <w:sz w:val="24"/>
          <w:szCs w:val="27"/>
        </w:rPr>
        <w:t>7.某企业有一批商品存货,目前现货价格为3000元/吨,2个月后交割的期货合约价格为3500元/吨。2个月期间的持仓费和交割成本等合计为300元/吨。该企业通过比较发现,如果将该批货在期货市场按3500元/吨的价格卖出,待到期时用其持有的现货进行交割,扣除300元/吨的持仓费之后,仍可以有200元/吨的收</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益。在这种情况下,企业将货物在期货市场卖出要比现在按3000元/吨的价格卖出更有利,也比两个月后卖出更有保障,此时,可以将企业的操作称为()。</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A、期转现</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B、期现套利</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C、套期保值</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D、跨期套利</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答案：B</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解析：期现套利是通过利用期货市场和现货市场的不合理价差进行反向交易而获利。</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8.关于期货公司资产管理业务,下列表述正确的是()。</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A、向客户作出保证其资产本金不受损失的承诺</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B、可以根据市场行情,灵活调整客户委托的投资,超出规定的范围,为客户谋取最大利益</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C、不得以转移资产管理账户的收益或者亏损为由,在不同账户之间进行买卖</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D、只能依法为单一客户办理资产管理业务</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答案：C</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27426">
        <w:rPr>
          <w:rFonts w:ascii="黑体" w:eastAsia="黑体" w:hAnsi="黑体" w:cs="宋体" w:hint="eastAsia"/>
          <w:color w:val="000000"/>
          <w:kern w:val="0"/>
          <w:sz w:val="24"/>
          <w:szCs w:val="27"/>
        </w:rPr>
        <w:t>解析：资产管理业务是指期货公司可以接受客户委托,根据《期货公司监督管理办法》《私募投资基金监督管理暂行办法》规定和合同约定,运用客户资产进行投资,并按照合同约定收取费用或者报酬的业务活动。期货公司及其从业人员从事资产管理业务时,不得向客户作出保证其资产本金不受损失或者取得最低收益的承诺。故A项错误。资产管理业务的投资范围应当遵守合同约定,不得超出规定的范围,且应当与客户的风险认知与承受能力相匹配。故B项错误。不得以转</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移资产管理账户收益或者亏损为目的,在不同账户之间进行买卖,损害客户利益。故C项正确。期货公司可以依法为单一客户办理资产管理业务,也可依法为特定多个客户办理资产管理业务。故D项错误。</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9.看跌期权的买方有权按执行价格在规定时间内向期权卖方()一定数量的标的物。</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A、卖出</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B、先买入后卖出</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C、买入</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D、先卖出后买入</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答案：A</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按照买方执行期权时拥有的买卖标的物权利的不同,可以将期权分为看涨期权和看跌期权。其中,看跌期权是指期权的买方向卖方支付一定数额的权利金后,即拥有在期权合约的有效期内,按执行价格向期权卖方卖出一定数量标的物的权利,但不负有必须卖出的义务。</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10.某粮油经销商在国内期货交易所买入套期保值,在某月份菜籽油期货合约上建仓10手,当时的基差为100元/吨。若该经销商在套期保值中出现净盈利30000元,则其平仓时的基差应为()元/吨。(菜籽油合约规模为每手10吨,不计手续费等费用)</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A、-200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B、-500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C、300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27426">
        <w:rPr>
          <w:rFonts w:ascii="黑体" w:eastAsia="黑体" w:hAnsi="黑体" w:cs="宋体" w:hint="eastAsia"/>
          <w:color w:val="000000"/>
          <w:kern w:val="0"/>
          <w:sz w:val="24"/>
          <w:szCs w:val="27"/>
        </w:rPr>
        <w:t>D、-100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答案：A</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该材料为粮油经销商进行关于菜籽油的买入套期保值,根据基差变动与套期保值效果分析原理,买入套期保值,基差走弱,会实现净盈利,且净盈利等于基差变动量与套期保值数量乘积。因此,根据已知条件,基差变动量=30000÷(10×10)=300(元/吨)。即代表基差走弱300元/吨。则平仓时基差应为-200元/吨。</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11.市场为正向市场,此时基差为()。</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A、正值</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B、负值</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C、零</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D、无法判断</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答案：B</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基差=现货价格—期货价格。当期货价格高于现货价格或者远期期货合约价格高于近期期货合约价格时,这种市场状态称为正向市场,此时基差为负值;当期货价格低于现货价格或者远期期货合约价格低于近期期货合约价格时,这种市场状态称为反向市场,此时基差为正值。</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12.某投资者在4月1日买入燃料油期货合约40手建仓,成交价为4790元/吨,当日结算价为4770元/吨,当日该投资者卖出20手燃料油合约平仓,成交价为4780元/吨,交易保证金比例为8%,则该投资者当日交易保证金为()。(交易单位:10吨/手)</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A、76320元</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B、76480元</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27426">
        <w:rPr>
          <w:rFonts w:ascii="黑体" w:eastAsia="黑体" w:hAnsi="黑体" w:cs="宋体" w:hint="eastAsia"/>
          <w:color w:val="000000"/>
          <w:kern w:val="0"/>
          <w:sz w:val="24"/>
          <w:szCs w:val="27"/>
        </w:rPr>
        <w:t>C、152640元</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D、152960元</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答案：A</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解析：当日交易保证金:当日结算价×当日交易结束后的持仓总量×交易保证金比例=4770×(40-20)×10×8%=76320(元)。</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13.某投资者以4010元/吨的价格买入4手(10吨/手)大豆期货合约,再以4030元/吨的价格买入3手该合约;当价格升至4040元/吨时,又买入2手;当价格升至4050元/吨时,再买入1手。若不计交易费用,期货价格高于()元/吨时,该交易者可以盈利。</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A、4010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B、4020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C、4026</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D、4025</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答案：C</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解析：该投资者采用金字塔式建仓策略,所持10手合约的平均买入价为(4010×4×10+4030×3×10+4040×2×10+4050×10)/100=(16040+12090+8080+4050)×10/100=4026(元/吨)。因此,当期货价格高于4026元/吨时,该交易者可以盈利。</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14.下面关于期货投机的说法,错误的是()。</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A、投机者大多是价格风险偏好者</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B、投机者承担了价格风险</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C、投机者主要获取价差收益</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D、投机交易可以在期货与现货两个市场进行操作</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27426">
        <w:rPr>
          <w:rFonts w:ascii="黑体" w:eastAsia="黑体" w:hAnsi="黑体" w:cs="宋体" w:hint="eastAsia"/>
          <w:color w:val="000000"/>
          <w:kern w:val="0"/>
          <w:sz w:val="24"/>
          <w:szCs w:val="27"/>
        </w:rPr>
        <w:t>答案：D</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解析：从交易方式来看,期货投机交易是在期货市场上进行买空卖空,从而获得价差收益;套期保值交易则是在期货市场上建立现货市场的对冲头寸,以期达到对冲现货市场的价格波动风险。</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15.看跌期权卖出者被要求执行期权后,会取得()。</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A、相关期货的空头</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B、相关期货的多头</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C、相关期权的空头</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D、相关期权的多头</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答案：B</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解析：看跌期权卖出者被要求执行期权后,会取得相关期货的多头,而期权买方获得期货的空头。</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16.9月10日,白糖现货价格为6200元/吨。某糖厂担心白糖价格下跌,决定利用白糖期货对其生产的白糖进行套期保值。当天以6150元/吨的价格在11月份白糖期货合约上建仓。10月10日,白糖现货价格跌至5720元/吨,期货价格跌至5700元/吨。该糖厂平仓后,实际白糖的卖出价格为()元/吨。</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A、6100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B、6150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C、6170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D、6200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27426">
        <w:rPr>
          <w:rFonts w:ascii="黑体" w:eastAsia="黑体" w:hAnsi="黑体" w:cs="宋体" w:hint="eastAsia"/>
          <w:color w:val="000000"/>
          <w:kern w:val="0"/>
          <w:sz w:val="24"/>
          <w:szCs w:val="27"/>
        </w:rPr>
        <w:t>答案：C</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解析：糖厂作为白糖的生产者,担心白糖价格下跌,则在建仓时应卖出白糖期货合约。平仓时再买进白糖期货合约。则该糖厂白糖的实际卖出价格=5720-5700+6150=6170(元/吨)。</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17.某铜金属经销商在期现两市的建仓基差是-500元/吨(现货价17000元/吨,期货卖出价为17500元/吨),承诺在3个月后以低于期货价100元/吨的价格出手,则该经销商每吨的利润是()元。</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A、100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B、500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C、600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D、400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答案：D</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解析：该经销商采用卖出套期保值,基差走强时盈利。建仓基差是-500元/吨,3个月后基差是-100元/吨,基差走强400元/吨,所以,经销商每吨获利400元。</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18.有关期货与期货期权的关系,下列说法错误的是()。</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A、期货交易是期货期权交易的基础</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B、期货合约和期货期权合约买卖双方都要缴纳保证金</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C、期货期权的标的是期货合约</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D、期货交易与期货期权交易都可以进行双向交易</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答案：B</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期货交易是期货期权交易的基础。故A项正确。在期货交易中,买卖双方都要根据期货合约价值缴纳保证金,作为履约的保证;期权交易中,买方向卖方支付权利金后,获得买卖标的资产的权利,而不必承担义务,其大风险是权利金的损失,因此期权买方不需要再缴纳保证金。故B项错误。期货期权交易的是未来买卖一定数量期货合约的权利。故C项正确。期货交易与期货期权交易都可以买空卖空,即都可以进行双向交易。故D项正确。</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19.卖出看涨期权的投资者的最大收益是()。</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A、无限大的</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B、所收取的全部权利金</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C、所收取的全部盈利及履约保证金</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D、所收取的全部权利金以及履约保证金</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答案：B</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解析：卖出看涨期权的投资者的最大收益为所收取的全部权利金。</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20.某交易者在5月30日买入1手9月份铜合约,价格为17520元/吨,同时卖出1手11月份铜合约,价格为17570元/吨,7月30日该交易者卖出1手9月份铜合约,价格为17540元/吨,同时以较高价格买入1手11月份铜合约,已知其在整个套利过程中净亏损100元,且假定交易所规定1手=5吨,试推算7月30日的11月份铜合约价格()元/吨。</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A、17600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B、17610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C、17620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D、17630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27426">
        <w:rPr>
          <w:rFonts w:ascii="黑体" w:eastAsia="黑体" w:hAnsi="黑体" w:cs="宋体" w:hint="eastAsia"/>
          <w:color w:val="000000"/>
          <w:kern w:val="0"/>
          <w:sz w:val="24"/>
          <w:szCs w:val="27"/>
        </w:rPr>
        <w:t>答案：B</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解析：本题可用假设法代入求解,设7月30日的11月份铜合约价格为X。如题,9月份合约盈亏情况为:17540-17520=20(元/吨),11月份合约盈亏情况为:17570-X,总盈亏为:5×20+5×(17570-X)=-100,求解得X=17610元/吨。</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21.某交易者以100美元/吨的价格买入一张3个月期的铜看涨期权,执行价格为3800美元/吨,期权到期时,铜期货合约价格为3950美元/吨,该交易者的损益平衡点为()美元/吨。(不考虑交易费用和现货升贴水变化)</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A、3700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B、3800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C、3850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D、3900</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答案：D</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解析：买进看涨期权的损益平衡点=执行价格+权利金=3800+100=3900(美元/吨)。</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22.某交易者4月5日买入7月小麦看跌期权,执行价格为450美分/蒲式耳,权利金为30美分/蒲式耳。第二天以20美分/蒲式耳的权利金将该期权平仓。不考虑交易费用,该交易的盈亏是()。</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A、盈利10美分/蒲式耳</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B、亏损10美分/蒲式耳</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C、盈利50美分/蒲式耳</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D、亏损50美分/蒲式耳</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答案：B</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27426">
        <w:rPr>
          <w:rFonts w:ascii="黑体" w:eastAsia="黑体" w:hAnsi="黑体" w:cs="宋体" w:hint="eastAsia"/>
          <w:color w:val="000000"/>
          <w:kern w:val="0"/>
          <w:sz w:val="24"/>
          <w:szCs w:val="27"/>
        </w:rPr>
        <w:t>解析：对于看跌期权,期权的平仓损益=权利金卖出平仓价-权利金买入价=20-30=-10(美分/蒲式耳)。</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23.先买入目前挂牌的1年后交割的合约,在它到期之前进行平仓,同时在更远期的合约上建仓,这种操作属于()操作。</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A、展期</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B、跨期套利</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C、期转现</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D、交割</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答案：A</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有时企业套期保值的时间跨度特别长,例如,石油开采企业可能对未来5年甚至更长的时间的原油生产进行套期保值,此时市场上尚没有对应的远月期货合约挂牌,那么在合约选择上,可以先买入目前挂牌的1年后交割的合约,在它到期之前进行平仓,同时在更远期的合约上建仓。这种操作称为展期,即用远月合约调换近月合约,将持仓向后移。</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24.某持有日元资产的出口商担心日元贬值而采取套期保值,可以()。</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A、买入日元期货买权</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B、卖出欧洲美元期货</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C、卖出日元期货</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D、卖出日元期货卖权,卖出日元期货买权</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答案：C</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解析：担心日元贬值,价格下跌,可以卖出日元期货;也可以买入日元期货的卖权,进行套期保值。</w:t>
      </w:r>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r w:rsidRPr="00327426">
        <w:rPr>
          <w:rFonts w:ascii="黑体" w:eastAsia="黑体" w:hAnsi="黑体" w:cs="宋体" w:hint="eastAsia"/>
          <w:color w:val="000000"/>
          <w:kern w:val="0"/>
          <w:sz w:val="24"/>
          <w:szCs w:val="27"/>
        </w:rPr>
        <w:t>25.在其他因素不变的情况下,下列关于标的资产价格波动幅度与期权价格关系的说法,正确的是()。</w:t>
      </w:r>
      <w:r w:rsidRPr="00327426">
        <w:rPr>
          <w:rFonts w:ascii="黑体" w:eastAsia="黑体" w:hAnsi="黑体" w:cs="宋体"/>
          <w:color w:val="000000"/>
          <w:kern w:val="0"/>
          <w:sz w:val="24"/>
          <w:szCs w:val="27"/>
        </w:rPr>
        <w:br/>
      </w:r>
      <w:r w:rsidRPr="00327426">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https://d.book118.com/156241015031010031</w:t>
        </w:r>
      </w:hyperlink>
    </w:p>
    <w:p w:rsidR="00644CC5" w:rsidRPr="00327426" w:rsidP="00327426">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74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274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742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2742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742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2742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742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32742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742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2742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742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2742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742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2742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742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2742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742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2742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742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2742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742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2742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742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2742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742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4FB"/>
    <w:rsid w:val="00327426"/>
    <w:rsid w:val="00644CC5"/>
    <w:rsid w:val="00716AF6"/>
    <w:rsid w:val="009F0DCA"/>
    <w:rsid w:val="00AB44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644CC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644CC5"/>
    <w:rPr>
      <w:rFonts w:ascii="宋体" w:eastAsia="宋体" w:hAnsi="宋体" w:cs="宋体"/>
      <w:b/>
      <w:bCs/>
      <w:kern w:val="0"/>
      <w:sz w:val="36"/>
      <w:szCs w:val="36"/>
    </w:rPr>
  </w:style>
  <w:style w:type="paragraph" w:customStyle="1" w:styleId="1">
    <w:name w:val="标题1"/>
    <w:basedOn w:val="Normal"/>
    <w:rsid w:val="00644CC5"/>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644CC5"/>
  </w:style>
  <w:style w:type="paragraph" w:customStyle="1" w:styleId="question-title">
    <w:name w:val="question-title"/>
    <w:basedOn w:val="Normal"/>
    <w:rsid w:val="00644CC5"/>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644CC5"/>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644CC5"/>
  </w:style>
  <w:style w:type="paragraph" w:styleId="NormalWeb">
    <w:name w:val="Normal (Web)"/>
    <w:basedOn w:val="Normal"/>
    <w:uiPriority w:val="99"/>
    <w:semiHidden/>
    <w:unhideWhenUsed/>
    <w:rsid w:val="00644CC5"/>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3274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27426"/>
    <w:rPr>
      <w:sz w:val="18"/>
      <w:szCs w:val="18"/>
    </w:rPr>
  </w:style>
  <w:style w:type="paragraph" w:styleId="Footer">
    <w:name w:val="footer"/>
    <w:basedOn w:val="Normal"/>
    <w:link w:val="Char0"/>
    <w:uiPriority w:val="99"/>
    <w:unhideWhenUsed/>
    <w:rsid w:val="0032742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27426"/>
    <w:rPr>
      <w:sz w:val="18"/>
      <w:szCs w:val="18"/>
    </w:rPr>
  </w:style>
  <w:style w:type="character" w:styleId="PageNumber">
    <w:name w:val="page number"/>
    <w:basedOn w:val="DefaultParagraphFont"/>
    <w:uiPriority w:val="99"/>
    <w:semiHidden/>
    <w:unhideWhenUsed/>
    <w:rsid w:val="003274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156241015031010031"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6612</Words>
  <Characters>37691</Characters>
  <Application>Microsoft Office Word</Application>
  <DocSecurity>0</DocSecurity>
  <Lines>314</Lines>
  <Paragraphs>88</Paragraphs>
  <ScaleCrop>false</ScaleCrop>
  <Company>Microsoft</Company>
  <LinksUpToDate>false</LinksUpToDate>
  <CharactersWithSpaces>44215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2024-01-02T07:44:00Z</dcterms:created>
  <dcterms:modified xsi:type="dcterms:W3CDTF">2024-01-02T11:27:00Z</dcterms:modified>
</cp:coreProperties>
</file>