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1524</wp:posOffset>
            </wp:positionV>
            <wp:extent cx="9144000" cy="572008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5720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中国互联网基金行业研究报告简版</w:t>
      </w:r>
    </w:p>
    <w:p>
      <w:pPr>
        <w:spacing w:before="78"/>
        <w:ind w:left="160" w:right="0" w:firstLine="0"/>
        <w:jc w:val="left"/>
        <w:rPr>
          <w:b/>
          <w:sz w:val="48"/>
        </w:rPr>
      </w:pPr>
      <w:r>
        <w:rPr>
          <w:rFonts w:ascii="Arial" w:eastAsia="Arial"/>
          <w:b/>
          <w:color w:val="FFFFFF"/>
          <w:sz w:val="48"/>
        </w:rPr>
        <w:t>2015</w:t>
      </w:r>
      <w:r>
        <w:rPr>
          <w:b/>
          <w:color w:val="FFFFFF"/>
          <w:sz w:val="48"/>
        </w:rPr>
        <w:t>年</w:t>
      </w:r>
    </w:p>
    <w:p>
      <w:pPr>
        <w:pStyle w:val="BodyText"/>
        <w:spacing w:before="16"/>
        <w:ind w:left="160"/>
        <w:rPr>
          <w:rFonts w:ascii="Arial"/>
        </w:rPr>
      </w:pPr>
      <w:hyperlink r:id="rId5">
        <w:r>
          <w:rPr>
            <w:rFonts w:ascii="Arial"/>
            <w:color w:val="FFFFFF"/>
          </w:rPr>
          <w:t>www.iresearch.com.cn</w:t>
        </w:r>
      </w:hyperlink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7482840</wp:posOffset>
            </wp:positionH>
            <wp:positionV relativeFrom="paragraph">
              <wp:posOffset>118102</wp:posOffset>
            </wp:positionV>
            <wp:extent cx="1091434" cy="52016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434" cy="52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2"/>
        </w:rPr>
        <w:sectPr>
          <w:type w:val="continuous"/>
          <w:pgSz w:w="14400" w:h="10800" w:orient="landscape"/>
          <w:pgMar w:top="860" w:right="0" w:bottom="280" w:left="680" w:header="708" w:footer="708"/>
          <w:cols w:space="708"/>
        </w:sectPr>
      </w:pPr>
    </w:p>
    <w:p>
      <w:pPr>
        <w:pStyle w:val="Heading1"/>
        <w:tabs>
          <w:tab w:val="left" w:pos="11456"/>
        </w:tabs>
        <w:spacing w:line="994" w:lineRule="exact"/>
        <w:ind w:left="169"/>
      </w:pPr>
      <w:r>
        <w:rPr>
          <w:color w:val="B1D134"/>
          <w:spacing w:val="-1"/>
        </w:rPr>
        <w:t>中国互联网基金行业发展报</w:t>
      </w:r>
      <w:r>
        <w:rPr>
          <w:color w:val="B1D134"/>
        </w:rPr>
        <w:t>告</w:t>
        <w:tab/>
      </w:r>
      <w:r>
        <w:rPr>
          <w:color w:val="B1D134"/>
          <w:position w:val="-6"/>
        </w:rPr>
        <w:drawing>
          <wp:inline distT="0" distB="0" distL="0" distR="0">
            <wp:extent cx="908303" cy="43281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03" cy="4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line="776" w:lineRule="exact"/>
      </w:pPr>
      <w:r>
        <w:rPr>
          <w:color w:val="B1D134"/>
        </w:rPr>
        <w:t>报告概述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302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监管趋向引导型，权限下放鼓励金融创新。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8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公募基金数量增至</w:t>
      </w:r>
      <w:r>
        <w:rPr>
          <w:b/>
          <w:color w:val="B1D134"/>
          <w:sz w:val="24"/>
        </w:rPr>
        <w:t>1897只</w:t>
      </w:r>
      <w:r>
        <w:rPr>
          <w:color w:val="3F3F3F"/>
          <w:sz w:val="24"/>
        </w:rPr>
        <w:t>，行业规模逐步扩张。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8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中国公募基金的份额为</w:t>
      </w:r>
      <w:r>
        <w:rPr>
          <w:rFonts w:ascii="Arial" w:eastAsia="Arial" w:hAnsi="Arial"/>
          <w:b/>
          <w:color w:val="B1D134"/>
          <w:spacing w:val="-3"/>
          <w:sz w:val="24"/>
        </w:rPr>
        <w:t>42011.9</w:t>
      </w:r>
      <w:r>
        <w:rPr>
          <w:b/>
          <w:color w:val="B1D134"/>
          <w:sz w:val="24"/>
        </w:rPr>
        <w:t>亿份</w:t>
      </w:r>
      <w:r>
        <w:rPr>
          <w:color w:val="3F3F3F"/>
          <w:sz w:val="24"/>
        </w:rPr>
        <w:t>同比增长</w:t>
      </w:r>
      <w:r>
        <w:rPr>
          <w:rFonts w:ascii="Arial" w:eastAsia="Arial" w:hAnsi="Arial"/>
          <w:b/>
          <w:color w:val="B1D134"/>
          <w:sz w:val="24"/>
        </w:rPr>
        <w:t>34.7%</w:t>
      </w:r>
      <w:r>
        <w:rPr>
          <w:color w:val="3F3F3F"/>
          <w:sz w:val="24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7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互联网促进基金产业链结构的优化，银行仍是销售的主体，但基金公司自建平台量上升。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8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基金电子商务化程度，代销机构为</w:t>
      </w:r>
      <w:r>
        <w:rPr>
          <w:b/>
          <w:color w:val="B1D134"/>
          <w:sz w:val="24"/>
        </w:rPr>
        <w:t>61.3%</w:t>
      </w:r>
      <w:r>
        <w:rPr>
          <w:color w:val="3F3F3F"/>
          <w:sz w:val="24"/>
        </w:rPr>
        <w:t>，直销机构为</w:t>
      </w:r>
      <w:r>
        <w:rPr>
          <w:b/>
          <w:color w:val="B1D134"/>
          <w:sz w:val="24"/>
        </w:rPr>
        <w:t>35.2%</w:t>
      </w:r>
      <w:r>
        <w:rPr>
          <w:color w:val="3F3F3F"/>
          <w:sz w:val="24"/>
        </w:rPr>
        <w:t>，整体规模为</w:t>
      </w:r>
      <w:r>
        <w:rPr>
          <w:b/>
          <w:color w:val="B1D134"/>
          <w:sz w:val="24"/>
        </w:rPr>
        <w:t>49.1%</w:t>
      </w:r>
      <w:r>
        <w:rPr>
          <w:color w:val="3F3F3F"/>
          <w:sz w:val="24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8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2014年互联网基金交易规模</w:t>
      </w:r>
      <w:r>
        <w:rPr>
          <w:b/>
          <w:color w:val="B1D134"/>
          <w:sz w:val="24"/>
        </w:rPr>
        <w:t>61947.4亿元</w:t>
      </w:r>
      <w:r>
        <w:rPr>
          <w:color w:val="3F3F3F"/>
          <w:sz w:val="24"/>
        </w:rPr>
        <w:t>，同比增长</w:t>
      </w:r>
      <w:r>
        <w:rPr>
          <w:b/>
          <w:color w:val="B1D134"/>
          <w:sz w:val="24"/>
        </w:rPr>
        <w:t>18.6%</w:t>
      </w:r>
      <w:r>
        <w:rPr>
          <w:color w:val="3F3F3F"/>
          <w:sz w:val="24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7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第三方支付平台、网上银行、基金官网是最主要的投资渠道。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8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“产品+平台”是基金产业链发展的核心，需要拓展应用场景。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7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拓展基金的投研能力，吸引更多用户。</w:t>
      </w:r>
    </w:p>
    <w:p>
      <w:pPr>
        <w:pStyle w:val="ListParagraph"/>
        <w:numPr>
          <w:ilvl w:val="0"/>
          <w:numId w:val="2"/>
        </w:numPr>
        <w:tabs>
          <w:tab w:val="left" w:pos="889"/>
          <w:tab w:val="left" w:pos="890"/>
        </w:tabs>
        <w:spacing w:before="218" w:after="0" w:line="240" w:lineRule="auto"/>
        <w:ind w:left="889" w:right="0" w:hanging="721"/>
        <w:jc w:val="left"/>
        <w:rPr>
          <w:rFonts w:ascii="Wingdings" w:eastAsia="Wingdings" w:hAnsi="Wingdings"/>
          <w:color w:val="3F3F3F"/>
          <w:sz w:val="24"/>
        </w:rPr>
      </w:pPr>
      <w:r>
        <w:rPr>
          <w:color w:val="3F3F3F"/>
          <w:sz w:val="24"/>
        </w:rPr>
        <w:t>移动端市场是未来的主要战场。</w:t>
      </w:r>
    </w:p>
    <w:p>
      <w:pPr>
        <w:spacing w:after="0" w:line="240" w:lineRule="auto"/>
        <w:jc w:val="left"/>
        <w:rPr>
          <w:rFonts w:ascii="Wingdings" w:eastAsia="Wingdings" w:hAnsi="Wingdings"/>
          <w:sz w:val="24"/>
        </w:rPr>
        <w:sectPr>
          <w:footerReference w:type="default" r:id="rId8"/>
          <w:pgSz w:w="14400" w:h="10800" w:orient="landscape"/>
          <w:pgMar w:top="380" w:right="0" w:bottom="300" w:left="680" w:header="0" w:footer="106"/>
          <w:pgNumType w:start="2"/>
          <w:cols w:space="708"/>
        </w:sectPr>
      </w:pPr>
    </w:p>
    <w:p>
      <w:pPr>
        <w:pStyle w:val="BodyText"/>
        <w:ind w:left="11456"/>
        <w:rPr>
          <w:sz w:val="20"/>
        </w:rPr>
      </w:pPr>
      <w:r>
        <w:rPr>
          <w:sz w:val="20"/>
        </w:rPr>
        <w:drawing>
          <wp:inline distT="0" distB="0" distL="0" distR="0">
            <wp:extent cx="914700" cy="435863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700" cy="43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tabs>
          <w:tab w:val="left" w:pos="11060"/>
        </w:tabs>
        <w:spacing w:before="6"/>
        <w:ind w:left="3689" w:right="0" w:firstLine="0"/>
        <w:jc w:val="left"/>
        <w:rPr>
          <w:sz w:val="36"/>
        </w:rPr>
      </w:pPr>
      <w:r>
        <w:pict>
          <v:group id="_x0000_s1025" style="width:56.2pt;height:34pt;margin-top:1.1pt;margin-left:133.2pt;mso-position-horizontal-relative:page;position:absolute;z-index:251660288" coordorigin="2664,22" coordsize="1124,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24;height:680;left:2664;position:absolute;top:21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24;height:680;left:2664;position:absolute;top:21" filled="f" stroked="f">
              <v:textbox inset="0,0,0,0">
                <w:txbxContent>
                  <w:p>
                    <w:pPr>
                      <w:spacing w:before="11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color w:val="FFFFFF"/>
          <w:sz w:val="36"/>
          <w:shd w:val="clear" w:color="auto" w:fill="B1D134"/>
        </w:rPr>
        <w:t>中国基金行业发展现状</w:t>
        <w:tab/>
      </w:r>
    </w:p>
    <w:p>
      <w:pPr>
        <w:pStyle w:val="BodyText"/>
        <w:spacing w:before="9"/>
        <w:rPr>
          <w:sz w:val="25"/>
        </w:rPr>
      </w:pPr>
    </w:p>
    <w:p>
      <w:pPr>
        <w:tabs>
          <w:tab w:val="left" w:pos="11060"/>
        </w:tabs>
        <w:spacing w:before="6"/>
        <w:ind w:left="3709" w:right="0" w:firstLine="0"/>
        <w:jc w:val="left"/>
        <w:rPr>
          <w:sz w:val="36"/>
        </w:rPr>
      </w:pPr>
      <w:r>
        <w:pict>
          <v:group id="_x0000_s1028" style="width:56.2pt;height:34pt;margin-top:0.79pt;margin-left:133.2pt;mso-position-horizontal-relative:page;position:absolute;z-index:251661312" coordorigin="2664,16" coordsize="1124,680">
            <v:shape id="_x0000_s1029" type="#_x0000_t75" style="width:1124;height:680;left:2664;position:absolute;top:15" stroked="f">
              <v:imagedata r:id="rId9" o:title=""/>
            </v:shape>
            <v:shape id="_x0000_s1030" type="#_x0000_t202" style="width:1124;height:680;left:2664;position:absolute;top:15" filled="f" stroked="f">
              <v:textbox inset="0,0,0,0">
                <w:txbxContent>
                  <w:p>
                    <w:pPr>
                      <w:spacing w:before="118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color w:val="595959"/>
          <w:sz w:val="36"/>
          <w:shd w:val="clear" w:color="auto" w:fill="F2F2F2"/>
        </w:rPr>
        <w:t>中国互联网基金行业发展环境</w:t>
        <w:tab/>
      </w:r>
    </w:p>
    <w:p>
      <w:pPr>
        <w:pStyle w:val="BodyText"/>
        <w:rPr>
          <w:sz w:val="25"/>
        </w:rPr>
      </w:pPr>
    </w:p>
    <w:p>
      <w:pPr>
        <w:tabs>
          <w:tab w:val="left" w:pos="11055"/>
        </w:tabs>
        <w:spacing w:before="6"/>
        <w:ind w:left="3704" w:right="0" w:firstLine="0"/>
        <w:jc w:val="left"/>
        <w:rPr>
          <w:sz w:val="36"/>
        </w:rPr>
      </w:pPr>
      <w:r>
        <w:pict>
          <v:group id="_x0000_s1031" style="width:56.3pt;height:34pt;margin-top:1.05pt;margin-left:133.32pt;mso-position-horizontal-relative:page;position:absolute;z-index:251662336" coordorigin="2666,21" coordsize="1126,680">
            <v:shape id="_x0000_s1032" type="#_x0000_t75" style="width:1126;height:680;left:2666;position:absolute;top:20" stroked="f">
              <v:imagedata r:id="rId9" o:title=""/>
            </v:shape>
            <v:shape id="_x0000_s1033" type="#_x0000_t202" style="width:1126;height:680;left:2666;position:absolute;top:20" filled="f" stroked="f">
              <v:textbox inset="0,0,0,0">
                <w:txbxContent>
                  <w:p>
                    <w:pPr>
                      <w:spacing w:before="118"/>
                      <w:ind w:left="367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color w:val="595959"/>
          <w:sz w:val="36"/>
          <w:shd w:val="clear" w:color="auto" w:fill="F2F2F2"/>
        </w:rPr>
        <w:t>中国互联网基金行业发展现状</w:t>
        <w:tab/>
      </w:r>
    </w:p>
    <w:p>
      <w:pPr>
        <w:pStyle w:val="BodyText"/>
        <w:spacing w:before="15"/>
      </w:pPr>
    </w:p>
    <w:p>
      <w:pPr>
        <w:tabs>
          <w:tab w:val="left" w:pos="11060"/>
        </w:tabs>
        <w:spacing w:before="6"/>
        <w:ind w:left="3709" w:right="0" w:firstLine="0"/>
        <w:jc w:val="left"/>
        <w:rPr>
          <w:sz w:val="36"/>
        </w:rPr>
      </w:pPr>
      <w:r>
        <w:pict>
          <v:group id="_x0000_s1034" style="width:56.3pt;height:34pt;margin-top:1.43pt;margin-left:133.2pt;mso-position-horizontal-relative:page;position:absolute;z-index:251663360" coordorigin="2664,29" coordsize="1126,680">
            <v:shape id="_x0000_s1035" type="#_x0000_t75" style="width:1126;height:680;left:2664;position:absolute;top:28" stroked="f">
              <v:imagedata r:id="rId9" o:title=""/>
            </v:shape>
            <v:shape id="_x0000_s1036" type="#_x0000_t202" style="width:1126;height:680;left:2664;position:absolute;top:28" filled="f" stroked="f">
              <v:textbox inset="0,0,0,0">
                <w:txbxContent>
                  <w:p>
                    <w:pPr>
                      <w:spacing w:before="118"/>
                      <w:ind w:left="367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color w:val="595959"/>
          <w:sz w:val="36"/>
          <w:shd w:val="clear" w:color="auto" w:fill="F2F2F2"/>
        </w:rPr>
        <w:t>趋势前瞻</w:t>
        <w:tab/>
      </w:r>
    </w:p>
    <w:p>
      <w:pPr>
        <w:spacing w:after="0"/>
        <w:jc w:val="left"/>
        <w:rPr>
          <w:sz w:val="36"/>
        </w:rPr>
        <w:sectPr>
          <w:footerReference w:type="default" r:id="rId10"/>
          <w:pgSz w:w="14400" w:h="10800" w:orient="landscape"/>
          <w:pgMar w:top="540" w:right="0" w:bottom="300" w:left="680" w:header="0" w:footer="106"/>
          <w:pgNumType w:start="3"/>
          <w:cols w:space="708"/>
        </w:sectPr>
      </w:pPr>
    </w:p>
    <w:p>
      <w:pPr>
        <w:pStyle w:val="Heading2"/>
      </w:pPr>
      <w:r>
        <w:rPr>
          <w:rFonts w:ascii="Arial" w:eastAsia="Arial"/>
          <w:color w:val="B1D134"/>
        </w:rPr>
        <w:t>2014</w:t>
      </w:r>
      <w:r>
        <w:rPr>
          <w:color w:val="B1D134"/>
        </w:rPr>
        <w:t>年公募基金数量稳步上升，股票型基金规模占比最大</w:t>
      </w:r>
    </w:p>
    <w:p>
      <w:pPr>
        <w:pStyle w:val="BodyText"/>
        <w:spacing w:before="107" w:line="156" w:lineRule="auto"/>
        <w:ind w:left="171" w:right="826"/>
        <w:jc w:val="both"/>
      </w:pPr>
      <w:r>
        <w:rPr>
          <w:color w:val="3F3F3F"/>
        </w:rPr>
        <w:t>截止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</w:t>
      </w:r>
      <w:r>
        <w:rPr>
          <w:rFonts w:ascii="Arial" w:eastAsia="Arial"/>
          <w:color w:val="3F3F3F"/>
        </w:rPr>
        <w:t>12</w:t>
      </w:r>
      <w:r>
        <w:rPr>
          <w:color w:val="3F3F3F"/>
        </w:rPr>
        <w:t>月</w:t>
      </w:r>
      <w:r>
        <w:rPr>
          <w:rFonts w:ascii="Arial" w:eastAsia="Arial"/>
          <w:color w:val="3F3F3F"/>
        </w:rPr>
        <w:t>31</w:t>
      </w:r>
      <w:r>
        <w:rPr>
          <w:color w:val="3F3F3F"/>
        </w:rPr>
        <w:t>日，我国公募基金规模为</w:t>
      </w:r>
      <w:r>
        <w:rPr>
          <w:rFonts w:ascii="Arial" w:eastAsia="Arial"/>
          <w:color w:val="3F3F3F"/>
        </w:rPr>
        <w:t>1897</w:t>
      </w:r>
      <w:r>
        <w:rPr>
          <w:color w:val="3F3F3F"/>
        </w:rPr>
        <w:t>只，同比增长</w:t>
      </w:r>
      <w:r>
        <w:rPr>
          <w:rFonts w:ascii="Arial" w:eastAsia="Arial"/>
          <w:color w:val="3F3F3F"/>
        </w:rPr>
        <w:t>22.2%</w:t>
      </w:r>
      <w:r>
        <w:rPr>
          <w:color w:val="3F3F3F"/>
        </w:rPr>
        <w:t>，其中开放式基金为</w:t>
      </w:r>
      <w:r>
        <w:rPr>
          <w:rFonts w:ascii="Arial" w:eastAsia="Arial"/>
          <w:color w:val="3F3F3F"/>
        </w:rPr>
        <w:t>1763</w:t>
      </w:r>
      <w:r>
        <w:rPr>
          <w:color w:val="3F3F3F"/>
        </w:rPr>
        <w:t>只，占比达</w:t>
      </w:r>
      <w:r>
        <w:rPr>
          <w:rFonts w:ascii="Arial" w:eastAsia="Arial"/>
          <w:color w:val="3F3F3F"/>
        </w:rPr>
        <w:t>92.9%</w:t>
      </w:r>
      <w:r>
        <w:rPr>
          <w:color w:val="3F3F3F"/>
        </w:rPr>
        <w:t>。封闭式基金为</w:t>
      </w:r>
      <w:r>
        <w:rPr>
          <w:rFonts w:ascii="Arial" w:eastAsia="Arial"/>
          <w:color w:val="3F3F3F"/>
        </w:rPr>
        <w:t>134</w:t>
      </w:r>
      <w:r>
        <w:rPr>
          <w:color w:val="3F3F3F"/>
        </w:rPr>
        <w:t>只，占比为</w:t>
      </w:r>
      <w:r>
        <w:rPr>
          <w:rFonts w:ascii="Arial" w:eastAsia="Arial"/>
          <w:color w:val="3F3F3F"/>
        </w:rPr>
        <w:t>7.1%</w:t>
      </w:r>
      <w:r>
        <w:rPr>
          <w:color w:val="3F3F3F"/>
        </w:rPr>
        <w:t>。开放式基金中股票型基金占比最高，为</w:t>
      </w:r>
      <w:r>
        <w:rPr>
          <w:rFonts w:ascii="Arial" w:eastAsia="Arial"/>
          <w:color w:val="3F3F3F"/>
        </w:rPr>
        <w:t>39.6%</w:t>
      </w:r>
      <w:r>
        <w:rPr>
          <w:color w:val="3F3F3F"/>
        </w:rPr>
        <w:t>，相较于</w:t>
      </w:r>
      <w:r>
        <w:rPr>
          <w:rFonts w:ascii="Arial" w:eastAsia="Arial"/>
          <w:color w:val="3F3F3F"/>
        </w:rPr>
        <w:t>2013</w:t>
      </w:r>
      <w:r>
        <w:rPr>
          <w:color w:val="3F3F3F"/>
        </w:rPr>
        <w:t>年的</w:t>
      </w:r>
      <w:r>
        <w:rPr>
          <w:rFonts w:ascii="Arial" w:eastAsia="Arial"/>
          <w:color w:val="3F3F3F"/>
        </w:rPr>
        <w:t>43.2%</w:t>
      </w:r>
      <w:r>
        <w:rPr>
          <w:color w:val="3F3F3F"/>
        </w:rPr>
        <w:t>有所下降，混合型基金占比次之，为</w:t>
      </w:r>
      <w:r>
        <w:rPr>
          <w:rFonts w:ascii="Arial" w:eastAsia="Arial"/>
          <w:color w:val="3F3F3F"/>
        </w:rPr>
        <w:t>22.4%</w:t>
      </w:r>
      <w:r>
        <w:rPr>
          <w:color w:val="3F3F3F"/>
        </w:rPr>
        <w:t>，相较于</w:t>
      </w:r>
      <w:r>
        <w:rPr>
          <w:rFonts w:ascii="Arial" w:eastAsia="Arial"/>
          <w:color w:val="3F3F3F"/>
        </w:rPr>
        <w:t>2013</w:t>
      </w:r>
      <w:r>
        <w:rPr>
          <w:color w:val="3F3F3F"/>
        </w:rPr>
        <w:t>年的</w:t>
      </w:r>
      <w:r>
        <w:rPr>
          <w:rFonts w:ascii="Arial" w:eastAsia="Arial"/>
          <w:color w:val="3F3F3F"/>
        </w:rPr>
        <w:t>20.3%</w:t>
      </w:r>
      <w:r>
        <w:rPr>
          <w:color w:val="3F3F3F"/>
        </w:rPr>
        <w:t>有小幅度的上升；债券型基金占比为</w:t>
      </w:r>
      <w:r>
        <w:rPr>
          <w:rFonts w:ascii="Arial" w:eastAsia="Arial"/>
          <w:color w:val="3F3F3F"/>
        </w:rPr>
        <w:t>23.2%</w:t>
      </w:r>
      <w:r>
        <w:rPr>
          <w:color w:val="3F3F3F"/>
        </w:rPr>
        <w:t>，相较于</w:t>
      </w:r>
      <w:r>
        <w:rPr>
          <w:rFonts w:ascii="Arial" w:eastAsia="Arial"/>
          <w:color w:val="3F3F3F"/>
        </w:rPr>
        <w:t>2013</w:t>
      </w:r>
      <w:r>
        <w:rPr>
          <w:color w:val="3F3F3F"/>
        </w:rPr>
        <w:t>年的</w:t>
      </w:r>
      <w:r>
        <w:rPr>
          <w:rFonts w:ascii="Arial" w:eastAsia="Arial"/>
          <w:color w:val="3F3F3F"/>
        </w:rPr>
        <w:t>24.1%</w:t>
      </w:r>
      <w:r>
        <w:rPr>
          <w:color w:val="3F3F3F"/>
        </w:rPr>
        <w:t>有所下降。得益于互联网基金的发展，以余额宝为代表的宝宝类货币基金有了较大增长，由</w:t>
      </w:r>
      <w:r>
        <w:rPr>
          <w:rFonts w:ascii="Arial" w:eastAsia="Arial"/>
          <w:color w:val="3F3F3F"/>
        </w:rPr>
        <w:t>2013</w:t>
      </w:r>
      <w:r>
        <w:rPr>
          <w:color w:val="3F3F3F"/>
        </w:rPr>
        <w:t>年的</w:t>
      </w:r>
      <w:r>
        <w:rPr>
          <w:rFonts w:ascii="Arial" w:eastAsia="Arial"/>
          <w:color w:val="3F3F3F"/>
        </w:rPr>
        <w:t>6.6%</w:t>
      </w:r>
      <w:r>
        <w:rPr>
          <w:color w:val="3F3F3F"/>
        </w:rPr>
        <w:t>增长到了</w:t>
      </w:r>
      <w:r>
        <w:rPr>
          <w:rFonts w:ascii="Arial" w:eastAsia="Arial"/>
          <w:color w:val="3F3F3F"/>
        </w:rPr>
        <w:t>9.7%</w:t>
      </w:r>
      <w:r>
        <w:rPr>
          <w:color w:val="3F3F3F"/>
        </w:rPr>
        <w:t>。艾瑞分析认为，混合型基金的风险相对分散，能够更有效的保证收益，在后期会有持续增长，而货币性基金借助互联网渠</w:t>
      </w:r>
    </w:p>
    <w:p>
      <w:pPr>
        <w:pStyle w:val="BodyText"/>
        <w:spacing w:line="182" w:lineRule="exact"/>
        <w:ind w:left="171"/>
      </w:pPr>
      <w:r>
        <w:pict>
          <v:group id="_x0000_s1037" style="width:659.8pt;height:322pt;margin-top:1.05pt;margin-left:49.42pt;mso-position-horizontal-relative:page;position:absolute;z-index:-251652096" coordorigin="988,21" coordsize="13196,6440">
            <v:shape id="_x0000_s1038" type="#_x0000_t75" style="width:7724;height:5525;left:988;position:absolute;top:719" stroked="f">
              <v:imagedata r:id="rId11" o:title=""/>
            </v:shape>
            <v:shape id="_x0000_s1039" type="#_x0000_t75" style="width:962;height:448;left:5105;position:absolute;top:3587" stroked="f">
              <v:imagedata r:id="rId12" o:title=""/>
            </v:shape>
            <v:rect id="_x0000_s1040" style="width:4635;height:6399;left:9316;position:absolute;top:35" filled="t" fillcolor="#f2f2f2" stroked="f">
              <v:fill type="solid"/>
            </v:rect>
            <v:shape id="_x0000_s1041" type="#_x0000_t75" style="width:644;height:644;left:9811;position:absolute;top:20" stroked="f">
              <v:imagedata r:id="rId13" o:title=""/>
            </v:shape>
            <v:shape id="_x0000_s1042" type="#_x0000_t75" style="width:836;height:836;left:9715;position:absolute;top:808" stroked="f">
              <v:imagedata r:id="rId14" o:title=""/>
            </v:shape>
            <v:shape id="_x0000_s1043" type="#_x0000_t75" style="width:326;height:6137;left:9143;position:absolute;top:32" stroked="f">
              <v:imagedata r:id="rId15" o:title=""/>
            </v:shape>
            <v:shape id="_x0000_s1044" style="width:3188;height:827;left:5957;position:absolute;top:3151" coordorigin="5958,3151" coordsize="3188,827" path="m6074,3910l5958,3939,5967,3978,6084,3949,6074,3910xm6229,3871l6113,3900,6123,3939,6239,3910,6229,3871xm6385,3833l6268,3862,6278,3901,6394,3872,6385,3833xm6540,3794l6424,3823,6433,3862,6550,3833,6540,3794xm6695,3756l6579,3785,6589,3824,6705,3795,6695,3756xm6851,3717l6734,3746,6744,3785,6860,3756,6851,3717xm7006,3679l6890,3708,6899,3747,7016,3718,7006,3679xm7161,3641l7045,3669,7054,3708,7171,3679,7161,3641xm7317,3602l7200,3631,7210,3670,7326,3641,7317,3602xm7472,3564l7355,3592,7365,3631,7482,3602,7472,3564xm7627,3525l7511,3554,7520,3593,7637,3564,7627,3525xm7783,3487l7666,3515,7676,3554,7792,3525,7783,3487xm7938,3448l7821,3477,7831,3516,7947,3487,7938,3448xm8093,3410l7977,3439,7986,3477,8103,3448,8093,3410xm8248,3371l8132,3400,8142,3439,8258,3410,8248,3371xm8404,3333l8287,3362,8297,3400,8413,3372,8404,3333xm8559,3294l8443,3323,8452,3362,8569,3333,8559,3294xm8714,3256l8598,3285,8607,3323,8724,3295,8714,3256xm8870,3217l8753,3246,8763,3285,8879,3256,8870,3217xm9025,3179l8908,3208,8918,3246,9035,3218,9025,3179xm9136,3151l9064,3169,9073,3208,9146,3190,9136,3151xe" filled="t" fillcolor="#3f3f3f" stroked="f">
              <v:fill type="solid"/>
              <v:path arrowok="t"/>
            </v:shape>
            <v:shape id="_x0000_s1045" type="#_x0000_t75" style="width:4752;height:4896;left:9432;position:absolute;top:1564" stroked="f">
              <v:imagedata r:id="rId16" o:title=""/>
            </v:shape>
          </v:group>
        </w:pict>
      </w:r>
      <w:r>
        <w:rPr>
          <w:color w:val="3F3F3F"/>
        </w:rPr>
        <w:t>道也会有所增长，但增长幅度和空间都有限。</w:t>
      </w:r>
    </w:p>
    <w:p>
      <w:pPr>
        <w:spacing w:before="0" w:line="444" w:lineRule="exact"/>
        <w:ind w:left="10074" w:right="0" w:firstLine="0"/>
        <w:jc w:val="left"/>
        <w:rPr>
          <w:b/>
          <w:sz w:val="28"/>
        </w:rPr>
      </w:pPr>
      <w:r>
        <w:rPr>
          <w:b/>
          <w:color w:val="3F3F3F"/>
          <w:sz w:val="24"/>
        </w:rPr>
        <w:t>封闭式基金：</w:t>
      </w:r>
      <w:r>
        <w:rPr>
          <w:b/>
          <w:color w:val="3F3F3F"/>
          <w:sz w:val="28"/>
        </w:rPr>
        <w:t>134只</w:t>
      </w:r>
    </w:p>
    <w:p>
      <w:pPr>
        <w:pStyle w:val="BodyText"/>
        <w:spacing w:before="15"/>
        <w:rPr>
          <w:b/>
          <w:sz w:val="20"/>
        </w:rPr>
      </w:pPr>
    </w:p>
    <w:p>
      <w:pPr>
        <w:spacing w:before="0"/>
        <w:ind w:left="10066" w:right="0" w:firstLine="0"/>
        <w:jc w:val="left"/>
        <w:rPr>
          <w:b/>
          <w:sz w:val="28"/>
        </w:rPr>
      </w:pPr>
      <w:r>
        <w:rPr>
          <w:b/>
          <w:color w:val="3F3F3F"/>
          <w:sz w:val="24"/>
        </w:rPr>
        <w:t>开放式基金：</w:t>
      </w:r>
      <w:r>
        <w:rPr>
          <w:b/>
          <w:color w:val="3F3F3F"/>
          <w:sz w:val="28"/>
        </w:rPr>
        <w:t>1763只</w:t>
      </w:r>
    </w:p>
    <w:p>
      <w:pPr>
        <w:spacing w:after="0"/>
        <w:jc w:val="left"/>
        <w:rPr>
          <w:sz w:val="28"/>
        </w:rPr>
        <w:sectPr>
          <w:headerReference w:type="default" r:id="rId17"/>
          <w:footerReference w:type="default" r:id="rId18"/>
          <w:pgSz w:w="14400" w:h="10800" w:orient="landscape"/>
          <w:pgMar w:top="1300" w:right="0" w:bottom="300" w:left="680" w:header="470" w:footer="106"/>
          <w:pgNumType w:start="4"/>
          <w:cols w:space="708"/>
        </w:sectPr>
      </w:pPr>
    </w:p>
    <w:p>
      <w:pPr>
        <w:pStyle w:val="Heading2"/>
      </w:pPr>
      <w:r>
        <w:rPr>
          <w:color w:val="B1D134"/>
        </w:rPr>
        <w:t>货币型基金占比最大，股票型基金占比大幅提升</w:t>
      </w:r>
    </w:p>
    <w:p>
      <w:pPr>
        <w:pStyle w:val="BodyText"/>
        <w:spacing w:before="107" w:line="156" w:lineRule="auto"/>
        <w:ind w:left="169" w:right="776"/>
        <w:jc w:val="both"/>
      </w:pPr>
      <w:r>
        <w:pict>
          <v:group id="_x0000_s1046" style="width:247.9pt;height:314.2pt;margin-top:71.66pt;margin-left:472.12pt;mso-position-horizontal-relative:page;position:absolute;z-index:251665408" coordorigin="9442,1433" coordsize="4958,6284">
            <v:rect id="_x0000_s1047" style="width:4632;height:6111;left:9616;position:absolute;top:1453" filled="t" fillcolor="#f2f2f2" stroked="f">
              <v:fill type="solid"/>
            </v:rect>
            <v:shape id="_x0000_s1048" type="#_x0000_t75" style="width:326;height:6137;left:9442;position:absolute;top:1433" stroked="f">
              <v:imagedata r:id="rId19" o:title=""/>
            </v:shape>
            <v:shape id="_x0000_s1049" type="#_x0000_t75" style="width:4824;height:4464;left:9576;position:absolute;top:3253" stroked="f">
              <v:imagedata r:id="rId20" o:title=""/>
            </v:shape>
            <v:shape id="_x0000_s1050" type="#_x0000_t202" style="width:4958;height:6284;left:9442;position:absolute;top:1433" filled="f" stroked="f">
              <v:textbox inset="0,0,0,0">
                <w:txbxContent>
                  <w:p>
                    <w:pPr>
                      <w:spacing w:before="122" w:line="312" w:lineRule="auto"/>
                      <w:ind w:left="714" w:right="533" w:firstLine="112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3F3F3F"/>
                        <w:sz w:val="24"/>
                      </w:rPr>
                      <w:t>公募基金年末净值：45353.6亿元封闭式基金年末净值：1363.8亿元</w:t>
                    </w:r>
                  </w:p>
                  <w:p>
                    <w:pPr>
                      <w:spacing w:before="101"/>
                      <w:ind w:left="826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3F3F3F"/>
                        <w:sz w:val="24"/>
                      </w:rPr>
                      <w:t>开放式基金年末净值：43989.8亿元</w:t>
                    </w:r>
                  </w:p>
                </w:txbxContent>
              </v:textbox>
            </v:shape>
          </v:group>
        </w:pict>
      </w:r>
      <w:r>
        <w:rPr>
          <w:color w:val="3F3F3F"/>
        </w:rPr>
        <w:t>截止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</w:t>
      </w:r>
      <w:r>
        <w:rPr>
          <w:rFonts w:ascii="Arial" w:eastAsia="Arial"/>
          <w:color w:val="3F3F3F"/>
        </w:rPr>
        <w:t>12</w:t>
      </w:r>
      <w:r>
        <w:rPr>
          <w:color w:val="3F3F3F"/>
        </w:rPr>
        <w:t>月</w:t>
      </w:r>
      <w:r>
        <w:rPr>
          <w:rFonts w:ascii="Arial" w:eastAsia="Arial"/>
          <w:color w:val="3F3F3F"/>
        </w:rPr>
        <w:t>31</w:t>
      </w:r>
      <w:r>
        <w:rPr>
          <w:color w:val="3F3F3F"/>
        </w:rPr>
        <w:t>日，中国开放式基金的认申购规模达</w:t>
      </w:r>
      <w:r>
        <w:rPr>
          <w:rFonts w:ascii="Arial" w:eastAsia="Arial"/>
          <w:color w:val="3F3F3F"/>
        </w:rPr>
        <w:t>126165.8</w:t>
      </w:r>
      <w:r>
        <w:rPr>
          <w:color w:val="3F3F3F"/>
        </w:rPr>
        <w:t>亿元，相较于</w:t>
      </w:r>
      <w:r>
        <w:rPr>
          <w:rFonts w:ascii="Arial" w:eastAsia="Arial"/>
          <w:color w:val="3F3F3F"/>
        </w:rPr>
        <w:t>2013</w:t>
      </w:r>
      <w:r>
        <w:rPr>
          <w:color w:val="3F3F3F"/>
        </w:rPr>
        <w:t>年的</w:t>
      </w:r>
      <w:r>
        <w:rPr>
          <w:rFonts w:ascii="Arial" w:eastAsia="Arial"/>
          <w:color w:val="3F3F3F"/>
        </w:rPr>
        <w:t>52678.8</w:t>
      </w:r>
      <w:r>
        <w:rPr>
          <w:color w:val="3F3F3F"/>
        </w:rPr>
        <w:t>亿元上升</w:t>
      </w:r>
      <w:r>
        <w:rPr>
          <w:rFonts w:ascii="Arial" w:eastAsia="Arial"/>
          <w:color w:val="3F3F3F"/>
        </w:rPr>
        <w:t>139.5%</w:t>
      </w:r>
      <w:r>
        <w:rPr>
          <w:color w:val="3F3F3F"/>
        </w:rPr>
        <w:t>。开放式基金的认申购份额中货币基金表现突出，占比达</w:t>
      </w:r>
      <w:r>
        <w:rPr>
          <w:rFonts w:ascii="Arial" w:eastAsia="Arial"/>
          <w:color w:val="3F3F3F"/>
        </w:rPr>
        <w:t>47.4%</w:t>
      </w:r>
      <w:r>
        <w:rPr>
          <w:color w:val="3F3F3F"/>
        </w:rPr>
        <w:t>。股票型基金的比重较</w:t>
      </w:r>
      <w:r>
        <w:rPr>
          <w:rFonts w:ascii="Arial" w:eastAsia="Arial"/>
          <w:color w:val="3F3F3F"/>
        </w:rPr>
        <w:t>2013</w:t>
      </w:r>
      <w:r>
        <w:rPr>
          <w:color w:val="3F3F3F"/>
        </w:rPr>
        <w:t>年的</w:t>
      </w:r>
      <w:r>
        <w:rPr>
          <w:rFonts w:ascii="Arial" w:eastAsia="Arial"/>
          <w:color w:val="3F3F3F"/>
        </w:rPr>
        <w:t>21.6%</w:t>
      </w:r>
      <w:r>
        <w:rPr>
          <w:color w:val="3F3F3F"/>
        </w:rPr>
        <w:t>也有大幅度的提升。年末资金面紧张的情况下，与互联网结合紧密的货币型基金成为主要的资金募集方式。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年基金认申购规模的增长主要得益于货币基金认申购规模的增长。</w:t>
      </w:r>
    </w:p>
    <w:p>
      <w:pPr>
        <w:pStyle w:val="BodyText"/>
        <w:spacing w:before="7"/>
        <w:rPr>
          <w:sz w:val="12"/>
        </w:rPr>
      </w:pPr>
      <w:r>
        <w:pict>
          <v:group id="_x0000_s1051" style="width:399.6pt;height:309.6pt;margin-top:13.36pt;margin-left:64.8pt;mso-position-horizontal-relative:page;mso-wrap-distance-left:0;mso-wrap-distance-right:0;position:absolute;z-index:-251650048" coordorigin="1296,267" coordsize="7992,6192">
            <v:shape id="_x0000_s1052" type="#_x0000_t75" style="width:7992;height:6192;left:1296;position:absolute;top:267" stroked="f">
              <v:imagedata r:id="rId21" o:title=""/>
            </v:shape>
            <v:shape id="_x0000_s1053" type="#_x0000_t75" style="width:1259;height:554;left:7841;position:absolute;top:2152" stroked="f">
              <v:imagedata r:id="rId22" o:title=""/>
            </v:shape>
            <w10:wrap type="topAndBottom"/>
          </v:group>
        </w:pict>
      </w:r>
    </w:p>
    <w:p>
      <w:pPr>
        <w:spacing w:after="0"/>
        <w:rPr>
          <w:sz w:val="12"/>
        </w:rPr>
        <w:sectPr>
          <w:headerReference w:type="default" r:id="rId23"/>
          <w:footerReference w:type="default" r:id="rId24"/>
          <w:pgSz w:w="14400" w:h="10800" w:orient="landscape"/>
          <w:pgMar w:top="1300" w:right="0" w:bottom="300" w:left="680" w:header="470" w:footer="106"/>
          <w:pgNumType w:start="5"/>
          <w:cols w:space="708"/>
        </w:sectPr>
      </w:pPr>
    </w:p>
    <w:p>
      <w:pPr>
        <w:pStyle w:val="Heading2"/>
      </w:pPr>
      <w:r>
        <w:rPr>
          <w:rFonts w:ascii="Arial" w:eastAsia="Arial"/>
          <w:color w:val="B1D134"/>
        </w:rPr>
        <w:t>2014</w:t>
      </w:r>
      <w:r>
        <w:rPr>
          <w:color w:val="B1D134"/>
        </w:rPr>
        <w:t>年公募基金份额净值大幅上升</w:t>
      </w:r>
    </w:p>
    <w:p>
      <w:pPr>
        <w:pStyle w:val="BodyText"/>
        <w:spacing w:line="362" w:lineRule="exact"/>
        <w:ind w:left="171"/>
      </w:pPr>
      <w:r>
        <w:rPr>
          <w:color w:val="3F3F3F"/>
        </w:rPr>
        <w:t>截止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</w:t>
      </w:r>
      <w:r>
        <w:rPr>
          <w:rFonts w:ascii="Arial" w:eastAsia="Arial"/>
          <w:color w:val="3F3F3F"/>
        </w:rPr>
        <w:t>12</w:t>
      </w:r>
      <w:r>
        <w:rPr>
          <w:color w:val="3F3F3F"/>
        </w:rPr>
        <w:t>月</w:t>
      </w:r>
      <w:r>
        <w:rPr>
          <w:rFonts w:ascii="Arial" w:eastAsia="Arial"/>
          <w:color w:val="3F3F3F"/>
        </w:rPr>
        <w:t>31</w:t>
      </w:r>
      <w:r>
        <w:rPr>
          <w:color w:val="3F3F3F"/>
        </w:rPr>
        <w:t>日，中国公募基金的份额为</w:t>
      </w:r>
      <w:r>
        <w:rPr>
          <w:rFonts w:ascii="Arial" w:eastAsia="Arial"/>
          <w:color w:val="3F3F3F"/>
        </w:rPr>
        <w:t>42011.9</w:t>
      </w:r>
      <w:r>
        <w:rPr>
          <w:color w:val="3F3F3F"/>
        </w:rPr>
        <w:t>亿份同比增长</w:t>
      </w:r>
      <w:r>
        <w:rPr>
          <w:rFonts w:ascii="Arial" w:eastAsia="Arial"/>
          <w:color w:val="3F3F3F"/>
        </w:rPr>
        <w:t>34.7%</w:t>
      </w:r>
      <w:r>
        <w:rPr>
          <w:color w:val="3F3F3F"/>
        </w:rPr>
        <w:t>。公募基金净值为</w:t>
      </w:r>
      <w:r>
        <w:rPr>
          <w:rFonts w:ascii="Arial" w:eastAsia="Arial"/>
          <w:color w:val="3F3F3F"/>
        </w:rPr>
        <w:t>45353.6</w:t>
      </w:r>
      <w:r>
        <w:rPr>
          <w:color w:val="3F3F3F"/>
        </w:rPr>
        <w:t>亿元，同比增长</w:t>
      </w:r>
    </w:p>
    <w:p>
      <w:pPr>
        <w:pStyle w:val="ListParagraph"/>
        <w:numPr>
          <w:ilvl w:val="1"/>
          <w:numId w:val="1"/>
        </w:numPr>
        <w:tabs>
          <w:tab w:val="left" w:pos="639"/>
        </w:tabs>
        <w:spacing w:before="0" w:after="0" w:line="288" w:lineRule="exact"/>
        <w:ind w:left="638" w:right="0" w:hanging="468"/>
        <w:jc w:val="left"/>
        <w:rPr>
          <w:sz w:val="24"/>
        </w:rPr>
      </w:pPr>
      <w:r>
        <w:rPr>
          <w:rFonts w:ascii="Arial" w:eastAsia="Arial"/>
          <w:color w:val="3F3F3F"/>
          <w:sz w:val="24"/>
        </w:rPr>
        <w:t>%</w:t>
      </w:r>
      <w:r>
        <w:rPr>
          <w:color w:val="3F3F3F"/>
          <w:sz w:val="24"/>
        </w:rPr>
        <w:t>。</w:t>
      </w:r>
    </w:p>
    <w:p>
      <w:pPr>
        <w:pStyle w:val="BodyText"/>
        <w:spacing w:before="33" w:line="156" w:lineRule="auto"/>
        <w:ind w:left="171" w:right="774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502919</wp:posOffset>
            </wp:positionH>
            <wp:positionV relativeFrom="paragraph">
              <wp:posOffset>189796</wp:posOffset>
            </wp:positionV>
            <wp:extent cx="8092440" cy="4251960"/>
            <wp:effectExtent l="0" t="0" r="0" b="0"/>
            <wp:wrapNone/>
            <wp:docPr id="1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2440" cy="4251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3F3F"/>
        </w:rPr>
        <w:t>艾瑞分析认为，基金份额净值双升的主要原因是，第一，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年末股市利好，股票型基金份额大幅度增加。第二，宝宝类货币基金的用户认可度高，用户基础广，份额也出现大幅上升。</w:t>
      </w:r>
    </w:p>
    <w:p>
      <w:pPr>
        <w:spacing w:after="0" w:line="156" w:lineRule="auto"/>
        <w:sectPr>
          <w:headerReference w:type="default" r:id="rId26"/>
          <w:footerReference w:type="default" r:id="rId27"/>
          <w:pgSz w:w="14400" w:h="10800" w:orient="landscape"/>
          <w:pgMar w:top="1300" w:right="0" w:bottom="300" w:left="680" w:header="470" w:footer="106"/>
          <w:pgNumType w:start="6"/>
          <w:cols w:space="708"/>
        </w:sectPr>
      </w:pPr>
    </w:p>
    <w:p>
      <w:pPr>
        <w:pStyle w:val="Heading2"/>
      </w:pPr>
      <w:r>
        <w:rPr>
          <w:color w:val="B1D134"/>
        </w:rPr>
        <w:t>基金产业链参与方数量</w:t>
      </w:r>
    </w:p>
    <w:p>
      <w:pPr>
        <w:pStyle w:val="BodyText"/>
        <w:spacing w:before="107" w:line="156" w:lineRule="auto"/>
        <w:ind w:left="171" w:right="800"/>
        <w:jc w:val="both"/>
      </w:pPr>
      <w:r>
        <w:rPr>
          <w:color w:val="3F3F3F"/>
        </w:rPr>
        <w:t>随着互联网金融的崛起，加速了产业链上各参与方的洗牌。就互联网基金行业而言，机构数量的变化速度超过了以往的水平。第一，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年有</w:t>
      </w:r>
      <w:r>
        <w:rPr>
          <w:rFonts w:ascii="Arial" w:eastAsia="Arial"/>
          <w:color w:val="3F3F3F"/>
        </w:rPr>
        <w:t>6</w:t>
      </w:r>
      <w:r>
        <w:rPr>
          <w:color w:val="3F3F3F"/>
        </w:rPr>
        <w:t>家新基金公司成立，其中券商系基金公司破题，同时</w:t>
      </w:r>
      <w:r>
        <w:rPr>
          <w:rFonts w:ascii="Arial" w:eastAsia="Arial"/>
          <w:color w:val="3F3F3F"/>
        </w:rPr>
        <w:t>PE</w:t>
      </w:r>
      <w:r>
        <w:rPr>
          <w:color w:val="3F3F3F"/>
        </w:rPr>
        <w:t>机构也开始布局公募基金。第二，竞争最为激烈的是基金销售机构。互联网企业的接入增加了销售渠道，刺激了传统基金公司布局互联网渠道，这也是销售渠道的增加。最为直观的是</w:t>
      </w:r>
      <w:r>
        <w:rPr>
          <w:rFonts w:ascii="Arial" w:eastAsia="Arial"/>
          <w:color w:val="3F3F3F"/>
        </w:rPr>
        <w:t>26</w:t>
      </w:r>
      <w:r>
        <w:rPr>
          <w:color w:val="3F3F3F"/>
        </w:rPr>
        <w:t>家基金销售机构的成立。保险和期货开始加入基金销售的大军。第三，新基金法允许非银行金融机构开展基金托管业务，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年共</w:t>
      </w:r>
      <w:r>
        <w:rPr>
          <w:rFonts w:ascii="Arial" w:eastAsia="Arial"/>
          <w:color w:val="3F3F3F"/>
        </w:rPr>
        <w:t>12</w:t>
      </w:r>
      <w:r>
        <w:rPr>
          <w:color w:val="3F3F3F"/>
        </w:rPr>
        <w:t>家机构获得托管业务资格。第四，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年共有</w:t>
      </w:r>
      <w:r>
        <w:rPr>
          <w:rFonts w:ascii="Arial" w:eastAsia="Arial"/>
          <w:color w:val="3F3F3F"/>
        </w:rPr>
        <w:t>14</w:t>
      </w:r>
      <w:r>
        <w:rPr>
          <w:color w:val="3F3F3F"/>
        </w:rPr>
        <w:t>家第三方支付机构获准为公募基金销售公司提供支付结算服务。第五，同时还有金融搜索、门户网站、金融超市等间接的参与到基金的推广和销售渠道中。</w:t>
      </w:r>
    </w:p>
    <w:p>
      <w:pPr>
        <w:pStyle w:val="BodyText"/>
        <w:spacing w:before="17" w:after="1"/>
        <w:rPr>
          <w:sz w:val="14"/>
        </w:rPr>
      </w:pPr>
    </w:p>
    <w:tbl>
      <w:tblPr>
        <w:tblStyle w:val="TableNormal0"/>
        <w:tblW w:w="0" w:type="auto"/>
        <w:jc w:val="left"/>
        <w:tblInd w:w="15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1"/>
        <w:gridCol w:w="3150"/>
        <w:gridCol w:w="2267"/>
        <w:gridCol w:w="2394"/>
      </w:tblGrid>
      <w:tr>
        <w:tblPrEx>
          <w:tblW w:w="0" w:type="auto"/>
          <w:jc w:val="left"/>
          <w:tblInd w:w="1579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10092" w:type="dxa"/>
            <w:gridSpan w:val="4"/>
            <w:tcBorders>
              <w:bottom w:val="single" w:sz="24" w:space="0" w:color="FFFFFF"/>
            </w:tcBorders>
          </w:tcPr>
          <w:p>
            <w:pPr>
              <w:pStyle w:val="TableParagraph"/>
              <w:spacing w:before="0" w:line="422" w:lineRule="exact"/>
              <w:ind w:left="2928" w:right="2910"/>
              <w:rPr>
                <w:b/>
                <w:sz w:val="24"/>
              </w:rPr>
            </w:pPr>
            <w:r>
              <w:rPr>
                <w:b/>
                <w:color w:val="3F3F3F"/>
                <w:sz w:val="24"/>
              </w:rPr>
              <w:t>2014年中国基金产业链参与方机构数量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4"/>
          <w:jc w:val="left"/>
        </w:trPr>
        <w:tc>
          <w:tcPr>
            <w:tcW w:w="2281" w:type="dxa"/>
            <w:tcBorders>
              <w:top w:val="single" w:sz="24" w:space="0" w:color="FFFFFF"/>
            </w:tcBorders>
            <w:shd w:val="clear" w:color="auto" w:fill="B1D134"/>
          </w:tcPr>
          <w:p>
            <w:pPr>
              <w:pStyle w:val="TableParagraph"/>
              <w:spacing w:before="164"/>
              <w:ind w:left="218" w:right="20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机构类别</w:t>
            </w:r>
          </w:p>
        </w:tc>
        <w:tc>
          <w:tcPr>
            <w:tcW w:w="3150" w:type="dxa"/>
            <w:tcBorders>
              <w:top w:val="single" w:sz="24" w:space="0" w:color="FFFFFF"/>
            </w:tcBorders>
            <w:shd w:val="clear" w:color="auto" w:fill="B1D134"/>
          </w:tcPr>
          <w:p>
            <w:pPr>
              <w:pStyle w:val="TableParagraph"/>
              <w:spacing w:before="164"/>
              <w:ind w:left="1053" w:right="103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数量（家）</w:t>
            </w:r>
          </w:p>
        </w:tc>
        <w:tc>
          <w:tcPr>
            <w:tcW w:w="2267" w:type="dxa"/>
            <w:tcBorders>
              <w:top w:val="single" w:sz="24" w:space="0" w:color="FFFFFF"/>
            </w:tcBorders>
            <w:shd w:val="clear" w:color="auto" w:fill="B1D134"/>
          </w:tcPr>
          <w:p>
            <w:pPr>
              <w:pStyle w:val="TableParagraph"/>
              <w:spacing w:before="164"/>
              <w:ind w:left="211" w:right="19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机构类别</w:t>
            </w:r>
          </w:p>
        </w:tc>
        <w:tc>
          <w:tcPr>
            <w:tcW w:w="2394" w:type="dxa"/>
            <w:tcBorders>
              <w:top w:val="single" w:sz="24" w:space="0" w:color="FFFFFF"/>
            </w:tcBorders>
            <w:shd w:val="clear" w:color="auto" w:fill="B1D134"/>
          </w:tcPr>
          <w:p>
            <w:pPr>
              <w:pStyle w:val="TableParagraph"/>
              <w:spacing w:before="164"/>
              <w:ind w:left="675" w:right="65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数量（家）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2281" w:type="dxa"/>
          </w:tcPr>
          <w:p>
            <w:pPr>
              <w:pStyle w:val="TableParagraph"/>
              <w:ind w:left="218" w:right="202"/>
              <w:rPr>
                <w:sz w:val="20"/>
              </w:rPr>
            </w:pPr>
            <w:r>
              <w:rPr>
                <w:color w:val="3F3F3F"/>
                <w:sz w:val="20"/>
              </w:rPr>
              <w:t>全国新商业银行</w:t>
            </w:r>
          </w:p>
        </w:tc>
        <w:tc>
          <w:tcPr>
            <w:tcW w:w="3150" w:type="dxa"/>
          </w:tcPr>
          <w:p>
            <w:pPr>
              <w:pStyle w:val="TableParagraph"/>
              <w:ind w:left="1053" w:right="1036"/>
              <w:rPr>
                <w:sz w:val="20"/>
              </w:rPr>
            </w:pPr>
            <w:r>
              <w:rPr>
                <w:color w:val="3F3F3F"/>
                <w:sz w:val="20"/>
              </w:rPr>
              <w:t>18</w:t>
            </w:r>
          </w:p>
        </w:tc>
        <w:tc>
          <w:tcPr>
            <w:tcW w:w="2267" w:type="dxa"/>
          </w:tcPr>
          <w:p>
            <w:pPr>
              <w:pStyle w:val="TableParagraph"/>
              <w:ind w:left="211" w:right="195"/>
              <w:rPr>
                <w:sz w:val="20"/>
              </w:rPr>
            </w:pPr>
            <w:r>
              <w:rPr>
                <w:color w:val="3F3F3F"/>
                <w:sz w:val="20"/>
              </w:rPr>
              <w:t>城市商业银行</w:t>
            </w:r>
          </w:p>
        </w:tc>
        <w:tc>
          <w:tcPr>
            <w:tcW w:w="2394" w:type="dxa"/>
          </w:tcPr>
          <w:p>
            <w:pPr>
              <w:pStyle w:val="TableParagraph"/>
              <w:ind w:left="675" w:right="658"/>
              <w:rPr>
                <w:sz w:val="20"/>
              </w:rPr>
            </w:pPr>
            <w:r>
              <w:rPr>
                <w:color w:val="3F3F3F"/>
                <w:sz w:val="20"/>
              </w:rPr>
              <w:t>52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2281" w:type="dxa"/>
            <w:shd w:val="clear" w:color="auto" w:fill="F2F2F2"/>
          </w:tcPr>
          <w:p>
            <w:pPr>
              <w:pStyle w:val="TableParagraph"/>
              <w:ind w:left="218" w:right="202"/>
              <w:rPr>
                <w:sz w:val="20"/>
              </w:rPr>
            </w:pPr>
            <w:r>
              <w:rPr>
                <w:color w:val="3F3F3F"/>
                <w:sz w:val="20"/>
              </w:rPr>
              <w:t>农村商业银行</w:t>
            </w:r>
          </w:p>
        </w:tc>
        <w:tc>
          <w:tcPr>
            <w:tcW w:w="3150" w:type="dxa"/>
            <w:shd w:val="clear" w:color="auto" w:fill="F2F2F2"/>
          </w:tcPr>
          <w:p>
            <w:pPr>
              <w:pStyle w:val="TableParagraph"/>
              <w:ind w:left="1053" w:right="1036"/>
              <w:rPr>
                <w:sz w:val="20"/>
              </w:rPr>
            </w:pPr>
            <w:r>
              <w:rPr>
                <w:color w:val="3F3F3F"/>
                <w:sz w:val="20"/>
              </w:rPr>
              <w:t>21</w:t>
            </w:r>
          </w:p>
        </w:tc>
        <w:tc>
          <w:tcPr>
            <w:tcW w:w="2267" w:type="dxa"/>
            <w:shd w:val="clear" w:color="auto" w:fill="F2F2F2"/>
          </w:tcPr>
          <w:p>
            <w:pPr>
              <w:pStyle w:val="TableParagraph"/>
              <w:ind w:left="211" w:right="195"/>
              <w:rPr>
                <w:sz w:val="20"/>
              </w:rPr>
            </w:pPr>
            <w:r>
              <w:rPr>
                <w:color w:val="3F3F3F"/>
                <w:sz w:val="20"/>
              </w:rPr>
              <w:t>在华外资法人银行</w:t>
            </w:r>
          </w:p>
        </w:tc>
        <w:tc>
          <w:tcPr>
            <w:tcW w:w="2394" w:type="dxa"/>
            <w:shd w:val="clear" w:color="auto" w:fill="F2F2F2"/>
          </w:tcPr>
          <w:p>
            <w:pPr>
              <w:pStyle w:val="TableParagraph"/>
              <w:ind w:left="675" w:right="658"/>
              <w:rPr>
                <w:sz w:val="20"/>
              </w:rPr>
            </w:pPr>
            <w:r>
              <w:rPr>
                <w:color w:val="3F3F3F"/>
                <w:sz w:val="20"/>
              </w:rPr>
              <w:t>10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2281" w:type="dxa"/>
          </w:tcPr>
          <w:p>
            <w:pPr>
              <w:pStyle w:val="TableParagraph"/>
              <w:ind w:left="218" w:right="202"/>
              <w:rPr>
                <w:sz w:val="20"/>
              </w:rPr>
            </w:pPr>
            <w:r>
              <w:rPr>
                <w:color w:val="3F3F3F"/>
                <w:sz w:val="20"/>
              </w:rPr>
              <w:t>证券公司</w:t>
            </w:r>
          </w:p>
        </w:tc>
        <w:tc>
          <w:tcPr>
            <w:tcW w:w="3150" w:type="dxa"/>
          </w:tcPr>
          <w:p>
            <w:pPr>
              <w:pStyle w:val="TableParagraph"/>
              <w:ind w:left="1053" w:right="1036"/>
              <w:rPr>
                <w:sz w:val="20"/>
              </w:rPr>
            </w:pPr>
            <w:r>
              <w:rPr>
                <w:color w:val="3F3F3F"/>
                <w:sz w:val="20"/>
              </w:rPr>
              <w:t>98</w:t>
            </w:r>
          </w:p>
        </w:tc>
        <w:tc>
          <w:tcPr>
            <w:tcW w:w="2267" w:type="dxa"/>
          </w:tcPr>
          <w:p>
            <w:pPr>
              <w:pStyle w:val="TableParagraph"/>
              <w:ind w:left="211" w:right="195"/>
              <w:rPr>
                <w:sz w:val="20"/>
              </w:rPr>
            </w:pPr>
            <w:r>
              <w:rPr>
                <w:color w:val="3F3F3F"/>
                <w:sz w:val="20"/>
              </w:rPr>
              <w:t>期货公司</w:t>
            </w:r>
          </w:p>
        </w:tc>
        <w:tc>
          <w:tcPr>
            <w:tcW w:w="2394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color w:val="3F3F3F"/>
                <w:w w:val="99"/>
                <w:sz w:val="20"/>
              </w:rPr>
              <w:t>6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2281" w:type="dxa"/>
            <w:shd w:val="clear" w:color="auto" w:fill="F2F2F2"/>
          </w:tcPr>
          <w:p>
            <w:pPr>
              <w:pStyle w:val="TableParagraph"/>
              <w:spacing w:before="101" w:line="156" w:lineRule="auto"/>
              <w:ind w:left="939" w:right="220" w:hanging="700"/>
              <w:jc w:val="left"/>
              <w:rPr>
                <w:sz w:val="20"/>
              </w:rPr>
            </w:pPr>
            <w:r>
              <w:rPr>
                <w:color w:val="3F3F3F"/>
                <w:sz w:val="20"/>
              </w:rPr>
              <w:t>保险代理和保险经纪公司</w:t>
            </w:r>
          </w:p>
        </w:tc>
        <w:tc>
          <w:tcPr>
            <w:tcW w:w="3150" w:type="dxa"/>
            <w:shd w:val="clear" w:color="auto" w:fill="F2F2F2"/>
          </w:tcPr>
          <w:p>
            <w:pPr>
              <w:pStyle w:val="TableParagraph"/>
              <w:spacing w:before="129"/>
              <w:ind w:left="16"/>
              <w:rPr>
                <w:sz w:val="20"/>
              </w:rPr>
            </w:pPr>
            <w:r>
              <w:rPr>
                <w:color w:val="3F3F3F"/>
                <w:w w:val="99"/>
                <w:sz w:val="20"/>
              </w:rPr>
              <w:t>2</w:t>
            </w:r>
          </w:p>
        </w:tc>
        <w:tc>
          <w:tcPr>
            <w:tcW w:w="2267" w:type="dxa"/>
            <w:shd w:val="clear" w:color="auto" w:fill="F2F2F2"/>
          </w:tcPr>
          <w:p>
            <w:pPr>
              <w:pStyle w:val="TableParagraph"/>
              <w:spacing w:before="129"/>
              <w:ind w:left="211" w:right="195"/>
              <w:rPr>
                <w:sz w:val="20"/>
              </w:rPr>
            </w:pPr>
            <w:r>
              <w:rPr>
                <w:color w:val="3F3F3F"/>
                <w:sz w:val="20"/>
              </w:rPr>
              <w:t>保险公司</w:t>
            </w:r>
          </w:p>
        </w:tc>
        <w:tc>
          <w:tcPr>
            <w:tcW w:w="2394" w:type="dxa"/>
            <w:shd w:val="clear" w:color="auto" w:fill="F2F2F2"/>
          </w:tcPr>
          <w:p>
            <w:pPr>
              <w:pStyle w:val="TableParagraph"/>
              <w:spacing w:before="129"/>
              <w:ind w:left="16"/>
              <w:rPr>
                <w:sz w:val="20"/>
              </w:rPr>
            </w:pPr>
            <w:r>
              <w:rPr>
                <w:color w:val="3F3F3F"/>
                <w:w w:val="99"/>
                <w:sz w:val="20"/>
              </w:rPr>
              <w:t>4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281" w:type="dxa"/>
          </w:tcPr>
          <w:p>
            <w:pPr>
              <w:pStyle w:val="TableParagraph"/>
              <w:ind w:left="218" w:right="202"/>
              <w:rPr>
                <w:sz w:val="20"/>
              </w:rPr>
            </w:pPr>
            <w:r>
              <w:rPr>
                <w:color w:val="3F3F3F"/>
                <w:sz w:val="20"/>
              </w:rPr>
              <w:t>证券投资咨询公司</w:t>
            </w:r>
          </w:p>
        </w:tc>
        <w:tc>
          <w:tcPr>
            <w:tcW w:w="3150" w:type="dxa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color w:val="3F3F3F"/>
                <w:w w:val="99"/>
                <w:sz w:val="20"/>
              </w:rPr>
              <w:t>6</w:t>
            </w:r>
          </w:p>
        </w:tc>
        <w:tc>
          <w:tcPr>
            <w:tcW w:w="2267" w:type="dxa"/>
          </w:tcPr>
          <w:p>
            <w:pPr>
              <w:pStyle w:val="TableParagraph"/>
              <w:ind w:left="211" w:right="195"/>
              <w:rPr>
                <w:sz w:val="20"/>
              </w:rPr>
            </w:pPr>
            <w:r>
              <w:rPr>
                <w:color w:val="3F3F3F"/>
                <w:sz w:val="20"/>
              </w:rPr>
              <w:t>独立基金销售公司</w:t>
            </w:r>
          </w:p>
        </w:tc>
        <w:tc>
          <w:tcPr>
            <w:tcW w:w="2394" w:type="dxa"/>
          </w:tcPr>
          <w:p>
            <w:pPr>
              <w:pStyle w:val="TableParagraph"/>
              <w:ind w:left="675" w:right="658"/>
              <w:rPr>
                <w:sz w:val="20"/>
              </w:rPr>
            </w:pPr>
            <w:r>
              <w:rPr>
                <w:color w:val="3F3F3F"/>
                <w:sz w:val="20"/>
              </w:rPr>
              <w:t>49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2281" w:type="dxa"/>
            <w:shd w:val="clear" w:color="auto" w:fill="F2F2F2"/>
          </w:tcPr>
          <w:p>
            <w:pPr>
              <w:pStyle w:val="TableParagraph"/>
              <w:ind w:left="218" w:right="202"/>
              <w:rPr>
                <w:sz w:val="20"/>
              </w:rPr>
            </w:pPr>
            <w:r>
              <w:rPr>
                <w:color w:val="3F3F3F"/>
                <w:sz w:val="20"/>
              </w:rPr>
              <w:t>第三方电子商务平台</w:t>
            </w:r>
          </w:p>
        </w:tc>
        <w:tc>
          <w:tcPr>
            <w:tcW w:w="3150" w:type="dxa"/>
            <w:shd w:val="clear" w:color="auto" w:fill="F2F2F2"/>
          </w:tcPr>
          <w:p>
            <w:pPr>
              <w:pStyle w:val="TableParagraph"/>
              <w:ind w:left="16"/>
              <w:rPr>
                <w:sz w:val="20"/>
              </w:rPr>
            </w:pPr>
            <w:r>
              <w:rPr>
                <w:color w:val="3F3F3F"/>
                <w:w w:val="99"/>
                <w:sz w:val="20"/>
              </w:rPr>
              <w:t>3</w:t>
            </w:r>
          </w:p>
        </w:tc>
        <w:tc>
          <w:tcPr>
            <w:tcW w:w="2267" w:type="dxa"/>
            <w:shd w:val="clear" w:color="auto" w:fill="F2F2F2"/>
          </w:tcPr>
          <w:p>
            <w:pPr>
              <w:pStyle w:val="TableParagraph"/>
              <w:ind w:left="211" w:right="195"/>
              <w:rPr>
                <w:sz w:val="20"/>
              </w:rPr>
            </w:pPr>
            <w:r>
              <w:rPr>
                <w:color w:val="3F3F3F"/>
                <w:sz w:val="20"/>
              </w:rPr>
              <w:t>第三方支付结算公司</w:t>
            </w:r>
          </w:p>
        </w:tc>
        <w:tc>
          <w:tcPr>
            <w:tcW w:w="2394" w:type="dxa"/>
            <w:shd w:val="clear" w:color="auto" w:fill="F2F2F2"/>
          </w:tcPr>
          <w:p>
            <w:pPr>
              <w:pStyle w:val="TableParagraph"/>
              <w:ind w:left="675" w:right="658"/>
              <w:rPr>
                <w:sz w:val="20"/>
              </w:rPr>
            </w:pPr>
            <w:r>
              <w:rPr>
                <w:color w:val="3F3F3F"/>
                <w:sz w:val="20"/>
              </w:rPr>
              <w:t>28</w:t>
            </w:r>
          </w:p>
        </w:tc>
      </w:tr>
      <w:tr>
        <w:tblPrEx>
          <w:tblW w:w="0" w:type="auto"/>
          <w:jc w:val="left"/>
          <w:tblInd w:w="15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2281" w:type="dxa"/>
          </w:tcPr>
          <w:p>
            <w:pPr>
              <w:pStyle w:val="TableParagraph"/>
              <w:ind w:left="218" w:right="202"/>
              <w:rPr>
                <w:sz w:val="20"/>
              </w:rPr>
            </w:pPr>
            <w:r>
              <w:rPr>
                <w:color w:val="3F3F3F"/>
                <w:sz w:val="20"/>
              </w:rPr>
              <w:t>基金公司</w:t>
            </w:r>
          </w:p>
        </w:tc>
        <w:tc>
          <w:tcPr>
            <w:tcW w:w="3150" w:type="dxa"/>
          </w:tcPr>
          <w:p>
            <w:pPr>
              <w:pStyle w:val="TableParagraph"/>
              <w:ind w:left="1053" w:right="1036"/>
              <w:rPr>
                <w:sz w:val="20"/>
              </w:rPr>
            </w:pPr>
            <w:r>
              <w:rPr>
                <w:color w:val="3F3F3F"/>
                <w:sz w:val="20"/>
              </w:rPr>
              <w:t>94</w:t>
            </w:r>
          </w:p>
        </w:tc>
        <w:tc>
          <w:tcPr>
            <w:tcW w:w="2267" w:type="dxa"/>
          </w:tcPr>
          <w:p>
            <w:pPr>
              <w:pStyle w:val="TableParagraph"/>
              <w:ind w:left="211" w:right="195"/>
              <w:rPr>
                <w:sz w:val="20"/>
              </w:rPr>
            </w:pPr>
            <w:r>
              <w:rPr>
                <w:color w:val="3F3F3F"/>
                <w:sz w:val="20"/>
              </w:rPr>
              <w:t>公募金托管机构</w:t>
            </w:r>
          </w:p>
        </w:tc>
        <w:tc>
          <w:tcPr>
            <w:tcW w:w="2394" w:type="dxa"/>
          </w:tcPr>
          <w:p>
            <w:pPr>
              <w:pStyle w:val="TableParagraph"/>
              <w:ind w:left="675" w:right="658"/>
              <w:rPr>
                <w:sz w:val="20"/>
              </w:rPr>
            </w:pPr>
            <w:r>
              <w:rPr>
                <w:color w:val="3F3F3F"/>
                <w:sz w:val="20"/>
              </w:rPr>
              <w:t>12</w:t>
            </w:r>
          </w:p>
        </w:tc>
      </w:tr>
    </w:tbl>
    <w:p>
      <w:pPr>
        <w:pStyle w:val="BodyText"/>
        <w:spacing w:before="11"/>
        <w:rPr>
          <w:sz w:val="26"/>
        </w:rPr>
      </w:pPr>
    </w:p>
    <w:p>
      <w:pPr>
        <w:spacing w:before="1"/>
        <w:ind w:left="313" w:right="0" w:firstLine="0"/>
        <w:jc w:val="left"/>
        <w:rPr>
          <w:sz w:val="16"/>
        </w:rPr>
      </w:pPr>
      <w:r>
        <w:rPr>
          <w:color w:val="808080"/>
          <w:sz w:val="16"/>
        </w:rPr>
        <w:t>来源：企业访谈、公开数据结合艾瑞数据模型核算。</w:t>
      </w:r>
    </w:p>
    <w:p>
      <w:pPr>
        <w:spacing w:after="0"/>
        <w:jc w:val="left"/>
        <w:rPr>
          <w:sz w:val="16"/>
        </w:rPr>
        <w:sectPr>
          <w:headerReference w:type="default" r:id="rId28"/>
          <w:footerReference w:type="default" r:id="rId29"/>
          <w:pgSz w:w="14400" w:h="10800" w:orient="landscape"/>
          <w:pgMar w:top="1300" w:right="0" w:bottom="300" w:left="680" w:header="470" w:footer="106"/>
          <w:pgNumType w:start="7"/>
          <w:cols w:space="708"/>
        </w:sectPr>
      </w:pPr>
    </w:p>
    <w:p>
      <w:pPr>
        <w:pStyle w:val="BodyText"/>
        <w:ind w:left="11456"/>
        <w:rPr>
          <w:sz w:val="20"/>
        </w:rPr>
      </w:pPr>
      <w:r>
        <w:rPr>
          <w:sz w:val="20"/>
        </w:rPr>
        <w:drawing>
          <wp:inline distT="0" distB="0" distL="0" distR="0">
            <wp:extent cx="914700" cy="435863"/>
            <wp:effectExtent l="0" t="0" r="0" b="0"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700" cy="43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tabs>
          <w:tab w:val="left" w:pos="11060"/>
        </w:tabs>
        <w:spacing w:before="6"/>
        <w:ind w:left="3689" w:right="0" w:firstLine="0"/>
        <w:jc w:val="left"/>
        <w:rPr>
          <w:sz w:val="36"/>
        </w:rPr>
      </w:pPr>
      <w:r>
        <w:pict>
          <v:group id="_x0000_s1054" style="width:56.2pt;height:34pt;margin-top:1.1pt;margin-left:133.2pt;mso-position-horizontal-relative:page;position:absolute;z-index:251668480" coordorigin="2664,22" coordsize="1124,680">
            <v:shape id="_x0000_s1055" type="#_x0000_t75" style="width:1124;height:680;left:2664;position:absolute;top:21" stroked="f">
              <v:imagedata r:id="rId9" o:title=""/>
            </v:shape>
            <v:shape id="_x0000_s1056" type="#_x0000_t202" style="width:1124;height:680;left:2664;position:absolute;top:21" filled="f" stroked="f">
              <v:textbox inset="0,0,0,0">
                <w:txbxContent>
                  <w:p>
                    <w:pPr>
                      <w:spacing w:before="119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color w:val="595959"/>
          <w:sz w:val="36"/>
          <w:shd w:val="clear" w:color="auto" w:fill="F2F2F2"/>
        </w:rPr>
        <w:t>中国基金行业发展现状</w:t>
        <w:tab/>
      </w:r>
    </w:p>
    <w:p>
      <w:pPr>
        <w:pStyle w:val="BodyText"/>
        <w:spacing w:before="9"/>
        <w:rPr>
          <w:sz w:val="25"/>
        </w:rPr>
      </w:pPr>
    </w:p>
    <w:p>
      <w:pPr>
        <w:tabs>
          <w:tab w:val="left" w:pos="11060"/>
        </w:tabs>
        <w:spacing w:before="6"/>
        <w:ind w:left="3709" w:right="0" w:firstLine="0"/>
        <w:jc w:val="left"/>
        <w:rPr>
          <w:sz w:val="36"/>
        </w:rPr>
      </w:pPr>
      <w:r>
        <w:pict>
          <v:group id="_x0000_s1057" style="width:56.2pt;height:34pt;margin-top:0.79pt;margin-left:133.2pt;mso-position-horizontal-relative:page;position:absolute;z-index:251669504" coordorigin="2664,16" coordsize="1124,680">
            <v:shape id="_x0000_s1058" type="#_x0000_t75" style="width:1124;height:680;left:2664;position:absolute;top:15" stroked="f">
              <v:imagedata r:id="rId9" o:title=""/>
            </v:shape>
            <v:shape id="_x0000_s1059" type="#_x0000_t202" style="width:1124;height:680;left:2664;position:absolute;top:15" filled="f" stroked="f">
              <v:textbox inset="0,0,0,0">
                <w:txbxContent>
                  <w:p>
                    <w:pPr>
                      <w:spacing w:before="118"/>
                      <w:ind w:left="0" w:right="133" w:firstLine="0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color w:val="FFFFFF"/>
          <w:sz w:val="36"/>
          <w:shd w:val="clear" w:color="auto" w:fill="B1D134"/>
        </w:rPr>
        <w:t>中国互联网基金行业发展环境</w:t>
        <w:tab/>
      </w:r>
    </w:p>
    <w:p>
      <w:pPr>
        <w:pStyle w:val="BodyText"/>
        <w:rPr>
          <w:sz w:val="25"/>
        </w:rPr>
      </w:pPr>
    </w:p>
    <w:p>
      <w:pPr>
        <w:tabs>
          <w:tab w:val="left" w:pos="11055"/>
        </w:tabs>
        <w:spacing w:before="6"/>
        <w:ind w:left="3704" w:right="0" w:firstLine="0"/>
        <w:jc w:val="left"/>
        <w:rPr>
          <w:sz w:val="36"/>
        </w:rPr>
      </w:pPr>
      <w:r>
        <w:pict>
          <v:group id="_x0000_s1060" style="width:56.3pt;height:34pt;margin-top:1.05pt;margin-left:133.32pt;mso-position-horizontal-relative:page;position:absolute;z-index:251670528" coordorigin="2666,21" coordsize="1126,680">
            <v:shape id="_x0000_s1061" type="#_x0000_t75" style="width:1126;height:680;left:2666;position:absolute;top:20" stroked="f">
              <v:imagedata r:id="rId9" o:title=""/>
            </v:shape>
            <v:shape id="_x0000_s1062" type="#_x0000_t202" style="width:1126;height:680;left:2666;position:absolute;top:20" filled="f" stroked="f">
              <v:textbox inset="0,0,0,0">
                <w:txbxContent>
                  <w:p>
                    <w:pPr>
                      <w:spacing w:before="118"/>
                      <w:ind w:left="367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color w:val="595959"/>
          <w:sz w:val="36"/>
          <w:shd w:val="clear" w:color="auto" w:fill="F2F2F2"/>
        </w:rPr>
        <w:t>中国互联网基金行业发展现状</w:t>
        <w:tab/>
      </w:r>
    </w:p>
    <w:p>
      <w:pPr>
        <w:pStyle w:val="BodyText"/>
        <w:spacing w:before="15"/>
      </w:pPr>
    </w:p>
    <w:p>
      <w:pPr>
        <w:tabs>
          <w:tab w:val="left" w:pos="11060"/>
        </w:tabs>
        <w:spacing w:before="6"/>
        <w:ind w:left="3709" w:right="0" w:firstLine="0"/>
        <w:jc w:val="left"/>
        <w:rPr>
          <w:sz w:val="36"/>
        </w:rPr>
      </w:pPr>
      <w:r>
        <w:pict>
          <v:group id="_x0000_s1063" style="width:56.3pt;height:34pt;margin-top:1.43pt;margin-left:133.2pt;mso-position-horizontal-relative:page;position:absolute;z-index:251671552" coordorigin="2664,29" coordsize="1126,680">
            <v:shape id="_x0000_s1064" type="#_x0000_t75" style="width:1126;height:680;left:2664;position:absolute;top:28" stroked="f">
              <v:imagedata r:id="rId9" o:title=""/>
            </v:shape>
            <v:shape id="_x0000_s1065" type="#_x0000_t202" style="width:1126;height:680;left:2664;position:absolute;top:28" filled="f" stroked="f">
              <v:textbox inset="0,0,0,0">
                <w:txbxContent>
                  <w:p>
                    <w:pPr>
                      <w:spacing w:before="118"/>
                      <w:ind w:left="367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0"/>
                        <w:sz w:val="40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color w:val="595959"/>
          <w:sz w:val="36"/>
          <w:shd w:val="clear" w:color="auto" w:fill="F2F2F2"/>
        </w:rPr>
        <w:t>趋势前瞻</w:t>
        <w:tab/>
      </w:r>
    </w:p>
    <w:p>
      <w:pPr>
        <w:spacing w:after="0"/>
        <w:jc w:val="left"/>
        <w:rPr>
          <w:sz w:val="36"/>
        </w:rPr>
        <w:sectPr>
          <w:headerReference w:type="default" r:id="rId30"/>
          <w:footerReference w:type="default" r:id="rId31"/>
          <w:pgSz w:w="14400" w:h="10800" w:orient="landscape"/>
          <w:pgMar w:top="540" w:right="0" w:bottom="300" w:left="680" w:header="0" w:footer="106"/>
          <w:pgNumType w:start="8"/>
          <w:cols w:space="708"/>
        </w:sectPr>
      </w:pPr>
    </w:p>
    <w:p>
      <w:pPr>
        <w:pStyle w:val="Heading2"/>
      </w:pPr>
      <w:r>
        <w:rPr>
          <w:rFonts w:ascii="Arial" w:eastAsia="Arial"/>
          <w:color w:val="B1D134"/>
        </w:rPr>
        <w:t>PEST</w:t>
      </w:r>
      <w:r>
        <w:rPr>
          <w:color w:val="B1D134"/>
        </w:rPr>
        <w:t>政策环境：政策培养新生市场，鼓励互联网金融创新</w:t>
      </w:r>
    </w:p>
    <w:p>
      <w:pPr>
        <w:pStyle w:val="BodyText"/>
        <w:spacing w:before="107" w:line="156" w:lineRule="auto"/>
        <w:ind w:left="171" w:right="826"/>
        <w:jc w:val="both"/>
      </w:pPr>
      <w:r>
        <w:pict>
          <v:shape id="_x0000_s1066" type="#_x0000_t202" style="width:558.4pt;height:301.65pt;margin-top:89.02pt;margin-left:67pt;mso-position-horizontal-relative:page;position:absolute;z-index:25167257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00"/>
                    <w:gridCol w:w="1557"/>
                    <w:gridCol w:w="6881"/>
                  </w:tblGrid>
                  <w:tr>
                    <w:tblPrEx>
                      <w:tblW w:w="0" w:type="auto"/>
                      <w:jc w:val="left"/>
                      <w:tblInd w:w="10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  <w:insideH w:val="single" w:sz="8" w:space="0" w:color="FFFFFF"/>
                        <w:insideV w:val="single" w:sz="8" w:space="0" w:color="FFFFFF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8"/>
                      <w:jc w:val="left"/>
                    </w:trPr>
                    <w:tc>
                      <w:tcPr>
                        <w:tcW w:w="11138" w:type="dxa"/>
                        <w:gridSpan w:val="3"/>
                      </w:tcPr>
                      <w:p>
                        <w:pPr>
                          <w:pStyle w:val="TableParagraph"/>
                          <w:spacing w:before="0" w:line="339" w:lineRule="exact"/>
                          <w:ind w:left="3812" w:right="379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F3F3F"/>
                            <w:sz w:val="24"/>
                          </w:rPr>
                          <w:t>2014年中国互联网基金相关政策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2700" w:type="dxa"/>
                        <w:shd w:val="clear" w:color="auto" w:fill="9EC60F"/>
                      </w:tcPr>
                      <w:p>
                        <w:pPr>
                          <w:pStyle w:val="TableParagraph"/>
                          <w:spacing w:before="0" w:line="340" w:lineRule="exact"/>
                          <w:ind w:left="29" w:right="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F3F3F"/>
                            <w:sz w:val="20"/>
                          </w:rPr>
                          <w:t>名称</w:t>
                        </w:r>
                      </w:p>
                    </w:tc>
                    <w:tc>
                      <w:tcPr>
                        <w:tcW w:w="1557" w:type="dxa"/>
                        <w:shd w:val="clear" w:color="auto" w:fill="9EC60F"/>
                      </w:tcPr>
                      <w:p>
                        <w:pPr>
                          <w:pStyle w:val="TableParagraph"/>
                          <w:spacing w:before="0" w:line="340" w:lineRule="exact"/>
                          <w:ind w:left="357" w:right="33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F3F3F"/>
                            <w:sz w:val="20"/>
                          </w:rPr>
                          <w:t>颁布机构</w:t>
                        </w:r>
                      </w:p>
                    </w:tc>
                    <w:tc>
                      <w:tcPr>
                        <w:tcW w:w="6881" w:type="dxa"/>
                        <w:shd w:val="clear" w:color="auto" w:fill="9EC60F"/>
                      </w:tcPr>
                      <w:p>
                        <w:pPr>
                          <w:pStyle w:val="TableParagraph"/>
                          <w:spacing w:before="0" w:line="340" w:lineRule="exact"/>
                          <w:ind w:left="39" w:right="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F3F3F"/>
                            <w:sz w:val="20"/>
                          </w:rPr>
                          <w:t>目标效果及策略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0"/>
                      <w:jc w:val="left"/>
                    </w:trPr>
                    <w:tc>
                      <w:tcPr>
                        <w:tcW w:w="2700" w:type="dxa"/>
                      </w:tcPr>
                      <w:p>
                        <w:pPr>
                          <w:pStyle w:val="TableParagraph"/>
                          <w:spacing w:before="176"/>
                          <w:ind w:left="29" w:right="10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《规范互联网基金宣传意见》</w:t>
                        </w:r>
                      </w:p>
                    </w:tc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spacing w:before="175"/>
                          <w:ind w:left="357" w:right="339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证监局</w:t>
                        </w:r>
                      </w:p>
                    </w:tc>
                    <w:tc>
                      <w:tcPr>
                        <w:tcW w:w="6881" w:type="dxa"/>
                      </w:tcPr>
                      <w:p>
                        <w:pPr>
                          <w:pStyle w:val="TableParagraph"/>
                          <w:spacing w:before="148" w:line="156" w:lineRule="auto"/>
                          <w:ind w:left="1240" w:right="21" w:hanging="120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上海等多地证监局要求规范互联网基金宣传用语。要求基金销售机构更新完善有关产品宣传推介内容，避免给投资者造成误解。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2700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84"/>
                          <w:ind w:left="29" w:right="10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政府工作报告</w:t>
                        </w:r>
                      </w:p>
                    </w:tc>
                    <w:tc>
                      <w:tcPr>
                        <w:tcW w:w="1557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83"/>
                          <w:ind w:left="357" w:right="339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国务院</w:t>
                        </w:r>
                      </w:p>
                    </w:tc>
                    <w:tc>
                      <w:tcPr>
                        <w:tcW w:w="6881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84"/>
                          <w:ind w:left="39" w:right="21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引导互联网金融发展，完善金融监督。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0"/>
                      <w:jc w:val="left"/>
                    </w:trPr>
                    <w:tc>
                      <w:tcPr>
                        <w:tcW w:w="2700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56" w:lineRule="auto"/>
                          <w:ind w:left="150" w:right="15" w:hanging="10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《国务院关于进一步促进资本市场健康发展的若干意见》</w:t>
                        </w:r>
                      </w:p>
                    </w:tc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7" w:right="339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国务院</w:t>
                        </w:r>
                      </w:p>
                    </w:tc>
                    <w:tc>
                      <w:tcPr>
                        <w:tcW w:w="6881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9" w:right="21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明确提出促进互联网金融发展的意见和建议，引导互联网金融的发展。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2700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89"/>
                          <w:ind w:left="29" w:right="10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国八条</w:t>
                        </w:r>
                      </w:p>
                    </w:tc>
                    <w:tc>
                      <w:tcPr>
                        <w:tcW w:w="1557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88"/>
                          <w:ind w:left="357" w:right="339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国务院</w:t>
                        </w:r>
                      </w:p>
                    </w:tc>
                    <w:tc>
                      <w:tcPr>
                        <w:tcW w:w="6881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89"/>
                          <w:ind w:left="39" w:right="21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规范网络化金融新产品，探索基金等互联网金融产品销售的全新监管方式。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0"/>
                      <w:jc w:val="left"/>
                    </w:trPr>
                    <w:tc>
                      <w:tcPr>
                        <w:tcW w:w="2700" w:type="dxa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56" w:lineRule="auto"/>
                          <w:ind w:left="750" w:right="15" w:hanging="70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《开放式证券投资基金销售费用管理规定》</w:t>
                        </w:r>
                      </w:p>
                    </w:tc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7" w:right="339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证监会</w:t>
                        </w:r>
                      </w:p>
                    </w:tc>
                    <w:tc>
                      <w:tcPr>
                        <w:tcW w:w="6881" w:type="dxa"/>
                      </w:tcPr>
                      <w:p>
                        <w:pPr>
                          <w:pStyle w:val="TableParagraph"/>
                          <w:spacing w:before="213" w:line="156" w:lineRule="auto"/>
                          <w:ind w:left="40" w:right="21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规范基金销售过程中的认申购费，赎回费及销售服务费等费率；规范基金销售机构客户维护费的收取流程；明确基金销售机构不得采取商业贿赂、恶性压低收费水平、擅自改变收费水平，返佣、以及抽奖回扣等方式销售基金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1"/>
                      <w:jc w:val="left"/>
                    </w:trPr>
                    <w:tc>
                      <w:tcPr>
                        <w:tcW w:w="2700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56" w:lineRule="auto"/>
                          <w:ind w:left="450" w:right="15" w:hanging="40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《关于大力推进证券投资基金行业创新发展建议》</w:t>
                        </w:r>
                      </w:p>
                    </w:tc>
                    <w:tc>
                      <w:tcPr>
                        <w:tcW w:w="1557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7" w:right="339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证监会</w:t>
                        </w:r>
                      </w:p>
                    </w:tc>
                    <w:tc>
                      <w:tcPr>
                        <w:tcW w:w="6881" w:type="dxa"/>
                        <w:shd w:val="clear" w:color="auto" w:fill="F2F2F2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156" w:lineRule="auto"/>
                          <w:ind w:left="740" w:right="91" w:hanging="57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F3F3F"/>
                            <w:sz w:val="20"/>
                          </w:rPr>
                          <w:t>支持证券期货经营机构、外资银行等申请基金托管资格。推动建立场内与场外、直销与代销、网上与网下相结合的多元化基金销售渠道。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3F3F3F"/>
        </w:rPr>
        <w:t>特殊的金融发展环境造就了我国金融业的发展有其独特的节奏，随着互联网对金融资源的整合作用，加速了金融行业混业经营的进程，使中国金融行业进入了大资管时代。由于我国政府机构对金融行业一直采取分业监管的方式，所以无论是监管手段、政策发布和监管思路都略显滞后。在互联网时代，多个不同行业相互渗透交叉是常见现象，因此这就对监管提出了更加严苛的挑战。就目前现状看，政府在制定监管政策时，更多趋向于引导市场各产业链机构的发展，这样有利于新市场的培养和维护。政府开放更多的权限让各领域充分竞争。现阶段我国对网络金融监管的阶段性重点在于促进行业发展， 网络金融的法律监管主旨在于对新生市场的培育和维护。</w:t>
      </w:r>
    </w:p>
    <w:p>
      <w:pPr>
        <w:spacing w:after="0" w:line="156" w:lineRule="auto"/>
        <w:jc w:val="both"/>
        <w:sectPr>
          <w:headerReference w:type="default" r:id="rId32"/>
          <w:footerReference w:type="default" r:id="rId33"/>
          <w:pgSz w:w="14400" w:h="10800" w:orient="landscape"/>
          <w:pgMar w:top="1300" w:right="0" w:bottom="300" w:left="680" w:header="470" w:footer="106"/>
          <w:pgNumType w:start="9"/>
          <w:cols w:space="708"/>
        </w:sectPr>
      </w:pPr>
    </w:p>
    <w:p>
      <w:pPr>
        <w:pStyle w:val="Heading2"/>
      </w:pPr>
      <w:r>
        <w:rPr>
          <w:rFonts w:ascii="Arial" w:eastAsia="Arial"/>
          <w:color w:val="B1D134"/>
        </w:rPr>
        <w:t>PEST</w:t>
      </w:r>
      <w:r>
        <w:rPr>
          <w:color w:val="B1D134"/>
        </w:rPr>
        <w:t>经济环境（</w:t>
      </w:r>
      <w:r>
        <w:rPr>
          <w:rFonts w:ascii="Arial" w:eastAsia="Arial"/>
          <w:color w:val="B1D134"/>
        </w:rPr>
        <w:t>2/2)</w:t>
      </w:r>
      <w:r>
        <w:rPr>
          <w:color w:val="B1D134"/>
        </w:rPr>
        <w:t>：网民消费习惯正在改变</w:t>
      </w:r>
    </w:p>
    <w:p>
      <w:pPr>
        <w:pStyle w:val="BodyText"/>
        <w:spacing w:before="107" w:line="156" w:lineRule="auto"/>
        <w:ind w:left="171" w:right="921"/>
      </w:pPr>
      <w:r>
        <w:rPr>
          <w:color w:val="3F3F3F"/>
        </w:rPr>
        <w:t>艾瑞咨询数据显示，中国网络购物的交易规模为</w:t>
      </w:r>
      <w:r>
        <w:rPr>
          <w:rFonts w:ascii="Arial" w:eastAsia="Arial"/>
          <w:color w:val="3F3F3F"/>
        </w:rPr>
        <w:t>27889.1</w:t>
      </w:r>
      <w:r>
        <w:rPr>
          <w:color w:val="3F3F3F"/>
        </w:rPr>
        <w:t>亿元，同比增长</w:t>
      </w:r>
      <w:r>
        <w:rPr>
          <w:rFonts w:ascii="Arial" w:eastAsia="Arial"/>
          <w:color w:val="3F3F3F"/>
        </w:rPr>
        <w:t>47.4%</w:t>
      </w:r>
      <w:r>
        <w:rPr>
          <w:color w:val="3F3F3F"/>
        </w:rPr>
        <w:t>，预计，之后几年，将会保持</w:t>
      </w:r>
      <w:r>
        <w:rPr>
          <w:rFonts w:ascii="Arial" w:eastAsia="Arial"/>
          <w:color w:val="3F3F3F"/>
        </w:rPr>
        <w:t>20%</w:t>
      </w:r>
      <w:r>
        <w:rPr>
          <w:color w:val="3F3F3F"/>
        </w:rPr>
        <w:t>左右的速度增长，预计到</w:t>
      </w:r>
      <w:r>
        <w:rPr>
          <w:rFonts w:ascii="Arial" w:eastAsia="Arial"/>
          <w:color w:val="3F3F3F"/>
        </w:rPr>
        <w:t>2018</w:t>
      </w:r>
      <w:r>
        <w:rPr>
          <w:color w:val="3F3F3F"/>
        </w:rPr>
        <w:t>年，中国网络购物的规模大</w:t>
      </w:r>
      <w:r>
        <w:rPr>
          <w:rFonts w:ascii="Arial" w:eastAsia="Arial"/>
          <w:color w:val="3F3F3F"/>
        </w:rPr>
        <w:t>77850</w:t>
      </w:r>
      <w:r>
        <w:rPr>
          <w:color w:val="3F3F3F"/>
        </w:rPr>
        <w:t>亿元。</w:t>
      </w:r>
    </w:p>
    <w:p>
      <w:pPr>
        <w:pStyle w:val="BodyText"/>
        <w:spacing w:line="332" w:lineRule="exact"/>
        <w:ind w:left="171"/>
      </w:pPr>
      <w:r>
        <w:pict>
          <v:shape id="_x0000_s1067" type="#_x0000_t202" style="width:97pt;height:15.85pt;margin-top:12.04pt;margin-left:42.56pt;mso-position-horizontal-relative:page;position:absolute;z-index:-25164185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color w:val="3F3F3F"/>
                    </w:rPr>
                    <w:t>渠道和用户基础。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731519</wp:posOffset>
            </wp:positionH>
            <wp:positionV relativeFrom="paragraph">
              <wp:posOffset>215134</wp:posOffset>
            </wp:positionV>
            <wp:extent cx="7178040" cy="4206240"/>
            <wp:effectExtent l="0" t="0" r="0" b="0"/>
            <wp:wrapNone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8040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3F3F"/>
        </w:rPr>
        <w:t>艾瑞分析认为，网络经济的发展，改变和培养了网民的消费行为，尤其是网购的发展，为基金互联网化的发展提供了优质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6"/>
        </w:rPr>
      </w:pPr>
    </w:p>
    <w:p>
      <w:pPr>
        <w:spacing w:before="1"/>
        <w:ind w:left="313" w:right="0" w:firstLine="0"/>
        <w:jc w:val="left"/>
        <w:rPr>
          <w:sz w:val="16"/>
        </w:rPr>
      </w:pPr>
      <w:r>
        <w:rPr>
          <w:color w:val="808080"/>
          <w:sz w:val="16"/>
        </w:rPr>
        <w:t>来源：企业访谈、公开数据结合艾瑞数据模型核算。</w:t>
      </w:r>
    </w:p>
    <w:p>
      <w:pPr>
        <w:spacing w:after="0"/>
        <w:jc w:val="left"/>
        <w:rPr>
          <w:sz w:val="16"/>
        </w:rPr>
        <w:sectPr>
          <w:headerReference w:type="default" r:id="rId35"/>
          <w:footerReference w:type="default" r:id="rId36"/>
          <w:pgSz w:w="14400" w:h="10800" w:orient="landscape"/>
          <w:pgMar w:top="1300" w:right="0" w:bottom="300" w:left="680" w:header="470" w:footer="106"/>
          <w:pgNumType w:start="10"/>
          <w:cols w:space="708"/>
        </w:sectPr>
      </w:pPr>
    </w:p>
    <w:p>
      <w:pPr>
        <w:pStyle w:val="Heading2"/>
      </w:pPr>
      <w:r>
        <w:pict>
          <v:group id="_x0000_s1068" style="width:694.8pt;height:324pt;margin-top:180pt;margin-left:7.2pt;mso-position-horizontal-relative:page;mso-position-vertical-relative:page;position:absolute;z-index:251675648" coordorigin="144,3600" coordsize="13896,6480">
            <v:shape id="_x0000_s1069" type="#_x0000_t75" style="width:6840;height:6480;left:7200;position:absolute;top:3600" stroked="f">
              <v:imagedata r:id="rId37" o:title=""/>
            </v:shape>
            <v:shape id="_x0000_s1070" type="#_x0000_t75" style="width:7344;height:6192;left:144;position:absolute;top:3600" stroked="f">
              <v:imagedata r:id="rId38" o:title=""/>
            </v:shape>
          </v:group>
        </w:pict>
      </w:r>
      <w:r>
        <w:rPr>
          <w:rFonts w:ascii="Arial" w:eastAsia="Arial"/>
          <w:color w:val="B1D134"/>
        </w:rPr>
        <w:t>PEST</w:t>
      </w:r>
      <w:r>
        <w:rPr>
          <w:color w:val="B1D134"/>
        </w:rPr>
        <w:t>社会环境（</w:t>
      </w:r>
      <w:r>
        <w:rPr>
          <w:rFonts w:ascii="Arial" w:eastAsia="Arial"/>
          <w:color w:val="B1D134"/>
        </w:rPr>
        <w:t>2/2)</w:t>
      </w:r>
      <w:r>
        <w:rPr>
          <w:color w:val="B1D134"/>
        </w:rPr>
        <w:t>：优质投资者规模逐步扩大</w:t>
      </w:r>
    </w:p>
    <w:p>
      <w:pPr>
        <w:pStyle w:val="BodyText"/>
        <w:spacing w:before="107" w:line="156" w:lineRule="auto"/>
        <w:ind w:left="171" w:right="481"/>
      </w:pPr>
      <w:r>
        <w:rPr>
          <w:color w:val="3F3F3F"/>
        </w:rPr>
        <w:t>随着居民收入水平的提高，中国优质投资者数量正在逐步增加。</w:t>
      </w:r>
      <w:r>
        <w:rPr>
          <w:rFonts w:ascii="Arial" w:eastAsia="Arial"/>
          <w:color w:val="3F3F3F"/>
        </w:rPr>
        <w:t>2014</w:t>
      </w:r>
      <w:r>
        <w:rPr>
          <w:color w:val="3F3F3F"/>
        </w:rPr>
        <w:t>年中国优质投资者数量为</w:t>
      </w:r>
      <w:r>
        <w:rPr>
          <w:rFonts w:ascii="Arial" w:eastAsia="Arial"/>
          <w:color w:val="3F3F3F"/>
        </w:rPr>
        <w:t>1390</w:t>
      </w:r>
      <w:r>
        <w:rPr>
          <w:color w:val="3F3F3F"/>
        </w:rPr>
        <w:t>万人，同比增长</w:t>
      </w:r>
      <w:r>
        <w:rPr>
          <w:rFonts w:ascii="Arial" w:eastAsia="Arial"/>
          <w:color w:val="3F3F3F"/>
        </w:rPr>
        <w:t>15.6%</w:t>
      </w:r>
      <w:r>
        <w:rPr>
          <w:color w:val="3F3F3F"/>
        </w:rPr>
        <w:t>， 预计到</w:t>
      </w:r>
      <w:r>
        <w:rPr>
          <w:rFonts w:ascii="Arial" w:eastAsia="Arial"/>
          <w:color w:val="3F3F3F"/>
        </w:rPr>
        <w:t>2018</w:t>
      </w:r>
      <w:r>
        <w:rPr>
          <w:color w:val="3F3F3F"/>
        </w:rPr>
        <w:t>年中国优质投资者数量将达到</w:t>
      </w:r>
      <w:r>
        <w:rPr>
          <w:rFonts w:ascii="Arial" w:eastAsia="Arial"/>
          <w:color w:val="3F3F3F"/>
        </w:rPr>
        <w:t>2564</w:t>
      </w:r>
      <w:r>
        <w:rPr>
          <w:color w:val="3F3F3F"/>
        </w:rPr>
        <w:t>万人。中国私人财富中存款现金仍占有较大份额，其他金融资产在稳步小</w:t>
      </w:r>
    </w:p>
    <w:p>
      <w:pPr>
        <w:pStyle w:val="BodyText"/>
        <w:spacing w:before="1" w:line="156" w:lineRule="auto"/>
        <w:ind w:left="171" w:right="826"/>
      </w:pPr>
      <w:r>
        <w:rPr>
          <w:color w:val="3F3F3F"/>
        </w:rPr>
        <w:t>幅提升。投资者富裕程度提升，能够有更多的富余资金进行投资，虽然目前存款仍是主要的资金流向，但人们的投资意识也在不断的提升，这些条件都为基金行业的蓬勃发展提供了良好的资金基础。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7"/>
        <w:rPr>
          <w:sz w:val="22"/>
        </w:rPr>
      </w:pPr>
    </w:p>
    <w:p>
      <w:pPr>
        <w:spacing w:before="0" w:line="262" w:lineRule="exact"/>
        <w:ind w:left="313" w:right="0" w:firstLine="0"/>
        <w:jc w:val="left"/>
        <w:rPr>
          <w:sz w:val="16"/>
        </w:rPr>
      </w:pPr>
      <w:r>
        <w:rPr>
          <w:color w:val="808080"/>
          <w:sz w:val="16"/>
        </w:rPr>
        <w:t>注释：艾瑞咨询对优质投资者的定义是个人可投资资产高于130万元人民币的投资者。</w:t>
      </w:r>
    </w:p>
    <w:p>
      <w:pPr>
        <w:spacing w:before="41" w:line="156" w:lineRule="auto"/>
        <w:ind w:left="853" w:right="881" w:hanging="540"/>
        <w:jc w:val="left"/>
        <w:rPr>
          <w:sz w:val="16"/>
        </w:rPr>
      </w:pPr>
      <w:r>
        <w:rPr>
          <w:color w:val="808080"/>
          <w:sz w:val="16"/>
        </w:rPr>
        <w:t>来源：2010-2013年中国私人财富规模及优质投资者规模来源于《中国私人财富白皮书》福布斯中文版私人财富分模型。2014-2018年数据综合市场信息及专家访谈，根据艾瑞统计模型核算。</w:t>
      </w:r>
    </w:p>
    <w:p>
      <w:pPr>
        <w:spacing w:after="0" w:line="156" w:lineRule="auto"/>
        <w:jc w:val="left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https://d.book118.com/156243005122010050</w:t>
        </w:r>
      </w:hyperlink>
    </w:p>
    <w:p>
      <w:pPr>
        <w:spacing w:after="0" w:line="156" w:lineRule="auto"/>
        <w:jc w:val="left"/>
        <w:rPr>
          <w:sz w:val="16"/>
        </w:rPr>
      </w:pPr>
    </w:p>
    <w:sectPr>
      <w:headerReference w:type="default" r:id="rId40"/>
      <w:footerReference w:type="default" r:id="rId41"/>
      <w:pgSz w:w="14400" w:h="10800" w:orient="landscape"/>
      <w:pgMar w:top="1300" w:right="0" w:bottom="300" w:left="680" w:header="470" w:footer="106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85pt;height:16.6pt;margin-top:523.16pt;margin-left:677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148245538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45538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85pt;height:16.6pt;margin-top:523.16pt;margin-left:677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1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78.05pt;height:12.65pt;margin-top:487.35pt;margin-left:48.6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52" w:lineRule="exact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808080"/>
                    <w:sz w:val="16"/>
                  </w:rPr>
                  <w:t>来源：综合证监会、中国证券投资基金业协会公布数据，专家访谈，企业财报等，根据艾瑞统计模型核算。</w:t>
                </w:r>
              </w:p>
            </w:txbxContent>
          </v:textbox>
        </v:shape>
      </w:pict>
    </w:r>
    <w:r>
      <w:pict>
        <v:shape id="_x0000_s2053" type="#_x0000_t202" style="width:12.85pt;height:16.6pt;margin-top:523.16pt;margin-left:677.0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50767107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67107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78.05pt;height:12.65pt;margin-top:487.35pt;margin-left:48.6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52" w:lineRule="exact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808080"/>
                    <w:sz w:val="16"/>
                  </w:rPr>
                  <w:t>来源：综合证监会、中国证券投资基金业协会公布数据，专家访谈，企业财报等，根据艾瑞统计模型核算。</w:t>
                </w:r>
              </w:p>
            </w:txbxContent>
          </v:textbox>
        </v:shape>
      </w:pict>
    </w:r>
    <w:r>
      <w:pict>
        <v:shape id="_x0000_s2056" type="#_x0000_t202" style="width:12.85pt;height:16.6pt;margin-top:523.16pt;margin-left:677.0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78.05pt;height:24.15pt;margin-top:487.35pt;margin-left:48.6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42" w:lineRule="exact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808080"/>
                    <w:sz w:val="16"/>
                  </w:rPr>
                  <w:t>注释：宝宝类基金是指以余额宝为代表的货币市场基金。</w:t>
                </w:r>
              </w:p>
              <w:p>
                <w:pPr>
                  <w:spacing w:before="0" w:line="241" w:lineRule="exact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808080"/>
                    <w:sz w:val="16"/>
                  </w:rPr>
                  <w:t>来源：综合证监会、中国证券投资基金业协会公布数据，专家访谈，企业财报等，根据艾瑞统计模型核算。</w:t>
                </w:r>
              </w:p>
            </w:txbxContent>
          </v:textbox>
        </v:shape>
      </w:pict>
    </w:r>
    <w:r>
      <w:pict>
        <v:shape id="_x0000_s2059" type="#_x0000_t202" style="width:12.85pt;height:16.6pt;margin-top:523.16pt;margin-left:677.0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2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85pt;height:16.6pt;margin-top:523.16pt;margin-left:677.0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2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.85pt;height:16.6pt;margin-top:523.16pt;margin-left:677.0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100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100"/>
                    <w:sz w:val="22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3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65pt;height:16.6pt;margin-top:523.16pt;margin-left:673.6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19320633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20633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65pt;height:16.6pt;margin-top:523.16pt;margin-left:673.6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6612674</wp:posOffset>
          </wp:positionV>
          <wp:extent cx="9144000" cy="245325"/>
          <wp:effectExtent l="0" t="0" r="0" b="0"/>
          <wp:wrapNone/>
          <wp:docPr id="68691850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91850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0" cy="24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65pt;height:16.6pt;margin-top:523.16pt;margin-left:673.6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32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7706868</wp:posOffset>
          </wp:positionH>
          <wp:positionV relativeFrom="page">
            <wp:posOffset>342900</wp:posOffset>
          </wp:positionV>
          <wp:extent cx="908303" cy="432815"/>
          <wp:effectExtent l="0" t="0" r="0" b="0"/>
          <wp:wrapNone/>
          <wp:docPr id="1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303" cy="432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22.05pt;height:44.3pt;margin-top:22.48pt;margin-left:41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134"/>
                    <w:sz w:val="64"/>
                  </w:rPr>
                  <w:t>中国基金行业发展现状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7706868</wp:posOffset>
          </wp:positionH>
          <wp:positionV relativeFrom="page">
            <wp:posOffset>342900</wp:posOffset>
          </wp:positionV>
          <wp:extent cx="908303" cy="432815"/>
          <wp:effectExtent l="0" t="0" r="0" b="0"/>
          <wp:wrapNone/>
          <wp:docPr id="99086783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086783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303" cy="432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22.05pt;height:44.3pt;margin-top:22.48pt;margin-left:41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134"/>
                    <w:sz w:val="64"/>
                  </w:rPr>
                  <w:t>中国基金行业发展现状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7706868</wp:posOffset>
          </wp:positionH>
          <wp:positionV relativeFrom="page">
            <wp:posOffset>342900</wp:posOffset>
          </wp:positionV>
          <wp:extent cx="908303" cy="432815"/>
          <wp:effectExtent l="0" t="0" r="0" b="0"/>
          <wp:wrapNone/>
          <wp:docPr id="1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303" cy="432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22.05pt;height:44.3pt;margin-top:22.48pt;margin-left:41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134"/>
                    <w:sz w:val="64"/>
                  </w:rPr>
                  <w:t>中国基金行业发展现状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7706868</wp:posOffset>
          </wp:positionH>
          <wp:positionV relativeFrom="page">
            <wp:posOffset>342900</wp:posOffset>
          </wp:positionV>
          <wp:extent cx="908303" cy="432815"/>
          <wp:effectExtent l="0" t="0" r="0" b="0"/>
          <wp:wrapNone/>
          <wp:docPr id="2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303" cy="432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22.05pt;height:44.3pt;margin-top:22.48pt;margin-left:41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134"/>
                    <w:sz w:val="64"/>
                  </w:rPr>
                  <w:t>中国基金行业发展现状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7706868</wp:posOffset>
          </wp:positionH>
          <wp:positionV relativeFrom="page">
            <wp:posOffset>342900</wp:posOffset>
          </wp:positionV>
          <wp:extent cx="908303" cy="432815"/>
          <wp:effectExtent l="0" t="0" r="0" b="0"/>
          <wp:wrapNone/>
          <wp:docPr id="2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303" cy="432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18.05pt;height:44.3pt;margin-top:22.48pt;margin-left:41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134"/>
                    <w:sz w:val="64"/>
                  </w:rPr>
                  <w:t>中国互联网基金行业发展环境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7706868</wp:posOffset>
          </wp:positionH>
          <wp:positionV relativeFrom="page">
            <wp:posOffset>342900</wp:posOffset>
          </wp:positionV>
          <wp:extent cx="908303" cy="432815"/>
          <wp:effectExtent l="0" t="0" r="0" b="0"/>
          <wp:wrapNone/>
          <wp:docPr id="158042866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0428660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303" cy="432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18.05pt;height:44.3pt;margin-top:22.48pt;margin-left:41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134"/>
                    <w:sz w:val="64"/>
                  </w:rPr>
                  <w:t>中国互联网基金行业发展环境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7706868</wp:posOffset>
          </wp:positionH>
          <wp:positionV relativeFrom="page">
            <wp:posOffset>342900</wp:posOffset>
          </wp:positionV>
          <wp:extent cx="908303" cy="432815"/>
          <wp:effectExtent l="0" t="0" r="0" b="0"/>
          <wp:wrapNone/>
          <wp:docPr id="212623992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23992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303" cy="4328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18.05pt;height:44.3pt;margin-top:22.48pt;margin-left:41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886" w:lineRule="exact"/>
                  <w:ind w:left="20" w:right="0" w:firstLine="0"/>
                  <w:jc w:val="left"/>
                  <w:rPr>
                    <w:sz w:val="64"/>
                  </w:rPr>
                </w:pPr>
                <w:r>
                  <w:rPr>
                    <w:color w:val="B1D134"/>
                    <w:sz w:val="64"/>
                  </w:rPr>
                  <w:t>中国互联网基金行业发展环境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894F1"/>
    <w:multiLevelType w:val="hybridMultilevel"/>
    <w:tmpl w:val="00000000"/>
    <w:lvl w:ilvl="0">
      <w:start w:val="51"/>
      <w:numFmt w:val="decimal"/>
      <w:lvlText w:val="%1"/>
      <w:lvlJc w:val="left"/>
      <w:pPr>
        <w:ind w:left="638" w:hanging="46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38" w:hanging="468"/>
        <w:jc w:val="left"/>
      </w:pPr>
      <w:rPr>
        <w:rFonts w:ascii="Arial" w:eastAsia="Arial" w:hAnsi="Arial" w:cs="Arial" w:hint="default"/>
        <w:color w:val="3F3F3F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41" w:hanging="200"/>
        <w:jc w:val="left"/>
      </w:pPr>
      <w:rPr>
        <w:rFonts w:ascii="微软雅黑" w:eastAsia="微软雅黑" w:hAnsi="微软雅黑" w:cs="微软雅黑" w:hint="default"/>
        <w:color w:val="3F3F3F"/>
        <w:w w:val="100"/>
        <w:sz w:val="22"/>
        <w:szCs w:val="2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0" w:hanging="2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40" w:hanging="2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40" w:hanging="2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40" w:hanging="2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40" w:hanging="2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40" w:hanging="200"/>
      </w:pPr>
      <w:rPr>
        <w:rFonts w:hint="default"/>
        <w:lang w:val="en-US" w:eastAsia="en-US" w:bidi="ar-SA"/>
      </w:rPr>
    </w:lvl>
  </w:abstractNum>
  <w:abstractNum w:abstractNumId="1">
    <w:nsid w:val="4543E13B"/>
    <w:multiLevelType w:val="hybridMultilevel"/>
    <w:tmpl w:val="00000000"/>
    <w:lvl w:ilvl="0">
      <w:start w:val="0"/>
      <w:numFmt w:val="bullet"/>
      <w:lvlText w:val=""/>
      <w:lvlJc w:val="left"/>
      <w:pPr>
        <w:ind w:left="889" w:hanging="720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64" w:hanging="7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8" w:hanging="7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2" w:hanging="7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16" w:hanging="7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00" w:hanging="7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84" w:hanging="7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868" w:hanging="7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152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line="886" w:lineRule="exact"/>
      <w:ind w:left="20"/>
      <w:outlineLvl w:val="0"/>
    </w:pPr>
    <w:rPr>
      <w:rFonts w:ascii="微软雅黑" w:eastAsia="微软雅黑" w:hAnsi="微软雅黑" w:cs="微软雅黑"/>
      <w:sz w:val="64"/>
      <w:szCs w:val="64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line="831" w:lineRule="exact"/>
      <w:ind w:left="169"/>
      <w:outlineLvl w:val="1"/>
    </w:pPr>
    <w:rPr>
      <w:rFonts w:ascii="微软雅黑" w:eastAsia="微软雅黑" w:hAnsi="微软雅黑" w:cs="微软雅黑"/>
      <w:sz w:val="48"/>
      <w:szCs w:val="48"/>
      <w:lang w:val="en-US" w:eastAsia="en-US" w:bidi="ar-SA"/>
    </w:rPr>
  </w:style>
  <w:style w:type="paragraph" w:styleId="Heading3">
    <w:name w:val="heading 3"/>
    <w:basedOn w:val="Normal"/>
    <w:uiPriority w:val="1"/>
    <w:qFormat/>
    <w:pPr>
      <w:spacing w:before="132"/>
      <w:outlineLvl w:val="2"/>
    </w:pPr>
    <w:rPr>
      <w:rFonts w:ascii="微软雅黑" w:eastAsia="微软雅黑" w:hAnsi="微软雅黑" w:cs="微软雅黑"/>
      <w:b/>
      <w:bCs/>
      <w:sz w:val="32"/>
      <w:szCs w:val="32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256"/>
      <w:ind w:left="888"/>
      <w:outlineLvl w:val="3"/>
    </w:pPr>
    <w:rPr>
      <w:rFonts w:ascii="微软雅黑" w:eastAsia="微软雅黑" w:hAnsi="微软雅黑" w:cs="微软雅黑"/>
      <w:b/>
      <w:bCs/>
      <w:sz w:val="28"/>
      <w:szCs w:val="28"/>
      <w:lang w:val="en-US" w:eastAsia="en-US" w:bidi="ar-SA"/>
    </w:rPr>
  </w:style>
  <w:style w:type="paragraph" w:styleId="Heading5">
    <w:name w:val="heading 5"/>
    <w:basedOn w:val="Normal"/>
    <w:uiPriority w:val="1"/>
    <w:qFormat/>
    <w:pPr>
      <w:spacing w:before="37" w:line="361" w:lineRule="exact"/>
      <w:ind w:left="170"/>
      <w:outlineLvl w:val="4"/>
    </w:pPr>
    <w:rPr>
      <w:rFonts w:ascii="微软雅黑" w:eastAsia="微软雅黑" w:hAnsi="微软雅黑" w:cs="微软雅黑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24"/>
      <w:szCs w:val="24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line="1089" w:lineRule="exact"/>
      <w:ind w:left="160"/>
    </w:pPr>
    <w:rPr>
      <w:rFonts w:ascii="微软雅黑" w:eastAsia="微软雅黑" w:hAnsi="微软雅黑" w:cs="微软雅黑"/>
      <w:b/>
      <w:bCs/>
      <w:sz w:val="64"/>
      <w:szCs w:val="6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218"/>
      <w:ind w:left="889" w:hanging="721"/>
    </w:pPr>
    <w:rPr>
      <w:rFonts w:ascii="微软雅黑" w:eastAsia="微软雅黑" w:hAnsi="微软雅黑" w:cs="微软雅黑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jc w:val="center"/>
    </w:pPr>
    <w:rPr>
      <w:rFonts w:ascii="微软雅黑" w:eastAsia="微软雅黑" w:hAnsi="微软雅黑" w:cs="微软雅黑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6.jpe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jpeg" /><Relationship Id="rId17" Type="http://schemas.openxmlformats.org/officeDocument/2006/relationships/header" Target="header1.xml" /><Relationship Id="rId18" Type="http://schemas.openxmlformats.org/officeDocument/2006/relationships/footer" Target="footer3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jpeg" /><Relationship Id="rId21" Type="http://schemas.openxmlformats.org/officeDocument/2006/relationships/image" Target="media/image14.jpeg" /><Relationship Id="rId22" Type="http://schemas.openxmlformats.org/officeDocument/2006/relationships/image" Target="media/image15.png" /><Relationship Id="rId23" Type="http://schemas.openxmlformats.org/officeDocument/2006/relationships/header" Target="header2.xml" /><Relationship Id="rId24" Type="http://schemas.openxmlformats.org/officeDocument/2006/relationships/footer" Target="footer4.xml" /><Relationship Id="rId25" Type="http://schemas.openxmlformats.org/officeDocument/2006/relationships/image" Target="media/image16.jpeg" /><Relationship Id="rId26" Type="http://schemas.openxmlformats.org/officeDocument/2006/relationships/header" Target="header3.xml" /><Relationship Id="rId27" Type="http://schemas.openxmlformats.org/officeDocument/2006/relationships/footer" Target="footer5.xml" /><Relationship Id="rId28" Type="http://schemas.openxmlformats.org/officeDocument/2006/relationships/header" Target="header4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footer" Target="footer7.xml" /><Relationship Id="rId32" Type="http://schemas.openxmlformats.org/officeDocument/2006/relationships/header" Target="header6.xml" /><Relationship Id="rId33" Type="http://schemas.openxmlformats.org/officeDocument/2006/relationships/footer" Target="footer8.xml" /><Relationship Id="rId34" Type="http://schemas.openxmlformats.org/officeDocument/2006/relationships/image" Target="media/image17.jpeg" /><Relationship Id="rId35" Type="http://schemas.openxmlformats.org/officeDocument/2006/relationships/header" Target="header7.xml" /><Relationship Id="rId36" Type="http://schemas.openxmlformats.org/officeDocument/2006/relationships/footer" Target="footer9.xml" /><Relationship Id="rId37" Type="http://schemas.openxmlformats.org/officeDocument/2006/relationships/image" Target="media/image18.jpeg" /><Relationship Id="rId38" Type="http://schemas.openxmlformats.org/officeDocument/2006/relationships/image" Target="media/image19.jpeg" /><Relationship Id="rId39" Type="http://schemas.openxmlformats.org/officeDocument/2006/relationships/hyperlink" Target="https://d.book118.com/156243005122010050" TargetMode="External" /><Relationship Id="rId4" Type="http://schemas.openxmlformats.org/officeDocument/2006/relationships/image" Target="media/image1.jpeg" /><Relationship Id="rId40" Type="http://schemas.openxmlformats.org/officeDocument/2006/relationships/header" Target="header8.xml" /><Relationship Id="rId41" Type="http://schemas.openxmlformats.org/officeDocument/2006/relationships/footer" Target="footer10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hyperlink" Target="http://www.iresearch.com.cn/" TargetMode="Externa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1.xml" /><Relationship Id="rId9" Type="http://schemas.openxmlformats.org/officeDocument/2006/relationships/image" Target="media/image5.jpe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2024-01-20T12:01:02Z</dcterms:created>
  <dcterms:modified xsi:type="dcterms:W3CDTF">2024-01-20T12:01:02Z</dcterms:modified>
</cp:coreProperties>
</file>