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2018-2023年浙江经济职业技术学院高职单招（数学／语文／英语）历年常考试题库含答案解析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“望洋兴叹”一语出自（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A.《老子》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《白雪歌送武判官归京》是一首（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A.山水诗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C.边塞诗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陶渊明《饮酒（其五）》的体裁是（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B.五言律诗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D.杂言诗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小说《风波》的中心情节线索是（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A.九斤老太的五十大寿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B.七斤的飞黄腾达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C.皇帝坐了龙庭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下列作家中，具有“含泪的微笑”艺术风格的是（）。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D.福楼拜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战国后期产生的一种新诗体是（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A.《诗经》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B.乐府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C.《楚辞》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D.五言诗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屠格涅夫《门槛》中，“门槛”象征着（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A.敌人设下的陷阱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B.囚禁革命者的监狱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C.革命者的秘密组织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D.革命征途的艰难险阻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在《报刘一丈书》中，所揭示的权贵者的性格特征是（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A.狐假虎威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B.奴颜婢膝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C.贪婪虚伪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D.趋炎附势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《蜀相》是一首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A.山水诗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B.田园诗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C.边塞诗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下列作品中，借用了乐府旧题的一组是（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A.李白《行路难》、杜甫《蜀相》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B.陆游《关山月》、李白《行路难》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C.曹操《短歌行》、陶渊明《饮酒》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D.王昌龄《从军行》、白居易《杜陵叟》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《渭南文集》的作者是（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A.杜牧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B.李商隐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下列各句中，“数”作“计算”解的是（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352922" cy="168610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52922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《李将军列传》中，李广和李蔡的对比描写，主要是为了表现李广的（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A.骁勇善战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B.爱护士卒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C.乐观旷达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D.白首未封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https://d.book118.com/157045044162006044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15704504416200604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