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橡胶轮胎及内胎项目可行性研究方案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44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_Toc16440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07" w:history="1">
        <w:r>
          <w:rPr>
            <w:rFonts w:ascii="仿宋" w:eastAsia="仿宋" w:hAnsi="仿宋" w:cs="仿宋" w:hint="eastAsia"/>
            <w:lang w:eastAsia="zh-CN"/>
          </w:rPr>
          <w:t>一、投资估算与资金筹措</w:t>
        </w:r>
        <w:r>
          <w:tab/>
        </w:r>
        <w:r>
          <w:fldChar w:fldCharType="begin"/>
        </w:r>
        <w:r>
          <w:instrText xml:space="preserve"> PAGEREF _Toc7707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64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_Toc22364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6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_Toc8526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0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_Toc22280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4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_Toc23834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98" w:history="1">
        <w:r>
          <w:rPr>
            <w:rFonts w:ascii="仿宋" w:eastAsia="仿宋" w:hAnsi="仿宋" w:cs="仿宋" w:hint="eastAsia"/>
            <w:lang w:eastAsia="zh-CN"/>
          </w:rPr>
          <w:t>二、橡胶轮胎及内胎项目建设目标</w:t>
        </w:r>
        <w:r>
          <w:tab/>
        </w:r>
        <w:r>
          <w:fldChar w:fldCharType="begin"/>
        </w:r>
        <w:r>
          <w:instrText xml:space="preserve"> PAGEREF _Toc28498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8" w:history="1">
        <w:r>
          <w:rPr>
            <w:rFonts w:ascii="仿宋" w:eastAsia="仿宋" w:hAnsi="仿宋" w:cs="仿宋" w:hint="eastAsia"/>
            <w:lang w:eastAsia="zh-CN"/>
          </w:rPr>
          <w:t>(一)、橡胶轮胎及内胎项目建设目标</w:t>
        </w:r>
        <w:r>
          <w:tab/>
        </w:r>
        <w:r>
          <w:fldChar w:fldCharType="begin"/>
        </w:r>
        <w:r>
          <w:instrText xml:space="preserve"> PAGEREF _Toc15568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03" w:history="1">
        <w:r>
          <w:rPr>
            <w:rFonts w:ascii="仿宋" w:eastAsia="仿宋" w:hAnsi="仿宋" w:cs="仿宋" w:hint="eastAsia"/>
            <w:lang w:eastAsia="zh-CN"/>
          </w:rPr>
          <w:t>三、产品市场预测与分析</w:t>
        </w:r>
        <w:r>
          <w:tab/>
        </w:r>
        <w:r>
          <w:fldChar w:fldCharType="begin"/>
        </w:r>
        <w:r>
          <w:instrText xml:space="preserve"> PAGEREF _Toc13203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5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_Toc11915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7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_Toc26897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4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_Toc7074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0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_Toc28720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8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_Toc13748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3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_Toc17363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37" w:history="1">
        <w:r>
          <w:rPr>
            <w:rFonts w:ascii="仿宋" w:eastAsia="仿宋" w:hAnsi="仿宋" w:cs="仿宋" w:hint="eastAsia"/>
            <w:lang w:eastAsia="zh-CN"/>
          </w:rPr>
          <w:t>四、橡胶轮胎及内胎项目建设内容</w:t>
        </w:r>
        <w:r>
          <w:tab/>
        </w:r>
        <w:r>
          <w:fldChar w:fldCharType="begin"/>
        </w:r>
        <w:r>
          <w:instrText xml:space="preserve"> PAGEREF _Toc17637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4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_Toc10514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6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_Toc18766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9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_Toc14719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4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_Toc4274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7" w:history="1">
        <w:r>
          <w:rPr>
            <w:rFonts w:ascii="仿宋" w:eastAsia="仿宋" w:hAnsi="仿宋" w:cs="仿宋" w:hint="eastAsia"/>
            <w:lang w:eastAsia="zh-CN"/>
          </w:rPr>
          <w:t>五、橡胶轮胎及内胎项目承办单位基本情况</w:t>
        </w:r>
        <w:r>
          <w:tab/>
        </w:r>
        <w:r>
          <w:fldChar w:fldCharType="begin"/>
        </w:r>
        <w:r>
          <w:instrText xml:space="preserve"> PAGEREF _Toc1147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_Toc10983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4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_Toc10364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0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_Toc15010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1" w:history="1">
        <w:r>
          <w:rPr>
            <w:rFonts w:ascii="仿宋" w:eastAsia="仿宋" w:hAnsi="仿宋" w:cs="仿宋" w:hint="eastAsia"/>
            <w:lang w:eastAsia="zh-CN"/>
          </w:rPr>
          <w:t>六、效益分析</w:t>
        </w:r>
        <w:r>
          <w:tab/>
        </w:r>
        <w:r>
          <w:fldChar w:fldCharType="begin"/>
        </w:r>
        <w:r>
          <w:instrText xml:space="preserve"> PAGEREF _Toc2861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5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_Toc19845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3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_Toc20423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8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_Toc32148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90" w:history="1">
        <w:r>
          <w:rPr>
            <w:rFonts w:ascii="仿宋" w:eastAsia="仿宋" w:hAnsi="仿宋" w:cs="仿宋" w:hint="eastAsia"/>
            <w:lang w:eastAsia="zh-CN"/>
          </w:rPr>
          <w:t>七、橡胶轮胎及内胎项目建设符合性</w:t>
        </w:r>
        <w:r>
          <w:tab/>
        </w:r>
        <w:r>
          <w:fldChar w:fldCharType="begin"/>
        </w:r>
        <w:r>
          <w:instrText xml:space="preserve"> PAGEREF _Toc25890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6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_Toc28556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19" w:history="1">
        <w:r>
          <w:rPr>
            <w:rFonts w:ascii="仿宋" w:eastAsia="仿宋" w:hAnsi="仿宋" w:cs="仿宋" w:hint="eastAsia"/>
            <w:lang w:eastAsia="zh-CN"/>
          </w:rPr>
          <w:t>(二)、橡胶轮胎及内胎项目选址与用地规划相容性</w:t>
        </w:r>
        <w:r>
          <w:tab/>
        </w:r>
        <w:r>
          <w:fldChar w:fldCharType="begin"/>
        </w:r>
        <w:r>
          <w:instrText xml:space="preserve"> PAGEREF _Toc4419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38" w:history="1">
        <w:r>
          <w:rPr>
            <w:rFonts w:ascii="仿宋" w:eastAsia="仿宋" w:hAnsi="仿宋" w:cs="仿宋" w:hint="eastAsia"/>
            <w:lang w:eastAsia="zh-CN"/>
          </w:rPr>
          <w:t>八、信息技术与数字化转型</w:t>
        </w:r>
        <w:r>
          <w:tab/>
        </w:r>
        <w:r>
          <w:fldChar w:fldCharType="begin"/>
        </w:r>
        <w:r>
          <w:instrText xml:space="preserve"> PAGEREF _Toc7338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2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_Toc20092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_Toc3041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7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_Toc11857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9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_Toc32149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19" w:history="1">
        <w:r>
          <w:rPr>
            <w:rFonts w:ascii="仿宋" w:eastAsia="仿宋" w:hAnsi="仿宋" w:cs="仿宋" w:hint="eastAsia"/>
            <w:lang w:eastAsia="zh-CN"/>
          </w:rPr>
          <w:t>九、市场趋势与竞争分析</w:t>
        </w:r>
        <w:r>
          <w:tab/>
        </w:r>
        <w:r>
          <w:fldChar w:fldCharType="begin"/>
        </w:r>
        <w:r>
          <w:instrText xml:space="preserve"> PAGEREF _Toc22719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2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_Toc26192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1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_Toc12961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5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_Toc14355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8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_Toc19518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123" w:history="1">
        <w:r>
          <w:rPr>
            <w:rFonts w:ascii="仿宋" w:eastAsia="仿宋" w:hAnsi="仿宋" w:cs="仿宋" w:hint="eastAsia"/>
            <w:lang w:eastAsia="zh-CN"/>
          </w:rPr>
          <w:t>十、橡胶轮胎及内胎项目节能分析</w:t>
        </w:r>
        <w:r>
          <w:tab/>
        </w:r>
        <w:r>
          <w:fldChar w:fldCharType="begin"/>
        </w:r>
        <w:r>
          <w:instrText xml:space="preserve"> PAGEREF _Toc14123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_Toc328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3" w:history="1">
        <w:r>
          <w:rPr>
            <w:rFonts w:ascii="仿宋" w:eastAsia="仿宋" w:hAnsi="仿宋" w:cs="仿宋" w:hint="eastAsia"/>
            <w:lang w:eastAsia="zh-CN"/>
          </w:rPr>
          <w:t>(二)、橡胶轮胎及内胎项目预期节能综合评价</w:t>
        </w:r>
        <w:r>
          <w:tab/>
        </w:r>
        <w:r>
          <w:fldChar w:fldCharType="begin"/>
        </w:r>
        <w:r>
          <w:instrText xml:space="preserve"> PAGEREF _Toc16053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7" w:history="1">
        <w:r>
          <w:rPr>
            <w:rFonts w:ascii="仿宋" w:eastAsia="仿宋" w:hAnsi="仿宋" w:cs="仿宋" w:hint="eastAsia"/>
            <w:lang w:eastAsia="zh-CN"/>
          </w:rPr>
          <w:t>(三)、橡胶轮胎及内胎项目节能设计</w:t>
        </w:r>
        <w:r>
          <w:tab/>
        </w:r>
        <w:r>
          <w:fldChar w:fldCharType="begin"/>
        </w:r>
        <w:r>
          <w:instrText xml:space="preserve"> PAGEREF _Toc15827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0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_Toc14900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54" w:history="1">
        <w:r>
          <w:rPr>
            <w:rFonts w:ascii="仿宋" w:eastAsia="仿宋" w:hAnsi="仿宋" w:cs="仿宋" w:hint="eastAsia"/>
            <w:lang w:eastAsia="zh-CN"/>
          </w:rPr>
          <w:t>十一、橡胶轮胎及内胎项目管理与监督</w:t>
        </w:r>
        <w:r>
          <w:tab/>
        </w:r>
        <w:r>
          <w:fldChar w:fldCharType="begin"/>
        </w:r>
        <w:r>
          <w:instrText xml:space="preserve"> PAGEREF _Toc14354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" w:history="1">
        <w:r>
          <w:rPr>
            <w:rFonts w:ascii="仿宋" w:eastAsia="仿宋" w:hAnsi="仿宋" w:cs="仿宋" w:hint="eastAsia"/>
            <w:lang w:eastAsia="zh-CN"/>
          </w:rPr>
          <w:t>(一)、橡胶轮胎及内胎项目管理体系建设</w:t>
        </w:r>
        <w:r>
          <w:tab/>
        </w:r>
        <w:r>
          <w:fldChar w:fldCharType="begin"/>
        </w:r>
        <w:r>
          <w:instrText xml:space="preserve"> PAGEREF _Toc1254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5" w:history="1">
        <w:r>
          <w:rPr>
            <w:rFonts w:ascii="仿宋" w:eastAsia="仿宋" w:hAnsi="仿宋" w:cs="仿宋" w:hint="eastAsia"/>
            <w:lang w:eastAsia="zh-CN"/>
          </w:rPr>
          <w:t>(二)、橡胶轮胎及内胎项目进度与绩效管理</w:t>
        </w:r>
        <w:r>
          <w:tab/>
        </w:r>
        <w:r>
          <w:fldChar w:fldCharType="begin"/>
        </w:r>
        <w:r>
          <w:instrText xml:space="preserve"> PAGEREF _Toc11475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05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_Toc9405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3" w:history="1">
        <w:r>
          <w:rPr>
            <w:rFonts w:ascii="仿宋" w:eastAsia="仿宋" w:hAnsi="仿宋" w:cs="仿宋" w:hint="eastAsia"/>
            <w:lang w:eastAsia="zh-CN"/>
          </w:rPr>
          <w:t>(四)、橡胶轮胎及内胎项目监督与评估机制</w:t>
        </w:r>
        <w:r>
          <w:tab/>
        </w:r>
        <w:r>
          <w:fldChar w:fldCharType="begin"/>
        </w:r>
        <w:r>
          <w:instrText xml:space="preserve"> PAGEREF _Toc23833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61" w:history="1">
        <w:r>
          <w:rPr>
            <w:rFonts w:ascii="仿宋" w:eastAsia="仿宋" w:hAnsi="仿宋" w:cs="仿宋" w:hint="eastAsia"/>
            <w:lang w:eastAsia="zh-CN"/>
          </w:rPr>
          <w:t>十二、知识管理与技术创新</w:t>
        </w:r>
        <w:r>
          <w:tab/>
        </w:r>
        <w:r>
          <w:fldChar w:fldCharType="begin"/>
        </w:r>
        <w:r>
          <w:instrText xml:space="preserve"> PAGEREF _Toc17961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81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_Toc15681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0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_Toc18190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_Toc2710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4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_Toc21154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54" w:history="1">
        <w:r>
          <w:rPr>
            <w:rFonts w:ascii="仿宋" w:eastAsia="仿宋" w:hAnsi="仿宋" w:cs="仿宋" w:hint="eastAsia"/>
            <w:lang w:eastAsia="zh-CN"/>
          </w:rPr>
          <w:t>十三、市场营销策略与推广计划</w:t>
        </w:r>
        <w:r>
          <w:tab/>
        </w:r>
        <w:r>
          <w:fldChar w:fldCharType="begin"/>
        </w:r>
        <w:r>
          <w:instrText xml:space="preserve"> PAGEREF _Toc25154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5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_Toc23815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0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_Toc3320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0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_Toc1240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81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_Toc3281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999" w:history="1">
        <w:r>
          <w:rPr>
            <w:rFonts w:ascii="仿宋" w:eastAsia="仿宋" w:hAnsi="仿宋" w:cs="仿宋" w:hint="eastAsia"/>
            <w:lang w:eastAsia="zh-CN"/>
          </w:rPr>
          <w:t>十四、建设及运营风险分析</w:t>
        </w:r>
        <w:r>
          <w:tab/>
        </w:r>
        <w:r>
          <w:fldChar w:fldCharType="begin"/>
        </w:r>
        <w:r>
          <w:instrText xml:space="preserve"> PAGEREF _Toc20999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_Toc10035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93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_Toc17593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_Toc12980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_Toc31756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9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_Toc29019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7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_Toc15327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_Toc16815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5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_Toc4635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_Toc1393 \h </w:instrText>
        </w:r>
        <w:r>
          <w:fldChar w:fldCharType="separate"/>
        </w:r>
        <w:r>
          <w:t>96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44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成功在很大程度上依赖于前期的深入调研和细致规划。基于此，本方案报告提供了一个系统的分析框架，用以审视项目所有可能的风险与机遇，并对项目的可行性做出客观的评估。通过科学的方法论和数据分析，本方案旨在为决策者提供战略指导和参考，以实现项目投资的最大化收益。请注意，所有在本方案中提出的建议和结论仅供学习和学术交流之用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707"/>
      <w:r>
        <w:rPr>
          <w:rFonts w:ascii="仿宋" w:eastAsia="仿宋" w:hAnsi="仿宋" w:cs="仿宋" w:hint="eastAsia"/>
          <w:sz w:val="28"/>
          <w:lang w:eastAsia="zh-CN"/>
        </w:rPr>
        <w:t>一、投资估算与资金筹措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364"/>
      <w:r>
        <w:rPr>
          <w:rFonts w:ascii="仿宋" w:eastAsia="仿宋" w:hAnsi="仿宋" w:cs="仿宋" w:hint="eastAsia"/>
          <w:lang w:eastAsia="zh-CN"/>
        </w:rPr>
        <w:t>(一)、投资估算依据及范围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橡胶轮胎及内胎项目投资估算的依据是基于全面考虑多方面的因素，以确保对橡胶轮胎及内胎项目各方面费用的准确评估。依据主要包括以下几个方面：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国内设备生产厂家的近期报价： 通过对国内设备生产厂家的最新报价进行调查和比较，获取设备的市场价格。这有助于确定设备购置费用的合理估算。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建筑安装定额资料： 参考国家建筑安装定额资料，对建筑工程和安装工程的费用进行合理估算。这包括各项施工工艺所需的人工、材料和机械设备的费用。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橡胶轮胎及内胎项目建设总体规划资料：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https://d.book118.com/157055141126006035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橡胶轮胎及内胎项目可行性研究方案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橡胶轮胎及内胎项目可行性研究方案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橡胶轮胎及内胎项目可行性研究方案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橡胶轮胎及内胎项目可行性研究方案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98213C"/>
    <w:rsid w:val="0998213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7055141126006035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2024-01-27T17:56:00Z</dcterms:created>
  <dcterms:modified xsi:type="dcterms:W3CDTF">2024-01-27T17:56:36Z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6091038B4B674B0BB077243F717C772C_11</vt:lpwstr>
  </property>
  <property fmtid="{D5CDD505-2E9C-101B-9397-08002B2CF9AE}" pid="3" name="KSOProductBuildVer">
    <vt:lpwstr>2052-12.1.0.16250</vt:lpwstr>
  </property>
</Properties>
</file>