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红参提取物行业项目可行性分析报告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 w:history="1">
        <w:r>
          <w:rPr>
            <w:rFonts w:ascii="仿宋" w:eastAsia="仿宋" w:hAnsi="仿宋" w:cs="仿宋" w:hint="eastAsia"/>
            <w:lang w:eastAsia="zh-CN"/>
          </w:rPr>
          <w:t>概述</w:t>
        </w:r>
        <w:r>
          <w:tab/>
        </w:r>
        <w:r>
          <w:fldChar w:fldCharType="begin"/>
        </w:r>
        <w:r>
          <w:instrText xml:space="preserve"> PAGEREF _Toc352 \h </w:instrText>
        </w:r>
        <w:r>
          <w:fldChar w:fldCharType="separate"/>
        </w:r>
        <w:r>
          <w:t>3</w:t>
        </w:r>
        <w:r>
          <w:fldChar w:fldCharType="end"/>
        </w:r>
      </w:hyperlink>
    </w:p>
    <w:p>
      <w:pPr>
        <w:pStyle w:val="TOC1"/>
        <w:tabs>
          <w:tab w:val="right" w:leader="dot" w:pos="8306"/>
        </w:tabs>
      </w:pPr>
      <w:hyperlink w:anchor="_Toc23758" w:history="1">
        <w:r>
          <w:rPr>
            <w:rFonts w:ascii="仿宋" w:eastAsia="仿宋" w:hAnsi="仿宋" w:cs="仿宋" w:hint="eastAsia"/>
            <w:lang w:eastAsia="zh-CN"/>
          </w:rPr>
          <w:t>一、红参提取物行业未来技术发展趋势</w:t>
        </w:r>
        <w:r>
          <w:tab/>
        </w:r>
        <w:r>
          <w:fldChar w:fldCharType="begin"/>
        </w:r>
        <w:r>
          <w:instrText xml:space="preserve"> PAGEREF _Toc23758 \h </w:instrText>
        </w:r>
        <w:r>
          <w:fldChar w:fldCharType="separate"/>
        </w:r>
        <w:r>
          <w:t>3</w:t>
        </w:r>
        <w:r>
          <w:fldChar w:fldCharType="end"/>
        </w:r>
      </w:hyperlink>
    </w:p>
    <w:p>
      <w:pPr>
        <w:pStyle w:val="TOC1"/>
        <w:tabs>
          <w:tab w:val="right" w:leader="dot" w:pos="8306"/>
        </w:tabs>
      </w:pPr>
      <w:hyperlink w:anchor="_Toc32262" w:history="1">
        <w:r>
          <w:rPr>
            <w:rFonts w:ascii="仿宋" w:eastAsia="仿宋" w:hAnsi="仿宋" w:cs="仿宋" w:hint="eastAsia"/>
            <w:lang w:eastAsia="zh-CN"/>
          </w:rPr>
          <w:t>二、物资采购和管理</w:t>
        </w:r>
        <w:r>
          <w:tab/>
        </w:r>
        <w:r>
          <w:fldChar w:fldCharType="begin"/>
        </w:r>
        <w:r>
          <w:instrText xml:space="preserve"> PAGEREF _Toc32262 \h </w:instrText>
        </w:r>
        <w:r>
          <w:fldChar w:fldCharType="separate"/>
        </w:r>
        <w:r>
          <w:t>3</w:t>
        </w:r>
        <w:r>
          <w:fldChar w:fldCharType="end"/>
        </w:r>
      </w:hyperlink>
    </w:p>
    <w:p>
      <w:pPr>
        <w:pStyle w:val="TOC2"/>
        <w:tabs>
          <w:tab w:val="right" w:leader="dot" w:pos="8306"/>
        </w:tabs>
      </w:pPr>
      <w:hyperlink w:anchor="_Toc18755" w:history="1">
        <w:r>
          <w:rPr>
            <w:rFonts w:ascii="仿宋" w:eastAsia="仿宋" w:hAnsi="仿宋" w:cs="仿宋" w:hint="eastAsia"/>
            <w:lang w:eastAsia="zh-CN"/>
          </w:rPr>
          <w:t>(一)、物资采购的程序和标准</w:t>
        </w:r>
        <w:r>
          <w:tab/>
        </w:r>
        <w:r>
          <w:fldChar w:fldCharType="begin"/>
        </w:r>
        <w:r>
          <w:instrText xml:space="preserve"> PAGEREF _Toc18755 \h </w:instrText>
        </w:r>
        <w:r>
          <w:fldChar w:fldCharType="separate"/>
        </w:r>
        <w:r>
          <w:t>3</w:t>
        </w:r>
        <w:r>
          <w:fldChar w:fldCharType="end"/>
        </w:r>
      </w:hyperlink>
    </w:p>
    <w:p>
      <w:pPr>
        <w:pStyle w:val="TOC2"/>
        <w:tabs>
          <w:tab w:val="right" w:leader="dot" w:pos="8306"/>
        </w:tabs>
      </w:pPr>
      <w:hyperlink w:anchor="_Toc16014" w:history="1">
        <w:r>
          <w:rPr>
            <w:rFonts w:ascii="仿宋" w:eastAsia="仿宋" w:hAnsi="仿宋" w:cs="仿宋" w:hint="eastAsia"/>
            <w:lang w:eastAsia="zh-CN"/>
          </w:rPr>
          <w:t>(二)、物资管理的措施和办法</w:t>
        </w:r>
        <w:r>
          <w:tab/>
        </w:r>
        <w:r>
          <w:fldChar w:fldCharType="begin"/>
        </w:r>
        <w:r>
          <w:instrText xml:space="preserve"> PAGEREF _Toc16014 \h </w:instrText>
        </w:r>
        <w:r>
          <w:fldChar w:fldCharType="separate"/>
        </w:r>
        <w:r>
          <w:t>5</w:t>
        </w:r>
        <w:r>
          <w:fldChar w:fldCharType="end"/>
        </w:r>
      </w:hyperlink>
    </w:p>
    <w:p>
      <w:pPr>
        <w:pStyle w:val="TOC2"/>
        <w:tabs>
          <w:tab w:val="right" w:leader="dot" w:pos="8306"/>
        </w:tabs>
      </w:pPr>
      <w:hyperlink w:anchor="_Toc28315" w:history="1">
        <w:r>
          <w:rPr>
            <w:rFonts w:ascii="仿宋" w:eastAsia="仿宋" w:hAnsi="仿宋" w:cs="仿宋" w:hint="eastAsia"/>
            <w:lang w:eastAsia="zh-CN"/>
          </w:rPr>
          <w:t>(三)、物资质量和库存的控制和监督</w:t>
        </w:r>
        <w:r>
          <w:tab/>
        </w:r>
        <w:r>
          <w:fldChar w:fldCharType="begin"/>
        </w:r>
        <w:r>
          <w:instrText xml:space="preserve"> PAGEREF _Toc28315 \h </w:instrText>
        </w:r>
        <w:r>
          <w:fldChar w:fldCharType="separate"/>
        </w:r>
        <w:r>
          <w:t>6</w:t>
        </w:r>
        <w:r>
          <w:fldChar w:fldCharType="end"/>
        </w:r>
      </w:hyperlink>
    </w:p>
    <w:p>
      <w:pPr>
        <w:pStyle w:val="TOC1"/>
        <w:tabs>
          <w:tab w:val="right" w:leader="dot" w:pos="8306"/>
        </w:tabs>
      </w:pPr>
      <w:hyperlink w:anchor="_Toc12248" w:history="1">
        <w:r>
          <w:rPr>
            <w:rFonts w:ascii="仿宋" w:eastAsia="仿宋" w:hAnsi="仿宋" w:cs="仿宋" w:hint="eastAsia"/>
            <w:lang w:eastAsia="zh-CN"/>
          </w:rPr>
          <w:t>三、文化内涵和艺术价值</w:t>
        </w:r>
        <w:r>
          <w:tab/>
        </w:r>
        <w:r>
          <w:fldChar w:fldCharType="begin"/>
        </w:r>
        <w:r>
          <w:instrText xml:space="preserve"> PAGEREF _Toc12248 \h </w:instrText>
        </w:r>
        <w:r>
          <w:fldChar w:fldCharType="separate"/>
        </w:r>
        <w:r>
          <w:t>8</w:t>
        </w:r>
        <w:r>
          <w:fldChar w:fldCharType="end"/>
        </w:r>
      </w:hyperlink>
    </w:p>
    <w:p>
      <w:pPr>
        <w:pStyle w:val="TOC2"/>
        <w:tabs>
          <w:tab w:val="right" w:leader="dot" w:pos="8306"/>
        </w:tabs>
      </w:pPr>
      <w:hyperlink w:anchor="_Toc13411" w:history="1">
        <w:r>
          <w:rPr>
            <w:rFonts w:ascii="仿宋" w:eastAsia="仿宋" w:hAnsi="仿宋" w:cs="仿宋" w:hint="eastAsia"/>
            <w:lang w:eastAsia="zh-CN"/>
          </w:rPr>
          <w:t>(一)、红参提取物项目与文化内涵的结合方式</w:t>
        </w:r>
        <w:r>
          <w:tab/>
        </w:r>
        <w:r>
          <w:fldChar w:fldCharType="begin"/>
        </w:r>
        <w:r>
          <w:instrText xml:space="preserve"> PAGEREF _Toc13411 \h </w:instrText>
        </w:r>
        <w:r>
          <w:fldChar w:fldCharType="separate"/>
        </w:r>
        <w:r>
          <w:t>8</w:t>
        </w:r>
        <w:r>
          <w:fldChar w:fldCharType="end"/>
        </w:r>
      </w:hyperlink>
    </w:p>
    <w:p>
      <w:pPr>
        <w:pStyle w:val="TOC2"/>
        <w:tabs>
          <w:tab w:val="right" w:leader="dot" w:pos="8306"/>
        </w:tabs>
      </w:pPr>
      <w:hyperlink w:anchor="_Toc22699" w:history="1">
        <w:r>
          <w:rPr>
            <w:rFonts w:ascii="仿宋" w:eastAsia="仿宋" w:hAnsi="仿宋" w:cs="仿宋" w:hint="eastAsia"/>
            <w:lang w:eastAsia="zh-CN"/>
          </w:rPr>
          <w:t>(二)、红参提取物项目产品的艺术价值分析</w:t>
        </w:r>
        <w:r>
          <w:tab/>
        </w:r>
        <w:r>
          <w:fldChar w:fldCharType="begin"/>
        </w:r>
        <w:r>
          <w:instrText xml:space="preserve"> PAGEREF _Toc22699 \h </w:instrText>
        </w:r>
        <w:r>
          <w:fldChar w:fldCharType="separate"/>
        </w:r>
        <w:r>
          <w:t>8</w:t>
        </w:r>
        <w:r>
          <w:fldChar w:fldCharType="end"/>
        </w:r>
      </w:hyperlink>
    </w:p>
    <w:p>
      <w:pPr>
        <w:pStyle w:val="TOC2"/>
        <w:tabs>
          <w:tab w:val="right" w:leader="dot" w:pos="8306"/>
        </w:tabs>
      </w:pPr>
      <w:hyperlink w:anchor="_Toc30222" w:history="1">
        <w:r>
          <w:rPr>
            <w:rFonts w:ascii="仿宋" w:eastAsia="仿宋" w:hAnsi="仿宋" w:cs="仿宋" w:hint="eastAsia"/>
            <w:lang w:eastAsia="zh-CN"/>
          </w:rPr>
          <w:t>(三)、文化传承和艺术创新的策略探讨</w:t>
        </w:r>
        <w:r>
          <w:tab/>
        </w:r>
        <w:r>
          <w:fldChar w:fldCharType="begin"/>
        </w:r>
        <w:r>
          <w:instrText xml:space="preserve"> PAGEREF _Toc30222 \h </w:instrText>
        </w:r>
        <w:r>
          <w:fldChar w:fldCharType="separate"/>
        </w:r>
        <w:r>
          <w:t>9</w:t>
        </w:r>
        <w:r>
          <w:fldChar w:fldCharType="end"/>
        </w:r>
      </w:hyperlink>
    </w:p>
    <w:p>
      <w:pPr>
        <w:pStyle w:val="TOC1"/>
        <w:tabs>
          <w:tab w:val="right" w:leader="dot" w:pos="8306"/>
        </w:tabs>
      </w:pPr>
      <w:hyperlink w:anchor="_Toc24422" w:history="1">
        <w:r>
          <w:rPr>
            <w:rFonts w:ascii="仿宋" w:eastAsia="仿宋" w:hAnsi="仿宋" w:cs="仿宋" w:hint="eastAsia"/>
            <w:lang w:eastAsia="zh-CN"/>
          </w:rPr>
          <w:t>四、未来市场预测和产品升级</w:t>
        </w:r>
        <w:r>
          <w:tab/>
        </w:r>
        <w:r>
          <w:fldChar w:fldCharType="begin"/>
        </w:r>
        <w:r>
          <w:instrText xml:space="preserve"> PAGEREF _Toc24422 \h </w:instrText>
        </w:r>
        <w:r>
          <w:fldChar w:fldCharType="separate"/>
        </w:r>
        <w:r>
          <w:t>10</w:t>
        </w:r>
        <w:r>
          <w:fldChar w:fldCharType="end"/>
        </w:r>
      </w:hyperlink>
    </w:p>
    <w:p>
      <w:pPr>
        <w:pStyle w:val="TOC2"/>
        <w:tabs>
          <w:tab w:val="right" w:leader="dot" w:pos="8306"/>
        </w:tabs>
      </w:pPr>
      <w:hyperlink w:anchor="_Toc32329" w:history="1">
        <w:r>
          <w:rPr>
            <w:rFonts w:ascii="仿宋" w:eastAsia="仿宋" w:hAnsi="仿宋" w:cs="仿宋" w:hint="eastAsia"/>
            <w:lang w:eastAsia="zh-CN"/>
          </w:rPr>
          <w:t>(一)、未来市场发展趋势和预测</w:t>
        </w:r>
        <w:r>
          <w:tab/>
        </w:r>
        <w:r>
          <w:fldChar w:fldCharType="begin"/>
        </w:r>
        <w:r>
          <w:instrText xml:space="preserve"> PAGEREF _Toc32329 \h </w:instrText>
        </w:r>
        <w:r>
          <w:fldChar w:fldCharType="separate"/>
        </w:r>
        <w:r>
          <w:t>10</w:t>
        </w:r>
        <w:r>
          <w:fldChar w:fldCharType="end"/>
        </w:r>
      </w:hyperlink>
    </w:p>
    <w:p>
      <w:pPr>
        <w:pStyle w:val="TOC2"/>
        <w:tabs>
          <w:tab w:val="right" w:leader="dot" w:pos="8306"/>
        </w:tabs>
      </w:pPr>
      <w:hyperlink w:anchor="_Toc29322" w:history="1">
        <w:r>
          <w:rPr>
            <w:rFonts w:ascii="仿宋" w:eastAsia="仿宋" w:hAnsi="仿宋" w:cs="仿宋" w:hint="eastAsia"/>
            <w:lang w:eastAsia="zh-CN"/>
          </w:rPr>
          <w:t>(二)、产品升级换代和创新的必要性</w:t>
        </w:r>
        <w:r>
          <w:tab/>
        </w:r>
        <w:r>
          <w:fldChar w:fldCharType="begin"/>
        </w:r>
        <w:r>
          <w:instrText xml:space="preserve"> PAGEREF _Toc29322 \h </w:instrText>
        </w:r>
        <w:r>
          <w:fldChar w:fldCharType="separate"/>
        </w:r>
        <w:r>
          <w:t>11</w:t>
        </w:r>
        <w:r>
          <w:fldChar w:fldCharType="end"/>
        </w:r>
      </w:hyperlink>
    </w:p>
    <w:p>
      <w:pPr>
        <w:pStyle w:val="TOC2"/>
        <w:tabs>
          <w:tab w:val="right" w:leader="dot" w:pos="8306"/>
        </w:tabs>
      </w:pPr>
      <w:hyperlink w:anchor="_Toc15864" w:history="1">
        <w:r>
          <w:rPr>
            <w:rFonts w:ascii="仿宋" w:eastAsia="仿宋" w:hAnsi="仿宋" w:cs="仿宋" w:hint="eastAsia"/>
            <w:lang w:eastAsia="zh-CN"/>
          </w:rPr>
          <w:t>(三)、产品升级换代和创新的实施方案</w:t>
        </w:r>
        <w:r>
          <w:tab/>
        </w:r>
        <w:r>
          <w:fldChar w:fldCharType="begin"/>
        </w:r>
        <w:r>
          <w:instrText xml:space="preserve"> PAGEREF _Toc15864 \h </w:instrText>
        </w:r>
        <w:r>
          <w:fldChar w:fldCharType="separate"/>
        </w:r>
        <w:r>
          <w:t>11</w:t>
        </w:r>
        <w:r>
          <w:fldChar w:fldCharType="end"/>
        </w:r>
      </w:hyperlink>
    </w:p>
    <w:p>
      <w:pPr>
        <w:pStyle w:val="TOC1"/>
        <w:tabs>
          <w:tab w:val="right" w:leader="dot" w:pos="8306"/>
        </w:tabs>
      </w:pPr>
      <w:hyperlink w:anchor="_Toc21065" w:history="1">
        <w:r>
          <w:rPr>
            <w:rFonts w:ascii="仿宋" w:eastAsia="仿宋" w:hAnsi="仿宋" w:cs="仿宋" w:hint="eastAsia"/>
            <w:lang w:eastAsia="zh-CN"/>
          </w:rPr>
          <w:t>五、红参提取物项目概论</w:t>
        </w:r>
        <w:r>
          <w:tab/>
        </w:r>
        <w:r>
          <w:fldChar w:fldCharType="begin"/>
        </w:r>
        <w:r>
          <w:instrText xml:space="preserve"> PAGEREF _Toc21065 \h </w:instrText>
        </w:r>
        <w:r>
          <w:fldChar w:fldCharType="separate"/>
        </w:r>
        <w:r>
          <w:t>13</w:t>
        </w:r>
        <w:r>
          <w:fldChar w:fldCharType="end"/>
        </w:r>
      </w:hyperlink>
    </w:p>
    <w:p>
      <w:pPr>
        <w:pStyle w:val="TOC2"/>
        <w:tabs>
          <w:tab w:val="right" w:leader="dot" w:pos="8306"/>
        </w:tabs>
      </w:pPr>
      <w:hyperlink w:anchor="_Toc9209" w:history="1">
        <w:r>
          <w:rPr>
            <w:rFonts w:ascii="仿宋" w:eastAsia="仿宋" w:hAnsi="仿宋" w:cs="仿宋" w:hint="eastAsia"/>
            <w:lang w:eastAsia="zh-CN"/>
          </w:rPr>
          <w:t>(一)、红参提取物项目名称及承办单位</w:t>
        </w:r>
        <w:r>
          <w:tab/>
        </w:r>
        <w:r>
          <w:fldChar w:fldCharType="begin"/>
        </w:r>
        <w:r>
          <w:instrText xml:space="preserve"> PAGEREF _Toc9209 \h </w:instrText>
        </w:r>
        <w:r>
          <w:fldChar w:fldCharType="separate"/>
        </w:r>
        <w:r>
          <w:t>13</w:t>
        </w:r>
        <w:r>
          <w:fldChar w:fldCharType="end"/>
        </w:r>
      </w:hyperlink>
    </w:p>
    <w:p>
      <w:pPr>
        <w:pStyle w:val="TOC2"/>
        <w:tabs>
          <w:tab w:val="right" w:leader="dot" w:pos="8306"/>
        </w:tabs>
      </w:pPr>
      <w:hyperlink w:anchor="_Toc27568" w:history="1">
        <w:r>
          <w:rPr>
            <w:rFonts w:ascii="仿宋" w:eastAsia="仿宋" w:hAnsi="仿宋" w:cs="仿宋" w:hint="eastAsia"/>
            <w:lang w:eastAsia="zh-CN"/>
          </w:rPr>
          <w:t>(二)、红参提取物项目拟建地址</w:t>
        </w:r>
        <w:r>
          <w:tab/>
        </w:r>
        <w:r>
          <w:fldChar w:fldCharType="begin"/>
        </w:r>
        <w:r>
          <w:instrText xml:space="preserve"> PAGEREF _Toc27568 \h </w:instrText>
        </w:r>
        <w:r>
          <w:fldChar w:fldCharType="separate"/>
        </w:r>
        <w:r>
          <w:t>13</w:t>
        </w:r>
        <w:r>
          <w:fldChar w:fldCharType="end"/>
        </w:r>
      </w:hyperlink>
    </w:p>
    <w:p>
      <w:pPr>
        <w:pStyle w:val="TOC2"/>
        <w:tabs>
          <w:tab w:val="right" w:leader="dot" w:pos="8306"/>
        </w:tabs>
      </w:pPr>
      <w:hyperlink w:anchor="_Toc25634" w:history="1">
        <w:r>
          <w:rPr>
            <w:rFonts w:ascii="仿宋" w:eastAsia="仿宋" w:hAnsi="仿宋" w:cs="仿宋" w:hint="eastAsia"/>
            <w:lang w:eastAsia="zh-CN"/>
          </w:rPr>
          <w:t>(三)、红参提取物项目提出的背景</w:t>
        </w:r>
        <w:r>
          <w:tab/>
        </w:r>
        <w:r>
          <w:fldChar w:fldCharType="begin"/>
        </w:r>
        <w:r>
          <w:instrText xml:space="preserve"> PAGEREF _Toc25634 \h </w:instrText>
        </w:r>
        <w:r>
          <w:fldChar w:fldCharType="separate"/>
        </w:r>
        <w:r>
          <w:t>14</w:t>
        </w:r>
        <w:r>
          <w:fldChar w:fldCharType="end"/>
        </w:r>
      </w:hyperlink>
    </w:p>
    <w:p>
      <w:pPr>
        <w:pStyle w:val="TOC2"/>
        <w:tabs>
          <w:tab w:val="right" w:leader="dot" w:pos="8306"/>
        </w:tabs>
      </w:pPr>
      <w:hyperlink w:anchor="_Toc14906" w:history="1">
        <w:r>
          <w:rPr>
            <w:rFonts w:ascii="仿宋" w:eastAsia="仿宋" w:hAnsi="仿宋" w:cs="仿宋" w:hint="eastAsia"/>
            <w:lang w:eastAsia="zh-CN"/>
          </w:rPr>
          <w:t>(四)、报告研究范围</w:t>
        </w:r>
        <w:r>
          <w:tab/>
        </w:r>
        <w:r>
          <w:fldChar w:fldCharType="begin"/>
        </w:r>
        <w:r>
          <w:instrText xml:space="preserve"> PAGEREF _Toc14906 \h </w:instrText>
        </w:r>
        <w:r>
          <w:fldChar w:fldCharType="separate"/>
        </w:r>
        <w:r>
          <w:t>15</w:t>
        </w:r>
        <w:r>
          <w:fldChar w:fldCharType="end"/>
        </w:r>
      </w:hyperlink>
    </w:p>
    <w:p>
      <w:pPr>
        <w:pStyle w:val="TOC2"/>
        <w:tabs>
          <w:tab w:val="right" w:leader="dot" w:pos="8306"/>
        </w:tabs>
      </w:pPr>
      <w:hyperlink w:anchor="_Toc12056" w:history="1">
        <w:r>
          <w:rPr>
            <w:rFonts w:ascii="仿宋" w:eastAsia="仿宋" w:hAnsi="仿宋" w:cs="仿宋" w:hint="eastAsia"/>
            <w:lang w:eastAsia="zh-CN"/>
          </w:rPr>
          <w:t>(五)、红参提取物项目建设必要性分析</w:t>
        </w:r>
        <w:r>
          <w:tab/>
        </w:r>
        <w:r>
          <w:fldChar w:fldCharType="begin"/>
        </w:r>
        <w:r>
          <w:instrText xml:space="preserve"> PAGEREF _Toc12056 \h </w:instrText>
        </w:r>
        <w:r>
          <w:fldChar w:fldCharType="separate"/>
        </w:r>
        <w:r>
          <w:t>16</w:t>
        </w:r>
        <w:r>
          <w:fldChar w:fldCharType="end"/>
        </w:r>
      </w:hyperlink>
    </w:p>
    <w:p>
      <w:pPr>
        <w:pStyle w:val="TOC2"/>
        <w:tabs>
          <w:tab w:val="right" w:leader="dot" w:pos="8306"/>
        </w:tabs>
      </w:pPr>
      <w:hyperlink w:anchor="_Toc2752" w:history="1">
        <w:r>
          <w:rPr>
            <w:rFonts w:ascii="仿宋" w:eastAsia="仿宋" w:hAnsi="仿宋" w:cs="仿宋" w:hint="eastAsia"/>
            <w:lang w:eastAsia="zh-CN"/>
          </w:rPr>
          <w:t>(六)、产品方案</w:t>
        </w:r>
        <w:r>
          <w:tab/>
        </w:r>
        <w:r>
          <w:fldChar w:fldCharType="begin"/>
        </w:r>
        <w:r>
          <w:instrText xml:space="preserve"> PAGEREF _Toc2752 \h </w:instrText>
        </w:r>
        <w:r>
          <w:fldChar w:fldCharType="separate"/>
        </w:r>
        <w:r>
          <w:t>16</w:t>
        </w:r>
        <w:r>
          <w:fldChar w:fldCharType="end"/>
        </w:r>
      </w:hyperlink>
    </w:p>
    <w:p>
      <w:pPr>
        <w:pStyle w:val="TOC2"/>
        <w:tabs>
          <w:tab w:val="right" w:leader="dot" w:pos="8306"/>
        </w:tabs>
      </w:pPr>
      <w:hyperlink w:anchor="_Toc10733" w:history="1">
        <w:r>
          <w:rPr>
            <w:rFonts w:ascii="仿宋" w:eastAsia="仿宋" w:hAnsi="仿宋" w:cs="仿宋" w:hint="eastAsia"/>
            <w:lang w:eastAsia="zh-CN"/>
          </w:rPr>
          <w:t>(七)、红参提取物项目总投资估算</w:t>
        </w:r>
        <w:r>
          <w:tab/>
        </w:r>
        <w:r>
          <w:fldChar w:fldCharType="begin"/>
        </w:r>
        <w:r>
          <w:instrText xml:space="preserve"> PAGEREF _Toc10733 \h </w:instrText>
        </w:r>
        <w:r>
          <w:fldChar w:fldCharType="separate"/>
        </w:r>
        <w:r>
          <w:t>17</w:t>
        </w:r>
        <w:r>
          <w:fldChar w:fldCharType="end"/>
        </w:r>
      </w:hyperlink>
    </w:p>
    <w:p>
      <w:pPr>
        <w:pStyle w:val="TOC2"/>
        <w:tabs>
          <w:tab w:val="right" w:leader="dot" w:pos="8306"/>
        </w:tabs>
      </w:pPr>
      <w:hyperlink w:anchor="_Toc21287" w:history="1">
        <w:r>
          <w:rPr>
            <w:rFonts w:ascii="仿宋" w:eastAsia="仿宋" w:hAnsi="仿宋" w:cs="仿宋" w:hint="eastAsia"/>
            <w:lang w:eastAsia="zh-CN"/>
          </w:rPr>
          <w:t>(八)、红参提取物项目工艺技术装备方案的选择</w:t>
        </w:r>
        <w:r>
          <w:tab/>
        </w:r>
        <w:r>
          <w:fldChar w:fldCharType="begin"/>
        </w:r>
        <w:r>
          <w:instrText xml:space="preserve"> PAGEREF _Toc21287 \h </w:instrText>
        </w:r>
        <w:r>
          <w:fldChar w:fldCharType="separate"/>
        </w:r>
        <w:r>
          <w:t>17</w:t>
        </w:r>
        <w:r>
          <w:fldChar w:fldCharType="end"/>
        </w:r>
      </w:hyperlink>
    </w:p>
    <w:p>
      <w:pPr>
        <w:pStyle w:val="TOC2"/>
        <w:tabs>
          <w:tab w:val="right" w:leader="dot" w:pos="8306"/>
        </w:tabs>
      </w:pPr>
      <w:hyperlink w:anchor="_Toc11179" w:history="1">
        <w:r>
          <w:rPr>
            <w:rFonts w:ascii="仿宋" w:eastAsia="仿宋" w:hAnsi="仿宋" w:cs="仿宋" w:hint="eastAsia"/>
            <w:lang w:eastAsia="zh-CN"/>
          </w:rPr>
          <w:t>(九)、红参提取物项目实施进度建议</w:t>
        </w:r>
        <w:r>
          <w:tab/>
        </w:r>
        <w:r>
          <w:fldChar w:fldCharType="begin"/>
        </w:r>
        <w:r>
          <w:instrText xml:space="preserve"> PAGEREF _Toc11179 \h </w:instrText>
        </w:r>
        <w:r>
          <w:fldChar w:fldCharType="separate"/>
        </w:r>
        <w:r>
          <w:t>17</w:t>
        </w:r>
        <w:r>
          <w:fldChar w:fldCharType="end"/>
        </w:r>
      </w:hyperlink>
    </w:p>
    <w:p>
      <w:pPr>
        <w:pStyle w:val="TOC2"/>
        <w:tabs>
          <w:tab w:val="right" w:leader="dot" w:pos="8306"/>
        </w:tabs>
      </w:pPr>
      <w:hyperlink w:anchor="_Toc11319" w:history="1">
        <w:r>
          <w:rPr>
            <w:rFonts w:ascii="仿宋" w:eastAsia="仿宋" w:hAnsi="仿宋" w:cs="仿宋" w:hint="eastAsia"/>
            <w:lang w:eastAsia="zh-CN"/>
          </w:rPr>
          <w:t>(十)、红参提取物相关研究结论</w:t>
        </w:r>
        <w:r>
          <w:tab/>
        </w:r>
        <w:r>
          <w:fldChar w:fldCharType="begin"/>
        </w:r>
        <w:r>
          <w:instrText xml:space="preserve"> PAGEREF _Toc11319 \h </w:instrText>
        </w:r>
        <w:r>
          <w:fldChar w:fldCharType="separate"/>
        </w:r>
        <w:r>
          <w:t>17</w:t>
        </w:r>
        <w:r>
          <w:fldChar w:fldCharType="end"/>
        </w:r>
      </w:hyperlink>
    </w:p>
    <w:p>
      <w:pPr>
        <w:pStyle w:val="TOC2"/>
        <w:tabs>
          <w:tab w:val="right" w:leader="dot" w:pos="8306"/>
        </w:tabs>
      </w:pPr>
      <w:hyperlink w:anchor="_Toc14390" w:history="1">
        <w:r>
          <w:rPr>
            <w:rFonts w:ascii="仿宋" w:eastAsia="仿宋" w:hAnsi="仿宋" w:cs="仿宋" w:hint="eastAsia"/>
            <w:lang w:eastAsia="zh-CN"/>
          </w:rPr>
          <w:t>(十一)、红参提取物项目规划及市场分析</w:t>
        </w:r>
        <w:r>
          <w:tab/>
        </w:r>
        <w:r>
          <w:fldChar w:fldCharType="begin"/>
        </w:r>
        <w:r>
          <w:instrText xml:space="preserve"> PAGEREF _Toc14390 \h </w:instrText>
        </w:r>
        <w:r>
          <w:fldChar w:fldCharType="separate"/>
        </w:r>
        <w:r>
          <w:t>18</w:t>
        </w:r>
        <w:r>
          <w:fldChar w:fldCharType="end"/>
        </w:r>
      </w:hyperlink>
    </w:p>
    <w:p>
      <w:pPr>
        <w:pStyle w:val="TOC1"/>
        <w:tabs>
          <w:tab w:val="right" w:leader="dot" w:pos="8306"/>
        </w:tabs>
      </w:pPr>
      <w:hyperlink w:anchor="_Toc10118" w:history="1">
        <w:r>
          <w:rPr>
            <w:rFonts w:ascii="仿宋" w:eastAsia="仿宋" w:hAnsi="仿宋" w:cs="仿宋" w:hint="eastAsia"/>
            <w:lang w:eastAsia="zh-CN"/>
          </w:rPr>
          <w:t>六、红参提取物可行性项目环境保护</w:t>
        </w:r>
        <w:r>
          <w:tab/>
        </w:r>
        <w:r>
          <w:fldChar w:fldCharType="begin"/>
        </w:r>
        <w:r>
          <w:instrText xml:space="preserve"> PAGEREF _Toc10118 \h </w:instrText>
        </w:r>
        <w:r>
          <w:fldChar w:fldCharType="separate"/>
        </w:r>
        <w:r>
          <w:t>18</w:t>
        </w:r>
        <w:r>
          <w:fldChar w:fldCharType="end"/>
        </w:r>
      </w:hyperlink>
    </w:p>
    <w:p>
      <w:pPr>
        <w:pStyle w:val="TOC2"/>
        <w:tabs>
          <w:tab w:val="right" w:leader="dot" w:pos="8306"/>
        </w:tabs>
      </w:pPr>
      <w:hyperlink w:anchor="_Toc11042" w:history="1">
        <w:r>
          <w:rPr>
            <w:rFonts w:ascii="仿宋" w:eastAsia="仿宋" w:hAnsi="仿宋" w:cs="仿宋" w:hint="eastAsia"/>
            <w:lang w:eastAsia="zh-CN"/>
          </w:rPr>
          <w:t>(一)、红参提取物项目污染物的来源</w:t>
        </w:r>
        <w:r>
          <w:tab/>
        </w:r>
        <w:r>
          <w:fldChar w:fldCharType="begin"/>
        </w:r>
        <w:r>
          <w:instrText xml:space="preserve"> PAGEREF _Toc11042 \h </w:instrText>
        </w:r>
        <w:r>
          <w:fldChar w:fldCharType="separate"/>
        </w:r>
        <w:r>
          <w:t>18</w:t>
        </w:r>
        <w:r>
          <w:fldChar w:fldCharType="end"/>
        </w:r>
      </w:hyperlink>
    </w:p>
    <w:p>
      <w:pPr>
        <w:pStyle w:val="TOC2"/>
        <w:tabs>
          <w:tab w:val="right" w:leader="dot" w:pos="8306"/>
        </w:tabs>
      </w:pPr>
      <w:hyperlink w:anchor="_Toc18777" w:history="1">
        <w:r>
          <w:rPr>
            <w:rFonts w:ascii="仿宋" w:eastAsia="仿宋" w:hAnsi="仿宋" w:cs="仿宋" w:hint="eastAsia"/>
            <w:lang w:eastAsia="zh-CN"/>
          </w:rPr>
          <w:t>(二)、红参提取物项目污染物的治理</w:t>
        </w:r>
        <w:r>
          <w:tab/>
        </w:r>
        <w:r>
          <w:fldChar w:fldCharType="begin"/>
        </w:r>
        <w:r>
          <w:instrText xml:space="preserve"> PAGEREF _Toc18777 \h </w:instrText>
        </w:r>
        <w:r>
          <w:fldChar w:fldCharType="separate"/>
        </w:r>
        <w:r>
          <w:t>19</w:t>
        </w:r>
        <w:r>
          <w:fldChar w:fldCharType="end"/>
        </w:r>
      </w:hyperlink>
    </w:p>
    <w:p>
      <w:pPr>
        <w:pStyle w:val="TOC2"/>
        <w:tabs>
          <w:tab w:val="right" w:leader="dot" w:pos="8306"/>
        </w:tabs>
      </w:pPr>
      <w:hyperlink w:anchor="_Toc23164" w:history="1">
        <w:r>
          <w:rPr>
            <w:rFonts w:ascii="仿宋" w:eastAsia="仿宋" w:hAnsi="仿宋" w:cs="仿宋" w:hint="eastAsia"/>
            <w:lang w:eastAsia="zh-CN"/>
          </w:rPr>
          <w:t>(三)、红参提取物项目环境保护结论</w:t>
        </w:r>
        <w:r>
          <w:tab/>
        </w:r>
        <w:r>
          <w:fldChar w:fldCharType="begin"/>
        </w:r>
        <w:r>
          <w:instrText xml:space="preserve"> PAGEREF _Toc23164 \h </w:instrText>
        </w:r>
        <w:r>
          <w:fldChar w:fldCharType="separate"/>
        </w:r>
        <w:r>
          <w:t>21</w:t>
        </w:r>
        <w:r>
          <w:fldChar w:fldCharType="end"/>
        </w:r>
      </w:hyperlink>
    </w:p>
    <w:p>
      <w:pPr>
        <w:pStyle w:val="TOC1"/>
        <w:tabs>
          <w:tab w:val="right" w:leader="dot" w:pos="8306"/>
        </w:tabs>
      </w:pPr>
      <w:hyperlink w:anchor="_Toc28393" w:history="1">
        <w:r>
          <w:rPr>
            <w:rFonts w:ascii="仿宋" w:eastAsia="仿宋" w:hAnsi="仿宋" w:cs="仿宋" w:hint="eastAsia"/>
            <w:lang w:eastAsia="zh-CN"/>
          </w:rPr>
          <w:t>七、未来发展趋势和战略规划</w:t>
        </w:r>
        <w:r>
          <w:tab/>
        </w:r>
        <w:r>
          <w:fldChar w:fldCharType="begin"/>
        </w:r>
        <w:r>
          <w:instrText xml:space="preserve"> PAGEREF _Toc28393 \h </w:instrText>
        </w:r>
        <w:r>
          <w:fldChar w:fldCharType="separate"/>
        </w:r>
        <w:r>
          <w:t>22</w:t>
        </w:r>
        <w:r>
          <w:fldChar w:fldCharType="end"/>
        </w:r>
      </w:hyperlink>
    </w:p>
    <w:p>
      <w:pPr>
        <w:pStyle w:val="TOC2"/>
        <w:tabs>
          <w:tab w:val="right" w:leader="dot" w:pos="8306"/>
        </w:tabs>
      </w:pPr>
      <w:hyperlink w:anchor="_Toc30869" w:history="1">
        <w:r>
          <w:rPr>
            <w:rFonts w:ascii="仿宋" w:eastAsia="仿宋" w:hAnsi="仿宋" w:cs="仿宋" w:hint="eastAsia"/>
            <w:lang w:eastAsia="zh-CN"/>
          </w:rPr>
          <w:t>(一)、红参提取物行业未来发展趋势的预测</w:t>
        </w:r>
        <w:r>
          <w:tab/>
        </w:r>
        <w:r>
          <w:fldChar w:fldCharType="begin"/>
        </w:r>
        <w:r>
          <w:instrText xml:space="preserve"> PAGEREF _Toc30869 \h </w:instrText>
        </w:r>
        <w:r>
          <w:fldChar w:fldCharType="separate"/>
        </w:r>
        <w:r>
          <w:t>22</w:t>
        </w:r>
        <w:r>
          <w:fldChar w:fldCharType="end"/>
        </w:r>
      </w:hyperlink>
    </w:p>
    <w:p>
      <w:pPr>
        <w:pStyle w:val="TOC2"/>
        <w:tabs>
          <w:tab w:val="right" w:leader="dot" w:pos="8306"/>
        </w:tabs>
      </w:pPr>
      <w:hyperlink w:anchor="_Toc27500" w:history="1">
        <w:r>
          <w:rPr>
            <w:rFonts w:ascii="仿宋" w:eastAsia="仿宋" w:hAnsi="仿宋" w:cs="仿宋" w:hint="eastAsia"/>
            <w:lang w:eastAsia="zh-CN"/>
          </w:rPr>
          <w:t>(二)、红参提取物项目产品在未来的发展和规划</w:t>
        </w:r>
        <w:r>
          <w:tab/>
        </w:r>
        <w:r>
          <w:fldChar w:fldCharType="begin"/>
        </w:r>
        <w:r>
          <w:instrText xml:space="preserve"> PAGEREF _Toc27500 \h </w:instrText>
        </w:r>
        <w:r>
          <w:fldChar w:fldCharType="separate"/>
        </w:r>
        <w:r>
          <w:t>23</w:t>
        </w:r>
        <w:r>
          <w:fldChar w:fldCharType="end"/>
        </w:r>
      </w:hyperlink>
    </w:p>
    <w:p>
      <w:pPr>
        <w:pStyle w:val="TOC2"/>
        <w:tabs>
          <w:tab w:val="right" w:leader="dot" w:pos="8306"/>
        </w:tabs>
      </w:pPr>
      <w:hyperlink w:anchor="_Toc30021" w:history="1">
        <w:r>
          <w:rPr>
            <w:rFonts w:ascii="仿宋" w:eastAsia="仿宋" w:hAnsi="仿宋" w:cs="仿宋" w:hint="eastAsia"/>
            <w:lang w:eastAsia="zh-CN"/>
          </w:rPr>
          <w:t>(三)、红参提取物项目的战略规划和实施方案</w:t>
        </w:r>
        <w:r>
          <w:tab/>
        </w:r>
        <w:r>
          <w:fldChar w:fldCharType="begin"/>
        </w:r>
        <w:r>
          <w:instrText xml:space="preserve"> PAGEREF _Toc30021 \h </w:instrText>
        </w:r>
        <w:r>
          <w:fldChar w:fldCharType="separate"/>
        </w:r>
        <w:r>
          <w:t>24</w:t>
        </w:r>
        <w:r>
          <w:fldChar w:fldCharType="end"/>
        </w:r>
      </w:hyperlink>
    </w:p>
    <w:p>
      <w:pPr>
        <w:pStyle w:val="TOC1"/>
        <w:tabs>
          <w:tab w:val="right" w:leader="dot" w:pos="8306"/>
        </w:tabs>
      </w:pPr>
      <w:hyperlink w:anchor="_Toc15058" w:history="1">
        <w:r>
          <w:rPr>
            <w:rFonts w:ascii="仿宋" w:eastAsia="仿宋" w:hAnsi="仿宋" w:cs="仿宋" w:hint="eastAsia"/>
            <w:lang w:eastAsia="zh-CN"/>
          </w:rPr>
          <w:t>八、社会责任和可持续发展</w:t>
        </w:r>
        <w:r>
          <w:tab/>
        </w:r>
        <w:r>
          <w:fldChar w:fldCharType="begin"/>
        </w:r>
        <w:r>
          <w:instrText xml:space="preserve"> PAGEREF _Toc15058 \h </w:instrText>
        </w:r>
        <w:r>
          <w:fldChar w:fldCharType="separate"/>
        </w:r>
        <w:r>
          <w:t>26</w:t>
        </w:r>
        <w:r>
          <w:fldChar w:fldCharType="end"/>
        </w:r>
      </w:hyperlink>
    </w:p>
    <w:p>
      <w:pPr>
        <w:pStyle w:val="TOC2"/>
        <w:tabs>
          <w:tab w:val="right" w:leader="dot" w:pos="8306"/>
        </w:tabs>
      </w:pPr>
      <w:hyperlink w:anchor="_Toc25165" w:history="1">
        <w:r>
          <w:rPr>
            <w:rFonts w:ascii="仿宋" w:eastAsia="仿宋" w:hAnsi="仿宋" w:cs="仿宋" w:hint="eastAsia"/>
            <w:lang w:eastAsia="zh-CN"/>
          </w:rPr>
          <w:t>(一)、红参提取物项目对社会责任的承担和履行</w:t>
        </w:r>
        <w:r>
          <w:tab/>
        </w:r>
        <w:r>
          <w:fldChar w:fldCharType="begin"/>
        </w:r>
        <w:r>
          <w:instrText xml:space="preserve"> PAGEREF _Toc25165 \h </w:instrText>
        </w:r>
        <w:r>
          <w:fldChar w:fldCharType="separate"/>
        </w:r>
        <w:r>
          <w:t>26</w:t>
        </w:r>
        <w:r>
          <w:fldChar w:fldCharType="end"/>
        </w:r>
      </w:hyperlink>
    </w:p>
    <w:p>
      <w:pPr>
        <w:pStyle w:val="TOC2"/>
        <w:tabs>
          <w:tab w:val="right" w:leader="dot" w:pos="8306"/>
        </w:tabs>
      </w:pPr>
      <w:hyperlink w:anchor="_Toc24355" w:history="1">
        <w:r>
          <w:rPr>
            <w:rFonts w:ascii="仿宋" w:eastAsia="仿宋" w:hAnsi="仿宋" w:cs="仿宋" w:hint="eastAsia"/>
            <w:lang w:eastAsia="zh-CN"/>
          </w:rPr>
          <w:t>(二)、可持续发展的目标和实施方案</w:t>
        </w:r>
        <w:r>
          <w:tab/>
        </w:r>
        <w:r>
          <w:fldChar w:fldCharType="begin"/>
        </w:r>
        <w:r>
          <w:instrText xml:space="preserve"> PAGEREF _Toc24355 \h </w:instrText>
        </w:r>
        <w:r>
          <w:fldChar w:fldCharType="separate"/>
        </w:r>
        <w:r>
          <w:t>26</w:t>
        </w:r>
        <w:r>
          <w:fldChar w:fldCharType="end"/>
        </w:r>
      </w:hyperlink>
    </w:p>
    <w:p>
      <w:pPr>
        <w:pStyle w:val="TOC2"/>
        <w:tabs>
          <w:tab w:val="right" w:leader="dot" w:pos="8306"/>
        </w:tabs>
      </w:pPr>
      <w:hyperlink w:anchor="_Toc15293" w:history="1">
        <w:r>
          <w:rPr>
            <w:rFonts w:ascii="仿宋" w:eastAsia="仿宋" w:hAnsi="仿宋" w:cs="仿宋" w:hint="eastAsia"/>
            <w:lang w:eastAsia="zh-CN"/>
          </w:rPr>
          <w:t>(三)、环境保护和社会公益的结合方案</w:t>
        </w:r>
        <w:r>
          <w:tab/>
        </w:r>
        <w:r>
          <w:fldChar w:fldCharType="begin"/>
        </w:r>
        <w:r>
          <w:instrText xml:space="preserve"> PAGEREF _Toc15293 \h </w:instrText>
        </w:r>
        <w:r>
          <w:fldChar w:fldCharType="separate"/>
        </w:r>
        <w:r>
          <w:t>27</w:t>
        </w:r>
        <w:r>
          <w:fldChar w:fldCharType="end"/>
        </w:r>
      </w:hyperlink>
    </w:p>
    <w:p>
      <w:pPr>
        <w:pStyle w:val="TOC1"/>
        <w:tabs>
          <w:tab w:val="right" w:leader="dot" w:pos="8306"/>
        </w:tabs>
      </w:pPr>
      <w:hyperlink w:anchor="_Toc26057" w:history="1">
        <w:r>
          <w:rPr>
            <w:rFonts w:ascii="仿宋" w:eastAsia="仿宋" w:hAnsi="仿宋" w:cs="仿宋" w:hint="eastAsia"/>
            <w:lang w:eastAsia="zh-CN"/>
          </w:rPr>
          <w:t>九、技术创新和研发成果转化</w:t>
        </w:r>
        <w:r>
          <w:tab/>
        </w:r>
        <w:r>
          <w:fldChar w:fldCharType="begin"/>
        </w:r>
        <w:r>
          <w:instrText xml:space="preserve"> PAGEREF _Toc26057 \h </w:instrText>
        </w:r>
        <w:r>
          <w:fldChar w:fldCharType="separate"/>
        </w:r>
        <w:r>
          <w:t>28</w:t>
        </w:r>
        <w:r>
          <w:fldChar w:fldCharType="end"/>
        </w:r>
      </w:hyperlink>
    </w:p>
    <w:p>
      <w:pPr>
        <w:pStyle w:val="TOC2"/>
        <w:tabs>
          <w:tab w:val="right" w:leader="dot" w:pos="8306"/>
        </w:tabs>
      </w:pPr>
      <w:hyperlink w:anchor="_Toc15494" w:history="1">
        <w:r>
          <w:rPr>
            <w:rFonts w:ascii="仿宋" w:eastAsia="仿宋" w:hAnsi="仿宋" w:cs="仿宋" w:hint="eastAsia"/>
            <w:lang w:eastAsia="zh-CN"/>
          </w:rPr>
          <w:t>(一)、技术创新的目标和途径</w:t>
        </w:r>
        <w:r>
          <w:tab/>
        </w:r>
        <w:r>
          <w:fldChar w:fldCharType="begin"/>
        </w:r>
        <w:r>
          <w:instrText xml:space="preserve"> PAGEREF _Toc15494 \h </w:instrText>
        </w:r>
        <w:r>
          <w:fldChar w:fldCharType="separate"/>
        </w:r>
        <w:r>
          <w:t>28</w:t>
        </w:r>
        <w:r>
          <w:fldChar w:fldCharType="end"/>
        </w:r>
      </w:hyperlink>
    </w:p>
    <w:p>
      <w:pPr>
        <w:pStyle w:val="TOC2"/>
        <w:tabs>
          <w:tab w:val="right" w:leader="dot" w:pos="8306"/>
        </w:tabs>
      </w:pPr>
      <w:hyperlink w:anchor="_Toc15453" w:history="1">
        <w:r>
          <w:rPr>
            <w:rFonts w:ascii="仿宋" w:eastAsia="仿宋" w:hAnsi="仿宋" w:cs="仿宋" w:hint="eastAsia"/>
            <w:lang w:eastAsia="zh-CN"/>
          </w:rPr>
          <w:t>(二)、研发成果转化的流程和机制</w:t>
        </w:r>
        <w:r>
          <w:tab/>
        </w:r>
        <w:r>
          <w:fldChar w:fldCharType="begin"/>
        </w:r>
        <w:r>
          <w:instrText xml:space="preserve"> PAGEREF _Toc15453 \h </w:instrText>
        </w:r>
        <w:r>
          <w:fldChar w:fldCharType="separate"/>
        </w:r>
        <w:r>
          <w:t>29</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26785" w:history="1">
        <w:r>
          <w:rPr>
            <w:rFonts w:ascii="仿宋" w:eastAsia="仿宋" w:hAnsi="仿宋" w:cs="仿宋" w:hint="eastAsia"/>
            <w:lang w:eastAsia="zh-CN"/>
          </w:rPr>
          <w:t>(三)、技术创新和研发成果转化的风险控制</w:t>
        </w:r>
        <w:r>
          <w:tab/>
        </w:r>
        <w:r>
          <w:fldChar w:fldCharType="begin"/>
        </w:r>
        <w:r>
          <w:instrText xml:space="preserve"> PAGEREF _Toc26785 \h </w:instrText>
        </w:r>
        <w:r>
          <w:fldChar w:fldCharType="separate"/>
        </w:r>
        <w:r>
          <w:t>31</w:t>
        </w:r>
        <w:r>
          <w:fldChar w:fldCharType="end"/>
        </w:r>
      </w:hyperlink>
    </w:p>
    <w:p>
      <w:pPr>
        <w:pStyle w:val="TOC1"/>
        <w:tabs>
          <w:tab w:val="right" w:leader="dot" w:pos="8306"/>
        </w:tabs>
      </w:pPr>
      <w:hyperlink w:anchor="_Toc30893" w:history="1">
        <w:r>
          <w:rPr>
            <w:rFonts w:ascii="仿宋" w:eastAsia="仿宋" w:hAnsi="仿宋" w:cs="仿宋" w:hint="eastAsia"/>
            <w:lang w:eastAsia="zh-CN"/>
          </w:rPr>
          <w:t>十、人力资源管理和开发计划</w:t>
        </w:r>
        <w:r>
          <w:tab/>
        </w:r>
        <w:r>
          <w:fldChar w:fldCharType="begin"/>
        </w:r>
        <w:r>
          <w:instrText xml:space="preserve"> PAGEREF _Toc30893 \h </w:instrText>
        </w:r>
        <w:r>
          <w:fldChar w:fldCharType="separate"/>
        </w:r>
        <w:r>
          <w:t>33</w:t>
        </w:r>
        <w:r>
          <w:fldChar w:fldCharType="end"/>
        </w:r>
      </w:hyperlink>
    </w:p>
    <w:p>
      <w:pPr>
        <w:pStyle w:val="TOC2"/>
        <w:tabs>
          <w:tab w:val="right" w:leader="dot" w:pos="8306"/>
        </w:tabs>
      </w:pPr>
      <w:hyperlink w:anchor="_Toc371" w:history="1">
        <w:r>
          <w:rPr>
            <w:rFonts w:ascii="仿宋" w:eastAsia="仿宋" w:hAnsi="仿宋" w:cs="仿宋" w:hint="eastAsia"/>
            <w:lang w:eastAsia="zh-CN"/>
          </w:rPr>
          <w:t>(一)、人力资源管理的目标和原则</w:t>
        </w:r>
        <w:r>
          <w:tab/>
        </w:r>
        <w:r>
          <w:fldChar w:fldCharType="begin"/>
        </w:r>
        <w:r>
          <w:instrText xml:space="preserve"> PAGEREF _Toc371 \h </w:instrText>
        </w:r>
        <w:r>
          <w:fldChar w:fldCharType="separate"/>
        </w:r>
        <w:r>
          <w:t>33</w:t>
        </w:r>
        <w:r>
          <w:fldChar w:fldCharType="end"/>
        </w:r>
      </w:hyperlink>
    </w:p>
    <w:p>
      <w:pPr>
        <w:pStyle w:val="TOC2"/>
        <w:tabs>
          <w:tab w:val="right" w:leader="dot" w:pos="8306"/>
        </w:tabs>
      </w:pPr>
      <w:hyperlink w:anchor="_Toc5648" w:history="1">
        <w:r>
          <w:rPr>
            <w:rFonts w:ascii="仿宋" w:eastAsia="仿宋" w:hAnsi="仿宋" w:cs="仿宋" w:hint="eastAsia"/>
            <w:lang w:eastAsia="zh-CN"/>
          </w:rPr>
          <w:t>(二)、人力资源开发的方案和实施</w:t>
        </w:r>
        <w:r>
          <w:tab/>
        </w:r>
        <w:r>
          <w:fldChar w:fldCharType="begin"/>
        </w:r>
        <w:r>
          <w:instrText xml:space="preserve"> PAGEREF _Toc5648 \h </w:instrText>
        </w:r>
        <w:r>
          <w:fldChar w:fldCharType="separate"/>
        </w:r>
        <w:r>
          <w:t>34</w:t>
        </w:r>
        <w:r>
          <w:fldChar w:fldCharType="end"/>
        </w:r>
      </w:hyperlink>
    </w:p>
    <w:p>
      <w:pPr>
        <w:pStyle w:val="TOC2"/>
        <w:tabs>
          <w:tab w:val="right" w:leader="dot" w:pos="8306"/>
        </w:tabs>
      </w:pPr>
      <w:hyperlink w:anchor="_Toc32347" w:history="1">
        <w:r>
          <w:rPr>
            <w:rFonts w:ascii="仿宋" w:eastAsia="仿宋" w:hAnsi="仿宋" w:cs="仿宋" w:hint="eastAsia"/>
            <w:lang w:eastAsia="zh-CN"/>
          </w:rPr>
          <w:t>(三)、人力资源考核和激励机制的建立</w:t>
        </w:r>
        <w:r>
          <w:tab/>
        </w:r>
        <w:r>
          <w:fldChar w:fldCharType="begin"/>
        </w:r>
        <w:r>
          <w:instrText xml:space="preserve"> PAGEREF _Toc32347 \h </w:instrText>
        </w:r>
        <w:r>
          <w:fldChar w:fldCharType="separate"/>
        </w:r>
        <w:r>
          <w:t>36</w:t>
        </w:r>
        <w:r>
          <w:fldChar w:fldCharType="end"/>
        </w:r>
      </w:hyperlink>
    </w:p>
    <w:p>
      <w:pPr>
        <w:pStyle w:val="TOC1"/>
        <w:tabs>
          <w:tab w:val="right" w:leader="dot" w:pos="8306"/>
        </w:tabs>
      </w:pPr>
      <w:hyperlink w:anchor="_Toc31304" w:history="1">
        <w:r>
          <w:rPr>
            <w:rFonts w:ascii="仿宋" w:eastAsia="仿宋" w:hAnsi="仿宋" w:cs="仿宋" w:hint="eastAsia"/>
            <w:lang w:eastAsia="zh-CN"/>
          </w:rPr>
          <w:t>十一、客户服务和消费者权益保护</w:t>
        </w:r>
        <w:r>
          <w:tab/>
        </w:r>
        <w:r>
          <w:fldChar w:fldCharType="begin"/>
        </w:r>
        <w:r>
          <w:instrText xml:space="preserve"> PAGEREF _Toc31304 \h </w:instrText>
        </w:r>
        <w:r>
          <w:fldChar w:fldCharType="separate"/>
        </w:r>
        <w:r>
          <w:t>38</w:t>
        </w:r>
        <w:r>
          <w:fldChar w:fldCharType="end"/>
        </w:r>
      </w:hyperlink>
    </w:p>
    <w:p>
      <w:pPr>
        <w:pStyle w:val="TOC2"/>
        <w:tabs>
          <w:tab w:val="right" w:leader="dot" w:pos="8306"/>
        </w:tabs>
      </w:pPr>
      <w:hyperlink w:anchor="_Toc12931" w:history="1">
        <w:r>
          <w:rPr>
            <w:rFonts w:ascii="仿宋" w:eastAsia="仿宋" w:hAnsi="仿宋" w:cs="仿宋" w:hint="eastAsia"/>
            <w:lang w:eastAsia="zh-CN"/>
          </w:rPr>
          <w:t>(一)、客户服务的标准和流程</w:t>
        </w:r>
        <w:r>
          <w:tab/>
        </w:r>
        <w:r>
          <w:fldChar w:fldCharType="begin"/>
        </w:r>
        <w:r>
          <w:instrText xml:space="preserve"> PAGEREF _Toc12931 \h </w:instrText>
        </w:r>
        <w:r>
          <w:fldChar w:fldCharType="separate"/>
        </w:r>
        <w:r>
          <w:t>38</w:t>
        </w:r>
        <w:r>
          <w:fldChar w:fldCharType="end"/>
        </w:r>
      </w:hyperlink>
    </w:p>
    <w:p>
      <w:pPr>
        <w:pStyle w:val="TOC2"/>
        <w:tabs>
          <w:tab w:val="right" w:leader="dot" w:pos="8306"/>
        </w:tabs>
      </w:pPr>
      <w:hyperlink w:anchor="_Toc26239" w:history="1">
        <w:r>
          <w:rPr>
            <w:rFonts w:ascii="仿宋" w:eastAsia="仿宋" w:hAnsi="仿宋" w:cs="仿宋" w:hint="eastAsia"/>
            <w:lang w:eastAsia="zh-CN"/>
          </w:rPr>
          <w:t>(二)、消费者权益保护的措施和办法</w:t>
        </w:r>
        <w:r>
          <w:tab/>
        </w:r>
        <w:r>
          <w:fldChar w:fldCharType="begin"/>
        </w:r>
        <w:r>
          <w:instrText xml:space="preserve"> PAGEREF _Toc26239 \h </w:instrText>
        </w:r>
        <w:r>
          <w:fldChar w:fldCharType="separate"/>
        </w:r>
        <w:r>
          <w:t>39</w:t>
        </w:r>
        <w:r>
          <w:fldChar w:fldCharType="end"/>
        </w:r>
      </w:hyperlink>
    </w:p>
    <w:p>
      <w:pPr>
        <w:pStyle w:val="TOC2"/>
        <w:tabs>
          <w:tab w:val="right" w:leader="dot" w:pos="8306"/>
        </w:tabs>
      </w:pPr>
      <w:hyperlink w:anchor="_Toc21103" w:history="1">
        <w:r>
          <w:rPr>
            <w:rFonts w:ascii="仿宋" w:eastAsia="仿宋" w:hAnsi="仿宋" w:cs="仿宋" w:hint="eastAsia"/>
            <w:lang w:eastAsia="zh-CN"/>
          </w:rPr>
          <w:t>(三)、客户反馈和投诉处理的机制建设</w:t>
        </w:r>
        <w:r>
          <w:tab/>
        </w:r>
        <w:r>
          <w:fldChar w:fldCharType="begin"/>
        </w:r>
        <w:r>
          <w:instrText xml:space="preserve"> PAGEREF _Toc21103 \h </w:instrText>
        </w:r>
        <w:r>
          <w:fldChar w:fldCharType="separate"/>
        </w:r>
        <w:r>
          <w:t>41</w:t>
        </w:r>
        <w:r>
          <w:fldChar w:fldCharType="end"/>
        </w:r>
      </w:hyperlink>
    </w:p>
    <w:p>
      <w:pPr>
        <w:pStyle w:val="TOC1"/>
        <w:tabs>
          <w:tab w:val="right" w:leader="dot" w:pos="8306"/>
        </w:tabs>
      </w:pPr>
      <w:hyperlink w:anchor="_Toc23845" w:history="1">
        <w:r>
          <w:rPr>
            <w:rFonts w:ascii="仿宋" w:eastAsia="仿宋" w:hAnsi="仿宋" w:cs="仿宋" w:hint="eastAsia"/>
            <w:lang w:eastAsia="zh-CN"/>
          </w:rPr>
          <w:t>十二、环境影响评价和环保措施</w:t>
        </w:r>
        <w:r>
          <w:tab/>
        </w:r>
        <w:r>
          <w:fldChar w:fldCharType="begin"/>
        </w:r>
        <w:r>
          <w:instrText xml:space="preserve"> PAGEREF _Toc23845 \h </w:instrText>
        </w:r>
        <w:r>
          <w:fldChar w:fldCharType="separate"/>
        </w:r>
        <w:r>
          <w:t>42</w:t>
        </w:r>
        <w:r>
          <w:fldChar w:fldCharType="end"/>
        </w:r>
      </w:hyperlink>
    </w:p>
    <w:p>
      <w:pPr>
        <w:pStyle w:val="TOC2"/>
        <w:tabs>
          <w:tab w:val="right" w:leader="dot" w:pos="8306"/>
        </w:tabs>
      </w:pPr>
      <w:hyperlink w:anchor="_Toc24291" w:history="1">
        <w:r>
          <w:rPr>
            <w:rFonts w:ascii="仿宋" w:eastAsia="仿宋" w:hAnsi="仿宋" w:cs="仿宋" w:hint="eastAsia"/>
            <w:lang w:eastAsia="zh-CN"/>
          </w:rPr>
          <w:t>(一)、环境影响评价的程序和方法</w:t>
        </w:r>
        <w:r>
          <w:tab/>
        </w:r>
        <w:r>
          <w:fldChar w:fldCharType="begin"/>
        </w:r>
        <w:r>
          <w:instrText xml:space="preserve"> PAGEREF _Toc24291 \h </w:instrText>
        </w:r>
        <w:r>
          <w:fldChar w:fldCharType="separate"/>
        </w:r>
        <w:r>
          <w:t>42</w:t>
        </w:r>
        <w:r>
          <w:fldChar w:fldCharType="end"/>
        </w:r>
      </w:hyperlink>
    </w:p>
    <w:p>
      <w:pPr>
        <w:pStyle w:val="TOC2"/>
        <w:tabs>
          <w:tab w:val="right" w:leader="dot" w:pos="8306"/>
        </w:tabs>
      </w:pPr>
      <w:hyperlink w:anchor="_Toc2996" w:history="1">
        <w:r>
          <w:rPr>
            <w:rFonts w:ascii="仿宋" w:eastAsia="仿宋" w:hAnsi="仿宋" w:cs="仿宋" w:hint="eastAsia"/>
            <w:lang w:eastAsia="zh-CN"/>
          </w:rPr>
          <w:t>(二)、环保措施的制定和实施</w:t>
        </w:r>
        <w:r>
          <w:tab/>
        </w:r>
        <w:r>
          <w:fldChar w:fldCharType="begin"/>
        </w:r>
        <w:r>
          <w:instrText xml:space="preserve"> PAGEREF _Toc2996 \h </w:instrText>
        </w:r>
        <w:r>
          <w:fldChar w:fldCharType="separate"/>
        </w:r>
        <w:r>
          <w:t>44</w:t>
        </w:r>
        <w:r>
          <w:fldChar w:fldCharType="end"/>
        </w:r>
      </w:hyperlink>
    </w:p>
    <w:p>
      <w:pPr>
        <w:pStyle w:val="TOC2"/>
        <w:tabs>
          <w:tab w:val="right" w:leader="dot" w:pos="8306"/>
        </w:tabs>
      </w:pPr>
      <w:hyperlink w:anchor="_Toc26645" w:history="1">
        <w:r>
          <w:rPr>
            <w:rFonts w:ascii="仿宋" w:eastAsia="仿宋" w:hAnsi="仿宋" w:cs="仿宋" w:hint="eastAsia"/>
            <w:lang w:eastAsia="zh-CN"/>
          </w:rPr>
          <w:t>(三)、环境监测和管理机制的建立</w:t>
        </w:r>
        <w:r>
          <w:tab/>
        </w:r>
        <w:r>
          <w:fldChar w:fldCharType="begin"/>
        </w:r>
        <w:r>
          <w:instrText xml:space="preserve"> PAGEREF _Toc26645 \h </w:instrText>
        </w:r>
        <w:r>
          <w:fldChar w:fldCharType="separate"/>
        </w:r>
        <w:r>
          <w:t>46</w:t>
        </w:r>
        <w:r>
          <w:fldChar w:fldCharType="end"/>
        </w:r>
      </w:hyperlink>
    </w:p>
    <w:p>
      <w:pPr>
        <w:pStyle w:val="TOC1"/>
        <w:tabs>
          <w:tab w:val="right" w:leader="dot" w:pos="8306"/>
        </w:tabs>
      </w:pPr>
      <w:hyperlink w:anchor="_Toc32678" w:history="1">
        <w:r>
          <w:rPr>
            <w:rFonts w:ascii="仿宋" w:eastAsia="仿宋" w:hAnsi="仿宋" w:cs="仿宋" w:hint="eastAsia"/>
            <w:lang w:eastAsia="zh-CN"/>
          </w:rPr>
          <w:t>十三、公司章程和规章制度</w:t>
        </w:r>
        <w:r>
          <w:tab/>
        </w:r>
        <w:r>
          <w:fldChar w:fldCharType="begin"/>
        </w:r>
        <w:r>
          <w:instrText xml:space="preserve"> PAGEREF _Toc32678 \h </w:instrText>
        </w:r>
        <w:r>
          <w:fldChar w:fldCharType="separate"/>
        </w:r>
        <w:r>
          <w:t>48</w:t>
        </w:r>
        <w:r>
          <w:fldChar w:fldCharType="end"/>
        </w:r>
      </w:hyperlink>
    </w:p>
    <w:p>
      <w:pPr>
        <w:pStyle w:val="TOC2"/>
        <w:tabs>
          <w:tab w:val="right" w:leader="dot" w:pos="8306"/>
        </w:tabs>
      </w:pPr>
      <w:hyperlink w:anchor="_Toc29508" w:history="1">
        <w:r>
          <w:rPr>
            <w:rFonts w:ascii="仿宋" w:eastAsia="仿宋" w:hAnsi="仿宋" w:cs="仿宋" w:hint="eastAsia"/>
            <w:lang w:eastAsia="zh-CN"/>
          </w:rPr>
          <w:t>(一)、公司章程的主要内容和规定</w:t>
        </w:r>
        <w:r>
          <w:tab/>
        </w:r>
        <w:r>
          <w:fldChar w:fldCharType="begin"/>
        </w:r>
        <w:r>
          <w:instrText xml:space="preserve"> PAGEREF _Toc29508 \h </w:instrText>
        </w:r>
        <w:r>
          <w:fldChar w:fldCharType="separate"/>
        </w:r>
        <w:r>
          <w:t>48</w:t>
        </w:r>
        <w:r>
          <w:fldChar w:fldCharType="end"/>
        </w:r>
      </w:hyperlink>
    </w:p>
    <w:p>
      <w:pPr>
        <w:pStyle w:val="TOC2"/>
        <w:tabs>
          <w:tab w:val="right" w:leader="dot" w:pos="8306"/>
        </w:tabs>
      </w:pPr>
      <w:hyperlink w:anchor="_Toc26666" w:history="1">
        <w:r>
          <w:rPr>
            <w:rFonts w:ascii="仿宋" w:eastAsia="仿宋" w:hAnsi="仿宋" w:cs="仿宋" w:hint="eastAsia"/>
            <w:lang w:eastAsia="zh-CN"/>
          </w:rPr>
          <w:t>(二)、公司内部规章制度的主要内容和规定</w:t>
        </w:r>
        <w:r>
          <w:tab/>
        </w:r>
        <w:r>
          <w:fldChar w:fldCharType="begin"/>
        </w:r>
        <w:r>
          <w:instrText xml:space="preserve"> PAGEREF _Toc26666 \h </w:instrText>
        </w:r>
        <w:r>
          <w:fldChar w:fldCharType="separate"/>
        </w:r>
        <w:r>
          <w:t>49</w:t>
        </w:r>
        <w:r>
          <w:fldChar w:fldCharType="end"/>
        </w:r>
      </w:hyperlink>
    </w:p>
    <w:p>
      <w:pPr>
        <w:pStyle w:val="TOC2"/>
        <w:tabs>
          <w:tab w:val="right" w:leader="dot" w:pos="8306"/>
        </w:tabs>
      </w:pPr>
      <w:hyperlink w:anchor="_Toc24103" w:history="1">
        <w:r>
          <w:rPr>
            <w:rFonts w:ascii="仿宋" w:eastAsia="仿宋" w:hAnsi="仿宋" w:cs="仿宋" w:hint="eastAsia"/>
            <w:lang w:eastAsia="zh-CN"/>
          </w:rPr>
          <w:t>(三)、公司治理结构的优化和完善</w:t>
        </w:r>
        <w:r>
          <w:tab/>
        </w:r>
        <w:r>
          <w:fldChar w:fldCharType="begin"/>
        </w:r>
        <w:r>
          <w:instrText xml:space="preserve"> PAGEREF _Toc24103 \h </w:instrText>
        </w:r>
        <w:r>
          <w:fldChar w:fldCharType="separate"/>
        </w:r>
        <w:r>
          <w:t>50</w:t>
        </w:r>
        <w:r>
          <w:fldChar w:fldCharType="end"/>
        </w:r>
      </w:hyperlink>
    </w:p>
    <w:p>
      <w:pPr>
        <w:pStyle w:val="TOC1"/>
        <w:tabs>
          <w:tab w:val="right" w:leader="dot" w:pos="8306"/>
        </w:tabs>
      </w:pPr>
      <w:hyperlink w:anchor="_Toc29265" w:history="1">
        <w:r>
          <w:rPr>
            <w:rFonts w:ascii="仿宋" w:eastAsia="仿宋" w:hAnsi="仿宋" w:cs="仿宋" w:hint="eastAsia"/>
            <w:lang w:eastAsia="zh-CN"/>
          </w:rPr>
          <w:t>十四、产品定价和销售策略</w:t>
        </w:r>
        <w:r>
          <w:tab/>
        </w:r>
        <w:r>
          <w:fldChar w:fldCharType="begin"/>
        </w:r>
        <w:r>
          <w:instrText xml:space="preserve"> PAGEREF _Toc29265 \h </w:instrText>
        </w:r>
        <w:r>
          <w:fldChar w:fldCharType="separate"/>
        </w:r>
        <w:r>
          <w:t>51</w:t>
        </w:r>
        <w:r>
          <w:fldChar w:fldCharType="end"/>
        </w:r>
      </w:hyperlink>
    </w:p>
    <w:p>
      <w:pPr>
        <w:pStyle w:val="TOC2"/>
        <w:tabs>
          <w:tab w:val="right" w:leader="dot" w:pos="8306"/>
        </w:tabs>
      </w:pPr>
      <w:hyperlink w:anchor="_Toc14046" w:history="1">
        <w:r>
          <w:rPr>
            <w:rFonts w:ascii="仿宋" w:eastAsia="仿宋" w:hAnsi="仿宋" w:cs="仿宋" w:hint="eastAsia"/>
            <w:lang w:eastAsia="zh-CN"/>
          </w:rPr>
          <w:t>(一)、产品定价的原则和策略</w:t>
        </w:r>
        <w:r>
          <w:tab/>
        </w:r>
        <w:r>
          <w:fldChar w:fldCharType="begin"/>
        </w:r>
        <w:r>
          <w:instrText xml:space="preserve"> PAGEREF _Toc14046 \h </w:instrText>
        </w:r>
        <w:r>
          <w:fldChar w:fldCharType="separate"/>
        </w:r>
        <w:r>
          <w:t>51</w:t>
        </w:r>
        <w:r>
          <w:fldChar w:fldCharType="end"/>
        </w:r>
      </w:hyperlink>
    </w:p>
    <w:p>
      <w:pPr>
        <w:pStyle w:val="TOC2"/>
        <w:tabs>
          <w:tab w:val="right" w:leader="dot" w:pos="8306"/>
        </w:tabs>
      </w:pPr>
      <w:hyperlink w:anchor="_Toc31690" w:history="1">
        <w:r>
          <w:rPr>
            <w:rFonts w:ascii="仿宋" w:eastAsia="仿宋" w:hAnsi="仿宋" w:cs="仿宋" w:hint="eastAsia"/>
            <w:lang w:eastAsia="zh-CN"/>
          </w:rPr>
          <w:t>(二)、销售渠道的选择和拓展</w:t>
        </w:r>
        <w:r>
          <w:tab/>
        </w:r>
        <w:r>
          <w:fldChar w:fldCharType="begin"/>
        </w:r>
        <w:r>
          <w:instrText xml:space="preserve"> PAGEREF _Toc31690 \h </w:instrText>
        </w:r>
        <w:r>
          <w:fldChar w:fldCharType="separate"/>
        </w:r>
        <w:r>
          <w:t>53</w:t>
        </w:r>
        <w:r>
          <w:fldChar w:fldCharType="end"/>
        </w:r>
      </w:hyperlink>
    </w:p>
    <w:p>
      <w:pPr>
        <w:pStyle w:val="TOC2"/>
        <w:tabs>
          <w:tab w:val="right" w:leader="dot" w:pos="8306"/>
        </w:tabs>
      </w:pPr>
      <w:hyperlink w:anchor="_Toc29758" w:history="1">
        <w:r>
          <w:rPr>
            <w:rFonts w:ascii="仿宋" w:eastAsia="仿宋" w:hAnsi="仿宋" w:cs="仿宋" w:hint="eastAsia"/>
            <w:lang w:eastAsia="zh-CN"/>
          </w:rPr>
          <w:t>(三)、销售促进和营销活动的策划和实施</w:t>
        </w:r>
        <w:r>
          <w:tab/>
        </w:r>
        <w:r>
          <w:fldChar w:fldCharType="begin"/>
        </w:r>
        <w:r>
          <w:instrText xml:space="preserve"> PAGEREF _Toc29758 \h </w:instrText>
        </w:r>
        <w:r>
          <w:fldChar w:fldCharType="separate"/>
        </w:r>
        <w:r>
          <w:t>55</w:t>
        </w:r>
        <w:r>
          <w:fldChar w:fldCharType="end"/>
        </w:r>
      </w:hyperlink>
    </w:p>
    <w:p>
      <w:pPr>
        <w:pStyle w:val="TOC1"/>
        <w:tabs>
          <w:tab w:val="right" w:leader="dot" w:pos="8306"/>
        </w:tabs>
      </w:pPr>
      <w:hyperlink w:anchor="_Toc30827" w:history="1">
        <w:r>
          <w:rPr>
            <w:rFonts w:ascii="仿宋" w:eastAsia="仿宋" w:hAnsi="仿宋" w:cs="仿宋" w:hint="eastAsia"/>
            <w:lang w:eastAsia="zh-CN"/>
          </w:rPr>
          <w:t>十五、技术创新和研发能力</w:t>
        </w:r>
        <w:r>
          <w:tab/>
        </w:r>
        <w:r>
          <w:fldChar w:fldCharType="begin"/>
        </w:r>
        <w:r>
          <w:instrText xml:space="preserve"> PAGEREF _Toc30827 \h </w:instrText>
        </w:r>
        <w:r>
          <w:fldChar w:fldCharType="separate"/>
        </w:r>
        <w:r>
          <w:t>56</w:t>
        </w:r>
        <w:r>
          <w:fldChar w:fldCharType="end"/>
        </w:r>
      </w:hyperlink>
    </w:p>
    <w:p>
      <w:pPr>
        <w:pStyle w:val="TOC2"/>
        <w:tabs>
          <w:tab w:val="right" w:leader="dot" w:pos="8306"/>
        </w:tabs>
      </w:pPr>
      <w:hyperlink w:anchor="_Toc6581" w:history="1">
        <w:r>
          <w:rPr>
            <w:rFonts w:ascii="仿宋" w:eastAsia="仿宋" w:hAnsi="仿宋" w:cs="仿宋" w:hint="eastAsia"/>
            <w:lang w:eastAsia="zh-CN"/>
          </w:rPr>
          <w:t>(一)、红参提取物项目采用的技术创新点和优势</w:t>
        </w:r>
        <w:r>
          <w:tab/>
        </w:r>
        <w:r>
          <w:fldChar w:fldCharType="begin"/>
        </w:r>
        <w:r>
          <w:instrText xml:space="preserve"> PAGEREF _Toc6581 \h </w:instrText>
        </w:r>
        <w:r>
          <w:fldChar w:fldCharType="separate"/>
        </w:r>
        <w:r>
          <w:t>56</w:t>
        </w:r>
        <w:r>
          <w:fldChar w:fldCharType="end"/>
        </w:r>
      </w:hyperlink>
    </w:p>
    <w:p>
      <w:pPr>
        <w:pStyle w:val="TOC2"/>
        <w:tabs>
          <w:tab w:val="right" w:leader="dot" w:pos="8306"/>
        </w:tabs>
      </w:pPr>
      <w:hyperlink w:anchor="_Toc2328" w:history="1">
        <w:r>
          <w:rPr>
            <w:rFonts w:ascii="仿宋" w:eastAsia="仿宋" w:hAnsi="仿宋" w:cs="仿宋" w:hint="eastAsia"/>
            <w:lang w:eastAsia="zh-CN"/>
          </w:rPr>
          <w:t>(二)、技术研发能力和技术转化能力评估</w:t>
        </w:r>
        <w:r>
          <w:tab/>
        </w:r>
        <w:r>
          <w:fldChar w:fldCharType="begin"/>
        </w:r>
        <w:r>
          <w:instrText xml:space="preserve"> PAGEREF _Toc2328 \h </w:instrText>
        </w:r>
        <w:r>
          <w:fldChar w:fldCharType="separate"/>
        </w:r>
        <w:r>
          <w:t>58</w:t>
        </w:r>
        <w:r>
          <w:fldChar w:fldCharType="end"/>
        </w:r>
      </w:hyperlink>
    </w:p>
    <w:p>
      <w:pPr>
        <w:pStyle w:val="TOC2"/>
        <w:tabs>
          <w:tab w:val="right" w:leader="dot" w:pos="8306"/>
        </w:tabs>
      </w:pPr>
      <w:hyperlink w:anchor="_Toc27417" w:history="1">
        <w:r>
          <w:rPr>
            <w:rFonts w:ascii="仿宋" w:eastAsia="仿宋" w:hAnsi="仿宋" w:cs="仿宋" w:hint="eastAsia"/>
            <w:lang w:eastAsia="zh-CN"/>
          </w:rPr>
          <w:t>(三)、技术创新与市场需求的结合方式</w:t>
        </w:r>
        <w:r>
          <w:tab/>
        </w:r>
        <w:r>
          <w:fldChar w:fldCharType="begin"/>
        </w:r>
        <w:r>
          <w:instrText xml:space="preserve"> PAGEREF _Toc27417 \h </w:instrText>
        </w:r>
        <w:r>
          <w:fldChar w:fldCharType="separate"/>
        </w:r>
        <w:r>
          <w:t>59</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
      <w:r>
        <w:rPr>
          <w:rFonts w:ascii="仿宋" w:eastAsia="仿宋" w:hAnsi="仿宋" w:cs="仿宋" w:hint="eastAsia"/>
          <w:lang w:eastAsia="zh-CN"/>
        </w:rPr>
        <w:t>概述</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红参提取物行业的可行性，深入了解该行业的各个方面，并提供有关如何应对当前和未来挑战的建议。我们将对红参提取物生产过程、市场需求、竞争格局、环境影响、技术趋势以及法规合规性等多个方面进行全面研究和分析。</w:t>
      </w:r>
    </w:p>
    <w:p>
      <w:pPr>
        <w:pStyle w:val="Heading1"/>
        <w:ind w:firstLine="560" w:firstLineChars="200"/>
        <w:rPr>
          <w:rFonts w:ascii="仿宋" w:eastAsia="仿宋" w:hAnsi="仿宋" w:cs="仿宋" w:hint="eastAsia"/>
          <w:sz w:val="28"/>
          <w:lang w:eastAsia="zh-CN"/>
        </w:rPr>
      </w:pPr>
      <w:bookmarkStart w:id="2" w:name="_Toc23758"/>
      <w:r>
        <w:rPr>
          <w:rFonts w:ascii="仿宋" w:eastAsia="仿宋" w:hAnsi="仿宋" w:cs="仿宋" w:hint="eastAsia"/>
          <w:sz w:val="28"/>
          <w:lang w:eastAsia="zh-CN"/>
        </w:rPr>
        <w:t>一、红参提取物行业未来技术发展趋势</w:t>
      </w:r>
      <w:bookmarkEnd w:id="2"/>
    </w:p>
    <w:p>
      <w:pPr>
        <w:pStyle w:val="Heading1"/>
        <w:rPr>
          <w:rFonts w:ascii="仿宋" w:eastAsia="仿宋" w:hAnsi="仿宋" w:cs="仿宋" w:hint="eastAsia"/>
          <w:lang w:eastAsia="zh-CN"/>
        </w:rPr>
      </w:pPr>
      <w:bookmarkStart w:id="3" w:name="_Toc32262"/>
      <w:r>
        <w:rPr>
          <w:rFonts w:ascii="仿宋" w:eastAsia="仿宋" w:hAnsi="仿宋" w:cs="仿宋" w:hint="eastAsia"/>
          <w:lang w:eastAsia="zh-CN"/>
        </w:rPr>
        <w:t>二、物资采购和管理</w:t>
      </w:r>
      <w:bookmarkEnd w:id="3"/>
    </w:p>
    <w:p>
      <w:pPr>
        <w:pStyle w:val="Heading2"/>
        <w:rPr>
          <w:rFonts w:ascii="仿宋" w:eastAsia="仿宋" w:hAnsi="仿宋" w:cs="仿宋" w:hint="eastAsia"/>
          <w:lang w:eastAsia="zh-CN"/>
        </w:rPr>
      </w:pPr>
      <w:bookmarkStart w:id="4" w:name="_Toc18755"/>
      <w:r>
        <w:rPr>
          <w:rFonts w:ascii="仿宋" w:eastAsia="仿宋" w:hAnsi="仿宋" w:cs="仿宋" w:hint="eastAsia"/>
          <w:lang w:eastAsia="zh-CN"/>
        </w:rPr>
        <w:t>(一)、物资采购的程序和标准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采购程序：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需求确认：明确物资采购的需求，包括数量、规格、质量要求等，与相关部门和人员进行沟通和确认，确保采购的准确性和满足性。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供应商选择：根据采购需求，进行供应商的筛选和评估，考虑供应商的信誉、价格、交货能力等因素，选择合适的供应商进行采购。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报价和谈判：向供应商索取报价，进行价格谈判和合同条款的商议，确保采购的价格合理和合同条款明确。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订单确认：根据谈判结果，与供应商签订采购订单，明确物资的数量、价格、交货时间等，确保采购的准确性和合法性。</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交货和验收：监督供应商按照订单要求进行物资的交货，进行验收和质量检查，确保物资的质量和符合要求。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结算和支付：根据供应商提供的发票和交货单据，进行结算和支付，确保采购的合规性和及时性。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质量标准：明确物资采购的质量标准和要求，包括产品的质量认证、检验标准、合规要求等，确保采购的物资符合质量标准。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价格标准：根据市场行情和供需情况，制定合理的价格标准，确保采购的价格合理和公平。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交货期标准：明确物资采购的交货期要求，与供应商协商确定合理的交货时间，确保采购的及时性和供应链的顺畅性。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合规标准：遵守相关法律法规和政策要求，包括环境保护、劳工权益、知识产权等方面的合规标准，确保采购的合法性和道德性。</w:t>
      </w:r>
    </w:p>
    <w:p>
      <w:pPr>
        <w:ind w:firstLine="560" w:firstLineChars="200"/>
        <w:rPr>
          <w:rFonts w:ascii="仿宋" w:eastAsia="仿宋" w:hAnsi="仿宋" w:cs="仿宋" w:hint="eastAsia"/>
          <w:sz w:val="28"/>
        </w:rPr>
      </w:pPr>
      <w:r>
        <w:rPr>
          <w:rFonts w:ascii="仿宋" w:eastAsia="仿宋" w:hAnsi="仿宋" w:cs="仿宋" w:hint="eastAsia"/>
          <w:sz w:val="28"/>
          <w:lang w:eastAsia="zh-CN"/>
        </w:rPr>
        <w:t>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供应商评估：建立供应商评估机制，定期对供应商进行评估和监督，确保供应商的稳定性和可靠性。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合同管理：建立健全的合同管理制度，明确合同条款和责任，加强对合同履行的监督和管理。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风险管理：识别和评估采购过程中的风险，制定相应的风险管理措施，减少采购风险对红参提取物项目的影响。</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信息化支持：利用信息化技术，建立物资采购的信息管理系统，提高采购流程的效率和透明度。</w:t>
      </w:r>
    </w:p>
    <w:p>
      <w:pPr>
        <w:pStyle w:val="Heading2"/>
        <w:ind w:firstLine="560" w:firstLineChars="200"/>
        <w:rPr>
          <w:rFonts w:ascii="仿宋" w:eastAsia="仿宋" w:hAnsi="仿宋" w:cs="仿宋" w:hint="eastAsia"/>
          <w:sz w:val="28"/>
          <w:lang w:eastAsia="zh-CN"/>
        </w:rPr>
      </w:pPr>
      <w:bookmarkStart w:id="5" w:name="_Toc16014"/>
      <w:r>
        <w:rPr>
          <w:rFonts w:ascii="仿宋" w:eastAsia="仿宋" w:hAnsi="仿宋" w:cs="仿宋" w:hint="eastAsia"/>
          <w:sz w:val="28"/>
          <w:lang w:eastAsia="zh-CN"/>
        </w:rPr>
        <w:t>(二)、物资管理的措施和办法</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物资分类和编码：</w:t>
      </w:r>
    </w:p>
    <w:p>
      <w:pPr>
        <w:ind w:firstLine="560" w:firstLineChars="200"/>
        <w:rPr>
          <w:rFonts w:ascii="仿宋" w:eastAsia="仿宋" w:hAnsi="仿宋" w:cs="仿宋" w:hint="eastAsia"/>
          <w:sz w:val="28"/>
        </w:rPr>
      </w:pPr>
      <w:r>
        <w:rPr>
          <w:rFonts w:ascii="仿宋" w:eastAsia="仿宋" w:hAnsi="仿宋" w:cs="仿宋" w:hint="eastAsia"/>
          <w:sz w:val="28"/>
          <w:lang w:eastAsia="zh-CN"/>
        </w:rPr>
        <w:t>分类体系：建立适合红参提取物项目需求的物资分类体系，根据物资的属性、用途、特性等进行分类，便于管理和查询。</w:t>
      </w:r>
    </w:p>
    <w:p>
      <w:pPr>
        <w:ind w:firstLine="560" w:firstLineChars="200"/>
        <w:rPr>
          <w:rFonts w:ascii="仿宋" w:eastAsia="仿宋" w:hAnsi="仿宋" w:cs="仿宋" w:hint="eastAsia"/>
          <w:sz w:val="28"/>
        </w:rPr>
      </w:pPr>
      <w:r>
        <w:rPr>
          <w:rFonts w:ascii="仿宋" w:eastAsia="仿宋" w:hAnsi="仿宋" w:cs="仿宋" w:hint="eastAsia"/>
          <w:sz w:val="28"/>
          <w:lang w:eastAsia="zh-CN"/>
        </w:rPr>
        <w:t>编码系统：制定统一的物资编码系统，为每种物资分配唯一的编码，方便识别、追踪和管理。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定期盘点：制定定期盘点计划，对库存物资进行周期性盘点，确保库存数据的准确性和及时性。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安全库存：根据需求和供应链情况，确定合理的安全库存水平，以应对突发情况和供应不确定性。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物资跟踪：建立物资跟踪系统，追踪物资的入库、出库和流转情况，及时了解库存状况和物资使用情况。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采购计划和供应链管理：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采购计划：制定合理的采购计划，根据红参提取物项目需求和库存情况，合理安排物资的采购时间和数量。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供应链合作：与供应商建立良好的合作关系，加强沟通和协调，确保物资供应的及时性和稳定性。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质量控制：建立质量控制体系，包括物资的质量检验、抽样检测等，确保物资的质量符合要求。</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不合格品处理：建立不合格品处理流程，对不合格品进行分类、记录和处理，防止不合格品流入使用环节。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报废和处置：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报废管理：建立报废物资的管理程序，对过期、损坏或无法使用的物资进行及时报废处理，避免资源浪费和库存积压。</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环境友好处置：根据物资的性质和特点，选择合适的环境友好的处置方式，如回收利用、再利用等，降低对环境的影响。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技术支持和信息化：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技术支持：引入适当的物资管理技术和工具，如条码识别、RFID等，提高物资管理的效率和准确性。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信息化系统：建立物资管理的信息化系统，实现物资信息的集中管理、查询和分析，提升管理的智能化和科学化。</w:t>
      </w:r>
    </w:p>
    <w:p>
      <w:pPr>
        <w:pStyle w:val="Heading2"/>
        <w:ind w:firstLine="560" w:firstLineChars="200"/>
        <w:rPr>
          <w:rFonts w:ascii="仿宋" w:eastAsia="仿宋" w:hAnsi="仿宋" w:cs="仿宋" w:hint="eastAsia"/>
          <w:sz w:val="28"/>
          <w:lang w:eastAsia="zh-CN"/>
        </w:rPr>
      </w:pPr>
      <w:bookmarkStart w:id="6" w:name="_Toc28315"/>
      <w:r>
        <w:rPr>
          <w:rFonts w:ascii="仿宋" w:eastAsia="仿宋" w:hAnsi="仿宋" w:cs="仿宋" w:hint="eastAsia"/>
          <w:sz w:val="28"/>
          <w:lang w:eastAsia="zh-CN"/>
        </w:rPr>
        <w:t>(三)、物资质量和库存的控制和监督</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质量标准：明确物资的质量标准和要求，包括产品的质量认证、检验标准、合规要求等，确保物资的质量符合标准。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质量检验：建立质量检验程序和流程，对进货物资进行抽样检测、实验室测试等，确保物资的质量符合要求。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不合格品处理：建立不合格品处理流程，对不符合质量标准的物资进行分类、记录和处理，防止不合格品流入使用环节。</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供应商评估：建立供应商质量评估机制，对供应商的质量管理能力进行评估和监督，确保供应商提供的物资符合质量标准。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库存控制和监督：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定期盘点：制定定期盘点计划，对库存物资进行周期性盘点，确保库存数据的准确性和及时性。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安全库存：根据需求和供应链情况，确定合理的安全库存水平，以应对突发情况和供应不确定性。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物资跟踪：建立物资跟踪系统，追踪物资的入库、出库和流转情况，及时了解库存状况和物资使用情况。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库存优化：通过优化库存管理策略，如采用先进的库存管理模型和技术，合理控制物资的进货、出货和补货，降低库存成本和风险。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监督措施和建议：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内部监督机制：建立内部监督机制，包括设立专门的物资管理部门或岗位，明确责任和权限，加强对物资质量和库存的监督和管理。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外部监督和认证：与第三方机构合作，进行物资质量的外部监督和认证，确保物资符合国家标准和法规要求。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数据分析和报告：利用数据分析工具和技术，对物资质量和库存数据进行分析和报告，发现问题和改进机会，提高管理决策的科学性和准确性。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培训计划：制定物资质量和库存管理的培训计划，对相关人员进行培训，提升其质量控制和库存管理的专业能力。</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培养团队文化：建立积极的团队文化，强调质量意识和库存管理的重要性，激发团队成员的积极性和责任感。</w:t>
      </w:r>
    </w:p>
    <w:p>
      <w:pPr>
        <w:pStyle w:val="Heading1"/>
        <w:ind w:firstLine="560" w:firstLineChars="200"/>
        <w:rPr>
          <w:rFonts w:ascii="仿宋" w:eastAsia="仿宋" w:hAnsi="仿宋" w:cs="仿宋" w:hint="eastAsia"/>
          <w:sz w:val="28"/>
          <w:lang w:eastAsia="zh-CN"/>
        </w:rPr>
      </w:pPr>
      <w:bookmarkStart w:id="7" w:name="_Toc12248"/>
      <w:r>
        <w:rPr>
          <w:rFonts w:ascii="仿宋" w:eastAsia="仿宋" w:hAnsi="仿宋" w:cs="仿宋" w:hint="eastAsia"/>
          <w:sz w:val="28"/>
          <w:lang w:eastAsia="zh-CN"/>
        </w:rPr>
        <w:t>三、文化内涵和艺术价值</w:t>
      </w:r>
      <w:bookmarkEnd w:id="7"/>
    </w:p>
    <w:p>
      <w:pPr>
        <w:pStyle w:val="Heading2"/>
        <w:rPr>
          <w:rFonts w:ascii="仿宋" w:eastAsia="仿宋" w:hAnsi="仿宋" w:cs="仿宋" w:hint="eastAsia"/>
          <w:lang w:eastAsia="zh-CN"/>
        </w:rPr>
      </w:pPr>
      <w:bookmarkStart w:id="8" w:name="_Toc13411"/>
      <w:r>
        <w:rPr>
          <w:rFonts w:ascii="仿宋" w:eastAsia="仿宋" w:hAnsi="仿宋" w:cs="仿宋" w:hint="eastAsia"/>
          <w:lang w:eastAsia="zh-CN"/>
        </w:rPr>
        <w:t>(一)、红参提取物项目与文化内涵的结合方式</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将红参提取物项目与文化内涵结合起来，既可以丰富红参提取物项目的内涵，又可以促进文化传承和发展。我们考虑了红参提取物项目与文化内涵的关系，包括红参提取物项目的主题、文化背景和文化价值等方面。我们还考虑了文化内涵与红参提取物项目的市场竞争力之间的关系，以确保红参提取物项目在文化内涵的框架内合法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参提取物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红参提取物项目的文化内涵和文化价值。同时，我们强调了文化内涵与市场需求之间的平衡，建议在红参提取物项目的设计和开发过程中，充分考虑市场需求和文化内涵，以确保红参提取物项目在市场上的竞争力和可持续发展。</w:t>
      </w:r>
    </w:p>
    <w:p>
      <w:pPr>
        <w:pStyle w:val="Heading2"/>
        <w:ind w:firstLine="560" w:firstLineChars="200"/>
        <w:rPr>
          <w:rFonts w:ascii="仿宋" w:eastAsia="仿宋" w:hAnsi="仿宋" w:cs="仿宋" w:hint="eastAsia"/>
          <w:sz w:val="28"/>
          <w:lang w:eastAsia="zh-CN"/>
        </w:rPr>
      </w:pPr>
      <w:bookmarkStart w:id="9" w:name="_Toc22699"/>
      <w:r>
        <w:rPr>
          <w:rFonts w:ascii="仿宋" w:eastAsia="仿宋" w:hAnsi="仿宋" w:cs="仿宋" w:hint="eastAsia"/>
          <w:sz w:val="28"/>
          <w:lang w:eastAsia="zh-CN"/>
        </w:rPr>
        <w:t>(二)、红参提取物项目产品的艺术价值分析</w:t>
      </w:r>
      <w:bookmarkEnd w:id="9"/>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艺术类项目，红参提取物项目的产品应该具有一定的艺术价值，以吸引目标受众并提升红参提取物项目的市场竞争力。我们考虑了红参提取物项目产品的艺术特征和艺术价值，包括创意性、审美价值和文化内涵等方面。我们还考虑了艺术价值与红参提取物项目的商业价值之间的关系，以确保红参提取物项目产品在艺术价值的框架内合法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参提取物项目产品的艺术价值分析总结中，我们提出了相应的建议和措施。我们建议加强对红参提取物项目产品的艺术设计和创意性，以提升产品的艺术价值和审美价值。我们还建议加强与艺术领域的合作和交流，以吸收优秀的艺术资源和创意灵感，提升红参提取物项目产品的艺术内涵和艺术价值。同时，我们强调了艺术价值与商业价值的平衡，建议在红参提取物项目产品的设计和开发过程中，充分考虑商业价值和市场需求，以确保红参提取物项目产品在市场上的竞争力和可持续发展。</w:t>
      </w:r>
    </w:p>
    <w:p>
      <w:pPr>
        <w:pStyle w:val="Heading2"/>
        <w:ind w:firstLine="560" w:firstLineChars="200"/>
        <w:rPr>
          <w:rFonts w:ascii="仿宋" w:eastAsia="仿宋" w:hAnsi="仿宋" w:cs="仿宋" w:hint="eastAsia"/>
          <w:sz w:val="28"/>
          <w:lang w:eastAsia="zh-CN"/>
        </w:rPr>
      </w:pPr>
      <w:bookmarkStart w:id="10" w:name="_Toc30222"/>
      <w:r>
        <w:rPr>
          <w:rFonts w:ascii="仿宋" w:eastAsia="仿宋" w:hAnsi="仿宋" w:cs="仿宋" w:hint="eastAsia"/>
          <w:sz w:val="28"/>
          <w:lang w:eastAsia="zh-CN"/>
        </w:rPr>
        <w:t>(三)、文化传承和艺术创新的策略探讨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红参提取物项目的成功，我们认为需要同时注重文化传承和艺术创新。在文化传承方面，我们建议加强对传统文化的研究和挖掘，发掘传统文化中蕴含的艺术元素，并将其融入到红参提取物项目的设计和开发中。这样可以保证红参提取物项目在艺术创新的基础上，不失传统文化的内涵和价值。同时，我们建议加强对传统文化的保护和传承，以确保红参提取物项目在文化传承方面具有可持续性和长远发展的潜力。</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艺术创新方面，我们建议加强对艺术创意的研究和创新，提升红参提取物项目的艺术价值和创新性。我们认为，艺术创新是红参提取物项目成功的关键之一，因此需要不断地进行尝试和探索，以实现红参提取物项目的艺术创新和发展。同时，我们建议加强与艺术领域的合作和交流，吸收优秀的艺术资源和创意灵感，促进红参提取物项目的艺术创新和发展。</w:t>
      </w:r>
    </w:p>
    <w:p>
      <w:pPr>
        <w:pStyle w:val="Heading1"/>
        <w:ind w:firstLine="560" w:firstLineChars="200"/>
        <w:rPr>
          <w:rFonts w:ascii="仿宋" w:eastAsia="仿宋" w:hAnsi="仿宋" w:cs="仿宋" w:hint="eastAsia"/>
          <w:sz w:val="28"/>
          <w:lang w:eastAsia="zh-CN"/>
        </w:rPr>
      </w:pPr>
      <w:bookmarkStart w:id="11" w:name="_Toc24422"/>
      <w:r>
        <w:rPr>
          <w:rFonts w:ascii="仿宋" w:eastAsia="仿宋" w:hAnsi="仿宋" w:cs="仿宋" w:hint="eastAsia"/>
          <w:sz w:val="28"/>
          <w:lang w:eastAsia="zh-CN"/>
        </w:rPr>
        <w:t>四、未来市场预测和产品升级</w:t>
      </w:r>
      <w:bookmarkEnd w:id="11"/>
    </w:p>
    <w:p>
      <w:pPr>
        <w:pStyle w:val="Heading2"/>
        <w:rPr>
          <w:rFonts w:ascii="仿宋" w:eastAsia="仿宋" w:hAnsi="仿宋" w:cs="仿宋" w:hint="eastAsia"/>
          <w:lang w:eastAsia="zh-CN"/>
        </w:rPr>
      </w:pPr>
      <w:bookmarkStart w:id="12" w:name="_Toc32329"/>
      <w:r>
        <w:rPr>
          <w:rFonts w:ascii="仿宋" w:eastAsia="仿宋" w:hAnsi="仿宋" w:cs="仿宋" w:hint="eastAsia"/>
          <w:lang w:eastAsia="zh-CN"/>
        </w:rPr>
        <w:t>(一)、未来市场发展趋势和预测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pPr>
        <w:pStyle w:val="Heading2"/>
        <w:ind w:firstLine="560" w:firstLineChars="200"/>
        <w:rPr>
          <w:rFonts w:ascii="仿宋" w:eastAsia="仿宋" w:hAnsi="仿宋" w:cs="仿宋" w:hint="eastAsia"/>
          <w:sz w:val="28"/>
          <w:lang w:eastAsia="zh-CN"/>
        </w:rPr>
      </w:pPr>
      <w:bookmarkStart w:id="13" w:name="_Toc29322"/>
      <w:r>
        <w:rPr>
          <w:rFonts w:ascii="仿宋" w:eastAsia="仿宋" w:hAnsi="仿宋" w:cs="仿宋" w:hint="eastAsia"/>
          <w:sz w:val="28"/>
          <w:lang w:eastAsia="zh-CN"/>
        </w:rPr>
        <w:t>(二)、产品升级换代和创新的必要性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pPr>
        <w:pStyle w:val="Heading2"/>
        <w:ind w:firstLine="560" w:firstLineChars="200"/>
        <w:rPr>
          <w:rFonts w:ascii="仿宋" w:eastAsia="仿宋" w:hAnsi="仿宋" w:cs="仿宋" w:hint="eastAsia"/>
          <w:sz w:val="28"/>
          <w:lang w:eastAsia="zh-CN"/>
        </w:rPr>
      </w:pPr>
      <w:bookmarkStart w:id="14" w:name="_Toc15864"/>
      <w:r>
        <w:rPr>
          <w:rFonts w:ascii="仿宋" w:eastAsia="仿宋" w:hAnsi="仿宋" w:cs="仿宋" w:hint="eastAsia"/>
          <w:sz w:val="28"/>
          <w:lang w:eastAsia="zh-CN"/>
        </w:rPr>
        <w:t>(三)、产品升级换代和创新的实施方案</w:t>
      </w:r>
      <w:bookmarkEnd w:id="14"/>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提供资源支持：为产品升级换代和创新提供必要的资源支持。资源支持可以包括资金投入、技术支持、人力资源等。同时，还应建立激励机制，激励团队成员积极参与创新活动，并给予他们适当的奖励和认可。</w:t>
      </w:r>
    </w:p>
    <w:p>
      <w:pPr>
        <w:pStyle w:val="Heading1"/>
        <w:ind w:firstLine="560" w:firstLineChars="200"/>
        <w:rPr>
          <w:rFonts w:ascii="仿宋" w:eastAsia="仿宋" w:hAnsi="仿宋" w:cs="仿宋" w:hint="eastAsia"/>
          <w:sz w:val="28"/>
          <w:lang w:eastAsia="zh-CN"/>
        </w:rPr>
      </w:pPr>
      <w:bookmarkStart w:id="15" w:name="_Toc21065"/>
      <w:r>
        <w:rPr>
          <w:rFonts w:ascii="仿宋" w:eastAsia="仿宋" w:hAnsi="仿宋" w:cs="仿宋" w:hint="eastAsia"/>
          <w:sz w:val="28"/>
          <w:lang w:eastAsia="zh-CN"/>
        </w:rPr>
        <w:t>五、红参提取物项目概论</w:t>
      </w:r>
      <w:bookmarkEnd w:id="15"/>
    </w:p>
    <w:p>
      <w:pPr>
        <w:pStyle w:val="Heading2"/>
        <w:rPr>
          <w:rFonts w:ascii="仿宋" w:eastAsia="仿宋" w:hAnsi="仿宋" w:cs="仿宋" w:hint="eastAsia"/>
          <w:lang w:eastAsia="zh-CN"/>
        </w:rPr>
      </w:pPr>
      <w:bookmarkStart w:id="16" w:name="_Toc9209"/>
      <w:r>
        <w:rPr>
          <w:rFonts w:ascii="仿宋" w:eastAsia="仿宋" w:hAnsi="仿宋" w:cs="仿宋" w:hint="eastAsia"/>
          <w:lang w:eastAsia="zh-CN"/>
        </w:rPr>
        <w:t>(一)、红参提取物项目名称及承办单位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红参提取物项目名称：红参提取物建设项目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2、红参提取物项目建设性质：新建</w:t>
      </w:r>
    </w:p>
    <w:p>
      <w:pPr>
        <w:pStyle w:val="Heading2"/>
        <w:ind w:firstLine="560" w:firstLineChars="200"/>
        <w:rPr>
          <w:rFonts w:ascii="仿宋" w:eastAsia="仿宋" w:hAnsi="仿宋" w:cs="仿宋" w:hint="eastAsia"/>
          <w:sz w:val="28"/>
          <w:lang w:eastAsia="zh-CN"/>
        </w:rPr>
      </w:pPr>
      <w:bookmarkStart w:id="17" w:name="_Toc27568"/>
      <w:r>
        <w:rPr>
          <w:rFonts w:ascii="仿宋" w:eastAsia="仿宋" w:hAnsi="仿宋" w:cs="仿宋" w:hint="eastAsia"/>
          <w:sz w:val="28"/>
          <w:lang w:eastAsia="zh-CN"/>
        </w:rPr>
        <w:t>(二)、红参提取物项目拟建地址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红参提取物项目规划位置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1.我们的红参提取物项目规划位于某某某某经济开发区。</w:t>
      </w:r>
    </w:p>
    <w:p>
      <w:pPr>
        <w:ind w:firstLine="560" w:firstLineChars="200"/>
        <w:rPr>
          <w:rFonts w:ascii="仿宋" w:eastAsia="仿宋" w:hAnsi="仿宋" w:cs="仿宋" w:hint="eastAsia"/>
          <w:sz w:val="28"/>
        </w:rPr>
      </w:pPr>
      <w:r>
        <w:rPr>
          <w:rFonts w:ascii="仿宋" w:eastAsia="仿宋" w:hAnsi="仿宋" w:cs="仿宋" w:hint="eastAsia"/>
          <w:sz w:val="28"/>
          <w:lang w:eastAsia="zh-CN"/>
        </w:rPr>
        <w:t>2.在实施红参提取物项目建设地的社会经济分析时，我们将遵循《中国制造2025》等相关意见的具体要求。我们坚守创新、协调、绿色、开放和共享的发展理念，积极适应和引领经济新常态，抓住全球制造业格局的重大变革以及我国实施制造强国战略的良机。我们将充分利用当地制造业和信息化的基础优势，以先进装备制造业为突破口，以智能制造为核心和主攻方向，以新一代信息技术与制造业深度融合为切入点，推动先进装备制造业的快速发展。通过这一发展动力，我们将引领当地制造业的升级变革，最终使该地成为“中国制造2025”的典范示范区，以及世界先进制造业的引领地。</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在推动先进装备制造业的发展上，我们将兼顾扶持和监管，采用结构性、差异化的土地供应方式，规划和完善多层次、全方位的产业空间基础设施，促进产业集聚和高端化发展。同时，我们将在土地整备、二次开发利用、产业用地和用房供给等方面进行改革创新，提高土地利用效率，释放产业发展的潜能，推动产业的升级转型。此外，我们还将通过社会化、市场化运作，强化工业园区的基础设施建设，包括物流、文化、生活、医疗和教育等方面，为企业提供全面的支持。我们致力于将重点工业园区打造成为现代化工业园区，具备完善基础设施、多样化功能配套、优美人居环境、合理产业布局以及强劲经济发展的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4.我们将继续推广“互联网+制造”模式，促进制造业的数字化、网络化和智能化，以提升制造业的质量和效益，实现由制造大国向制造强国的转变。同时，我们将强调环境保护和可持续发展，推动绿色制造和循环经济的发展，确保在经济发展的同时，保护优良的生态环境，实现经济、社会和环境的协调可持续发展。</w:t>
      </w:r>
    </w:p>
    <w:p>
      <w:pPr>
        <w:pStyle w:val="Heading2"/>
        <w:ind w:firstLine="560" w:firstLineChars="200"/>
        <w:rPr>
          <w:rFonts w:ascii="仿宋" w:eastAsia="仿宋" w:hAnsi="仿宋" w:cs="仿宋" w:hint="eastAsia"/>
          <w:sz w:val="28"/>
          <w:lang w:eastAsia="zh-CN"/>
        </w:rPr>
      </w:pPr>
      <w:bookmarkStart w:id="18" w:name="_Toc25634"/>
      <w:r>
        <w:rPr>
          <w:rFonts w:ascii="仿宋" w:eastAsia="仿宋" w:hAnsi="仿宋" w:cs="仿宋" w:hint="eastAsia"/>
          <w:sz w:val="28"/>
          <w:lang w:eastAsia="zh-CN"/>
        </w:rPr>
        <w:t>(三)、红参提取物项目提出的背景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在当前红参提取物行业中，众多企业正积极寻求创新方法，以提升效率并削减成本。本红参提取物项目的目标在于应对这一需求，为企业提供全新解决方案，以协助其提升生产效率、降低成本，并取得竞争上风。</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随着红参提取物行业的迅猛发展，竞争也日益白热化。在市场获得成功需要不断创新。本红参提取物项目旨在为该行业带来创新性的解决方案，协助企业提高生产效率、降低成本，并在竞争中脱颖而出。</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许多企业在红参提取物领域面临共同挑战，例如高成本、低效率以及资源浪费等。这些问题不仅影响企业的盈利能力，还限制了其发展潜力。本红参提取物项目的目的在于解决这些问题，为企业提供创新解决方案，以协助其提高生产效率、降低成本，并取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快速发展，红参提取物行业也在不断演变。企业需要不断更新技术以跟上市场变化。本红参提取物项目旨在为该行业提供创新性解决方案，帮助企业利用最新技术提升生产效率、降低成本，并在竞争中取得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正处于转型时期的国家，中国在经济发展方面一直保持着坚实的基础。然而，在前进的道路上，我们仍然需要解决一些长期积累的结构性和体制性问题。供应侧和需求侧是我国经济增长的两个重要支柱，只有通过改革才能解决发展中的问题。此外，《中国制造2025》的发布不仅有助于推动我国传统制造业升级，还明确了未来战略性新兴产业的方向。这为我国经济的发展提供了引领，有助于优化资源配置，提高经济效率和质量。实施《中国制造2025》能够推动产业升级，提升科技创新能力，增强企业竞争力，促进经济的可持续发展。</w:t>
      </w:r>
    </w:p>
    <w:p>
      <w:pPr>
        <w:pStyle w:val="Heading2"/>
        <w:ind w:firstLine="560" w:firstLineChars="200"/>
        <w:rPr>
          <w:rFonts w:ascii="仿宋" w:eastAsia="仿宋" w:hAnsi="仿宋" w:cs="仿宋" w:hint="eastAsia"/>
          <w:sz w:val="28"/>
          <w:lang w:eastAsia="zh-CN"/>
        </w:rPr>
      </w:pPr>
      <w:bookmarkStart w:id="19" w:name="_Toc14906"/>
      <w:r>
        <w:rPr>
          <w:rFonts w:ascii="仿宋" w:eastAsia="仿宋" w:hAnsi="仿宋" w:cs="仿宋" w:hint="eastAsia"/>
          <w:sz w:val="28"/>
          <w:lang w:eastAsia="zh-CN"/>
        </w:rPr>
        <w:t>(四)、报告研究范围</w:t>
      </w:r>
      <w:bookmarkEnd w:id="19"/>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份报告主要聚焦于对国内外红参提取物相关市场供需状况以及红参提取物项目建设规模进行深入研究、分析和预测。同时，我们会提供关键的技术经济指标，以便对红参提取物相关项目的可行性做出更加科学的评价。然而，需要明确的是，这些评估仅供参考使用。</w:t>
      </w:r>
    </w:p>
    <w:p>
      <w:pPr>
        <w:pStyle w:val="Heading2"/>
        <w:ind w:firstLine="560" w:firstLineChars="200"/>
        <w:rPr>
          <w:rFonts w:ascii="仿宋" w:eastAsia="仿宋" w:hAnsi="仿宋" w:cs="仿宋" w:hint="eastAsia"/>
          <w:sz w:val="28"/>
          <w:lang w:eastAsia="zh-CN"/>
        </w:rPr>
      </w:pPr>
      <w:bookmarkStart w:id="20" w:name="_Toc12056"/>
      <w:r>
        <w:rPr>
          <w:rFonts w:ascii="仿宋" w:eastAsia="仿宋" w:hAnsi="仿宋" w:cs="仿宋" w:hint="eastAsia"/>
          <w:sz w:val="28"/>
          <w:lang w:eastAsia="zh-CN"/>
        </w:rPr>
        <w:t>(五)、红参提取物项目建设必要性分析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当前，处于重要领域和前沿方向的信息技术、新能源、新材料、生物技术等正经历着深刻的革命性突破，并呈现出彼此交织的交叉融合趋势。这一发展动态将催生全新的产业变革，对全球制造业产生颠覆性的影响，从而逐步塑造和改变全球制造业的演进轨迹。值得特别关注的是，新一代信息技术与制造业的深度融合，正引领着制造模式、生产组织方式以及产业形态的全面重塑。</w:t>
      </w:r>
    </w:p>
    <w:p>
      <w:pPr>
        <w:ind w:firstLine="560" w:firstLineChars="200"/>
        <w:rPr>
          <w:rFonts w:ascii="仿宋" w:eastAsia="仿宋" w:hAnsi="仿宋" w:cs="仿宋" w:hint="eastAsia"/>
          <w:sz w:val="28"/>
        </w:rPr>
      </w:pPr>
      <w:r>
        <w:rPr>
          <w:rFonts w:ascii="仿宋" w:eastAsia="仿宋" w:hAnsi="仿宋" w:cs="仿宋" w:hint="eastAsia"/>
          <w:sz w:val="28"/>
          <w:lang w:eastAsia="zh-CN"/>
        </w:rPr>
        <w:t>众所周知，像德国的工业4.0、美国的工业互联网、法国的新工业等发达国家，纷纷将建立制造业竞争优势视为战略目标，他们正迅速在信息基础设施、核心技术产业、数据战略资产，以及以智能制造为核心的网络经济体系等领域展开战略部署。这些国家的目标是维持技术和产业领域的领先地位，以确保在全球价值链高端制造领域占据有利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新趋势无疑对我国的产业结构升级提出了严峻挑战，要求我们迅速作出有力应对。然而，与挑战并行的是难得的机遇。我国制造业同样面临着在这场全球性的产业变革中崭露头角的机会。通过紧紧抓住这一机遇，我们可以加速推动自身的技术升级、创新转型，以适应和引领全球制造业的新潮流。</w:t>
      </w:r>
    </w:p>
    <w:p>
      <w:pPr>
        <w:pStyle w:val="Heading2"/>
        <w:ind w:firstLine="560" w:firstLineChars="200"/>
        <w:rPr>
          <w:rFonts w:ascii="仿宋" w:eastAsia="仿宋" w:hAnsi="仿宋" w:cs="仿宋" w:hint="eastAsia"/>
          <w:sz w:val="28"/>
          <w:lang w:eastAsia="zh-CN"/>
        </w:rPr>
      </w:pPr>
      <w:bookmarkStart w:id="21" w:name="_Toc2752"/>
      <w:r>
        <w:rPr>
          <w:rFonts w:ascii="仿宋" w:eastAsia="仿宋" w:hAnsi="仿宋" w:cs="仿宋" w:hint="eastAsia"/>
          <w:sz w:val="28"/>
          <w:lang w:eastAsia="zh-CN"/>
        </w:rPr>
        <w:t>(六)、产品方案</w:t>
      </w:r>
      <w:bookmarkEnd w:id="21"/>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本红参提取物项目投产后的生产经营范围是：红参提取物相关行业及衍生产业。</w:t>
      </w:r>
    </w:p>
    <w:p>
      <w:pPr>
        <w:pStyle w:val="Heading2"/>
        <w:ind w:firstLine="560" w:firstLineChars="200"/>
        <w:rPr>
          <w:rFonts w:ascii="仿宋" w:eastAsia="仿宋" w:hAnsi="仿宋" w:cs="仿宋" w:hint="eastAsia"/>
          <w:sz w:val="28"/>
          <w:lang w:eastAsia="zh-CN"/>
        </w:rPr>
      </w:pPr>
      <w:bookmarkStart w:id="22" w:name="_Toc10733"/>
      <w:r>
        <w:rPr>
          <w:rFonts w:ascii="仿宋" w:eastAsia="仿宋" w:hAnsi="仿宋" w:cs="仿宋" w:hint="eastAsia"/>
          <w:sz w:val="28"/>
          <w:lang w:eastAsia="zh-CN"/>
        </w:rPr>
        <w:t>(七)、红参提取物项目总投资估算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红参提取物相关项目固定资产投资：XXXXX万元。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红参提取物项目总投资：XXXXX万元人。</w:t>
      </w:r>
    </w:p>
    <w:p>
      <w:pPr>
        <w:pStyle w:val="Heading2"/>
        <w:ind w:firstLine="560" w:firstLineChars="200"/>
        <w:rPr>
          <w:rFonts w:ascii="仿宋" w:eastAsia="仿宋" w:hAnsi="仿宋" w:cs="仿宋" w:hint="eastAsia"/>
          <w:sz w:val="28"/>
          <w:lang w:eastAsia="zh-CN"/>
        </w:rPr>
      </w:pPr>
      <w:bookmarkStart w:id="23" w:name="_Toc21287"/>
      <w:r>
        <w:rPr>
          <w:rFonts w:ascii="仿宋" w:eastAsia="仿宋" w:hAnsi="仿宋" w:cs="仿宋" w:hint="eastAsia"/>
          <w:sz w:val="28"/>
          <w:lang w:eastAsia="zh-CN"/>
        </w:rPr>
        <w:t>(八)、红参提取物项目工艺技术装备方案的选择</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根据“保护环境和节约能源”的原则，本方案经过调研和分析后综合考量，已经达到了目前国内较为先进的水平。</w:t>
      </w:r>
    </w:p>
    <w:p>
      <w:pPr>
        <w:pStyle w:val="Heading2"/>
        <w:ind w:firstLine="560" w:firstLineChars="200"/>
        <w:rPr>
          <w:rFonts w:ascii="仿宋" w:eastAsia="仿宋" w:hAnsi="仿宋" w:cs="仿宋" w:hint="eastAsia"/>
          <w:sz w:val="28"/>
          <w:lang w:eastAsia="zh-CN"/>
        </w:rPr>
      </w:pPr>
      <w:bookmarkStart w:id="24" w:name="_Toc11179"/>
      <w:r>
        <w:rPr>
          <w:rFonts w:ascii="仿宋" w:eastAsia="仿宋" w:hAnsi="仿宋" w:cs="仿宋" w:hint="eastAsia"/>
          <w:sz w:val="28"/>
          <w:lang w:eastAsia="zh-CN"/>
        </w:rPr>
        <w:t>(九)、红参提取物项目实施进度建议</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红参提取物项目建设期：XX个月。</w:t>
      </w:r>
    </w:p>
    <w:p>
      <w:pPr>
        <w:pStyle w:val="Heading2"/>
        <w:ind w:firstLine="560" w:firstLineChars="200"/>
        <w:rPr>
          <w:rFonts w:ascii="仿宋" w:eastAsia="仿宋" w:hAnsi="仿宋" w:cs="仿宋" w:hint="eastAsia"/>
          <w:sz w:val="28"/>
          <w:lang w:eastAsia="zh-CN"/>
        </w:rPr>
      </w:pPr>
      <w:bookmarkStart w:id="25" w:name="_Toc11319"/>
      <w:r>
        <w:rPr>
          <w:rFonts w:ascii="仿宋" w:eastAsia="仿宋" w:hAnsi="仿宋" w:cs="仿宋" w:hint="eastAsia"/>
          <w:sz w:val="28"/>
          <w:lang w:eastAsia="zh-CN"/>
        </w:rPr>
        <w:t>(十)、红参提取物相关研究结论</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随着我国国民经济持续高速发展，市场对于红参提取物的需求正呈现持续增长的态势。本红参提取物项目的构建不仅契合国家产业政策和行业发展蓝图，同时也在预测中显示，红参提取物在国内市场上将拥有广阔的销售空间。这为红参提取物项目的前景描绘了一幅充满希望的画卷，市场潜力则显得十分巨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我们计划在位于xxx开发区进行红参提取物项目建设，这一选址决策严格遵循了工业红参提取物项目用地规划。而且，开发区交通运输便利，为红参提取物项目的顺利推进提供了有力的支持。</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红参提取物项目拟投资总额预计为xxxxx万元。其中，固定资产投资占据xxxxx万元，而流动资金方面预计达到xxxxx万元。一旦红参提取物项目启动实施，预测企业年销售收入将达到xxxxx万元，年利税收入将达到xxxxx万元。具体分析表明，年度预期纯利润将达到xxxxx万元，而预计纳税总额则可达到xxxxx万元。从经济角度来看，红参提取物项目税后平均投资利润率预计将达到xxxxx%，税后平均投资利税率将为xxxxx%，而全部投资回报率有望达到xxxxx%。此外，全部投资回收期预计将在（含建设期）年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以上数据的分析和综合，清楚地揭示了红参提取物项目实施的巨大潜力和较佳的经济效益。综合上述因素，我们可以得出结论，红参提取物项目的可行性充分验证。</w:t>
      </w:r>
    </w:p>
    <w:p>
      <w:pPr>
        <w:pStyle w:val="Heading2"/>
        <w:ind w:firstLine="560" w:firstLineChars="200"/>
        <w:rPr>
          <w:rFonts w:ascii="仿宋" w:eastAsia="仿宋" w:hAnsi="仿宋" w:cs="仿宋" w:hint="eastAsia"/>
          <w:sz w:val="28"/>
          <w:lang w:eastAsia="zh-CN"/>
        </w:rPr>
      </w:pPr>
      <w:bookmarkStart w:id="26" w:name="_Toc14390"/>
      <w:r>
        <w:rPr>
          <w:rFonts w:ascii="仿宋" w:eastAsia="仿宋" w:hAnsi="仿宋" w:cs="仿宋" w:hint="eastAsia"/>
          <w:sz w:val="28"/>
          <w:lang w:eastAsia="zh-CN"/>
        </w:rPr>
        <w:t>(十一)、红参提取物项目规划及市场分析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基于国内市场需求的深刻分析，我们的红参提取物项目计划将重点放在红参提取物产品上。这一产品的主要应用领域是XXXX，鉴于我国作为人口大国，近年来消费水平不断攀升，这进一步拓展了红参提取物产品的市场前景。我们有信心通过此举为XXXX领域的蓬勃发展贡献一份积极的力量。</w:t>
      </w:r>
    </w:p>
    <w:p>
      <w:pPr>
        <w:pStyle w:val="Heading1"/>
        <w:ind w:firstLine="560" w:firstLineChars="200"/>
        <w:rPr>
          <w:rFonts w:ascii="仿宋" w:eastAsia="仿宋" w:hAnsi="仿宋" w:cs="仿宋" w:hint="eastAsia"/>
          <w:sz w:val="28"/>
          <w:lang w:eastAsia="zh-CN"/>
        </w:rPr>
      </w:pPr>
      <w:bookmarkStart w:id="27" w:name="_Toc10118"/>
      <w:r>
        <w:rPr>
          <w:rFonts w:ascii="仿宋" w:eastAsia="仿宋" w:hAnsi="仿宋" w:cs="仿宋" w:hint="eastAsia"/>
          <w:sz w:val="28"/>
          <w:lang w:eastAsia="zh-CN"/>
        </w:rPr>
        <w:t>六、红参提取物可行性项目环境保护</w:t>
      </w:r>
      <w:bookmarkEnd w:id="27"/>
    </w:p>
    <w:p>
      <w:pPr>
        <w:pStyle w:val="Heading2"/>
        <w:rPr>
          <w:rFonts w:ascii="仿宋" w:eastAsia="仿宋" w:hAnsi="仿宋" w:cs="仿宋" w:hint="eastAsia"/>
          <w:lang w:eastAsia="zh-CN"/>
        </w:rPr>
      </w:pPr>
      <w:bookmarkStart w:id="28" w:name="_Toc11042"/>
      <w:r>
        <w:rPr>
          <w:rFonts w:ascii="仿宋" w:eastAsia="仿宋" w:hAnsi="仿宋" w:cs="仿宋" w:hint="eastAsia"/>
          <w:lang w:eastAsia="zh-CN"/>
        </w:rPr>
        <w:t>(一)、红参提取物项目污染物的来源</w:t>
      </w:r>
      <w:bookmarkEnd w:id="28"/>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在红参提取物项目的建设和运营过程中，我们充分意识到可能产生的污染源和污染物，出于环保责任的考虑，我们将积极采取以下应对措施：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（一）建设期污染源管理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建筑施工弃土和扬尘的产生是难以避免的，但我们将采取覆盖、洒水等措施来控制建筑垃圾的扩散，减少对空气和环境的影响。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我们会选择在非工作时间进行施工机械作业，通过声音隔离、降噪设备等方式，减少施工噪声对周边居民的影响。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建筑施工人员的生活废水和垃圾将进行妥善处理，确保不对周边环境造成污染。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在装饰工程中，我们将选择低挥发性的涂料和油漆，以减少废气排放对空气质量的影响。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（二）运营期污染源管理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我们将建立废水处理系统，对办公和生活废水进行处理，确保达标排放，不对水环境造成污染。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生产过程中排放的工艺废气将经过净化处理，以降低气体污染物的排放浓度，维护空气清新。</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我们将实施分类收集和合理处置固体废弃物，以最小化对环境的影响。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动力设备的噪音问题也将得到重视，我们将选用低噪音设备，同时采取声音隔离和降噪技术，减少噪音扰民。</w:t>
      </w:r>
    </w:p>
    <w:p>
      <w:pPr>
        <w:pStyle w:val="Heading2"/>
        <w:ind w:firstLine="560" w:firstLineChars="200"/>
        <w:rPr>
          <w:rFonts w:ascii="仿宋" w:eastAsia="仿宋" w:hAnsi="仿宋" w:cs="仿宋" w:hint="eastAsia"/>
          <w:sz w:val="28"/>
          <w:lang w:eastAsia="zh-CN"/>
        </w:rPr>
      </w:pPr>
      <w:bookmarkStart w:id="29" w:name="_Toc18777"/>
      <w:r>
        <w:rPr>
          <w:rFonts w:ascii="仿宋" w:eastAsia="仿宋" w:hAnsi="仿宋" w:cs="仿宋" w:hint="eastAsia"/>
          <w:sz w:val="28"/>
          <w:lang w:eastAsia="zh-CN"/>
        </w:rPr>
        <w:t>(二)、红参提取物项目污染物的治理</w:t>
      </w:r>
      <w:bookmarkEnd w:id="29"/>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在整个红参提取物项目的建设和运营过程中，我们深知可能会对周围环境产生影响，因此我们制定了一系列的环保措施，以确保环境的可持续健康：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土建施工期环境影响分析及治理措施：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在土建施工期，我们预见可能出现以下环境影响因素：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扬尘和建筑垃圾： 为减少施工现场扬尘，我们计划通过洒水车辆进行定期洒水，同时设置围挡和覆盖物，以防止建筑垃圾散落。</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生活污水和生活垃圾： 我们将设立专业的污水处理系统，对生活污水进行处理后排放，同时设置垃圾分类点，确保生活垃圾得到有效分类和处理。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 采用低噪音设备、隔音措施以及施工时间的合理安排，我们致力于减少噪音对周边环境和居民的干扰。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废气： 我们将选择环保标准合格的涂料和油漆，并安装通风设施，以最小化装饰工程废气的影响。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红参提取物项目营运期环境影响分析及治理措施：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在红参提取物项目营运期，可能会产生以下环境影响因素：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废水： 我们将建立高效的污水处理系统，确保生活和办公废水得到适当处理后排放，以保护水资源的健康。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工艺废气： 通过引入先进的环保技术和设备，我们将对工艺废气进行有效净化处理，以降低对大气环境的影响。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生活及办公垃圾： 引入垃圾分类制度和现代垃圾处理设施，我们将有效管理生活及办公垃圾，实现最优化的资源利用。</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噪音：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结合隔音技术和设备运行时间的合理控制，我们将降低生产过程中产生的噪音对周围环境的影响。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通过以上的环保措施，我们致力于减少红参提取物项目对环境的不利影响，确保环境的健康与可持续，为社会和未来留下更美好的生态环境。</w:t>
      </w:r>
    </w:p>
    <w:p>
      <w:pPr>
        <w:pStyle w:val="Heading2"/>
        <w:ind w:firstLine="560" w:firstLineChars="200"/>
        <w:rPr>
          <w:rFonts w:ascii="仿宋" w:eastAsia="仿宋" w:hAnsi="仿宋" w:cs="仿宋" w:hint="eastAsia"/>
          <w:sz w:val="28"/>
          <w:lang w:eastAsia="zh-CN"/>
        </w:rPr>
      </w:pPr>
      <w:bookmarkStart w:id="30" w:name="_Toc23164"/>
      <w:r>
        <w:rPr>
          <w:rFonts w:ascii="仿宋" w:eastAsia="仿宋" w:hAnsi="仿宋" w:cs="仿宋" w:hint="eastAsia"/>
          <w:sz w:val="28"/>
          <w:lang w:eastAsia="zh-CN"/>
        </w:rPr>
        <w:t>(三)、红参提取物项目环境保护结论</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推进水资源循环利用和废水处理回用是重要的环保措施，具有缓解水资源短缺和保护环境的重要意义。为实现这一目标，我们可以采取以下综合措施：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首先，加强宣传教育，提高公众对水资源循环利用和废水处理回用的认识和意识，以促进全社会的参与和支持。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其次，推广节水技术和设备，降低水资源的消耗量，提高水资源的利用效率，为水资源的循环利用和废水处理回用提供必要的条件。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第三，制定合理的政策法规，规范水资源的开发利用和废水处理回用的行为，以确保水资源的合理分配和有效利用。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第四，加强技术研发和应用，提高废水处理和回用的技术水平，推动水资源的可持续利用。例如，推广使用高效沉淀、生物膜反应器、高级氧化等技术来处理废水，并开发新型的回用水处理设备，以满足不同行业和用户的需求。</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最后，建立健全水资源管理和监管机制，加强水资源管理和监管力度，确保水资源的合理分配和有效利用。同时，加强水资源监测和统计工作，及时掌握水资源利用情况，为水资源管理和决策提供科学依据。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综上所述，推进水资源循环利用和废水处理回用需要全社会的共同努力，采取综合措施，促进水资源的可持续利用，为建设美好的生态环境做出贡献。</w:t>
      </w:r>
    </w:p>
    <w:p>
      <w:pPr>
        <w:pStyle w:val="Heading1"/>
        <w:ind w:firstLine="560" w:firstLineChars="200"/>
        <w:rPr>
          <w:rFonts w:ascii="仿宋" w:eastAsia="仿宋" w:hAnsi="仿宋" w:cs="仿宋" w:hint="eastAsia"/>
          <w:sz w:val="28"/>
          <w:lang w:eastAsia="zh-CN"/>
        </w:rPr>
      </w:pPr>
      <w:bookmarkStart w:id="31" w:name="_Toc28393"/>
      <w:r>
        <w:rPr>
          <w:rFonts w:ascii="仿宋" w:eastAsia="仿宋" w:hAnsi="仿宋" w:cs="仿宋" w:hint="eastAsia"/>
          <w:sz w:val="28"/>
          <w:lang w:eastAsia="zh-CN"/>
        </w:rPr>
        <w:t>七、未来发展趋势和战略规划</w:t>
      </w:r>
      <w:bookmarkEnd w:id="31"/>
    </w:p>
    <w:p>
      <w:pPr>
        <w:pStyle w:val="Heading2"/>
        <w:rPr>
          <w:rFonts w:ascii="仿宋" w:eastAsia="仿宋" w:hAnsi="仿宋" w:cs="仿宋" w:hint="eastAsia"/>
          <w:lang w:eastAsia="zh-CN"/>
        </w:rPr>
      </w:pPr>
      <w:bookmarkStart w:id="32" w:name="_Toc30869"/>
      <w:r>
        <w:rPr>
          <w:rFonts w:ascii="仿宋" w:eastAsia="仿宋" w:hAnsi="仿宋" w:cs="仿宋" w:hint="eastAsia"/>
          <w:lang w:eastAsia="zh-CN"/>
        </w:rPr>
        <w:t>(一)、红参提取物行业未来发展趋势的预测</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数字化转型：红参提取物行业将继续受益于技术创新和数字化转型的推动。随着人工智能、大数据分析、物联网和区块链等技术的不断成熟和应用，红参提取物行业将迎来更高效、智能化的生产和运营模式。这将带来更多的自动化和智能化设备，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环保意识：在全球范围内，可持续发展和环保意识的提高将对红参提取物行业产生深远的影响。消费者对环境友好和可持续性的产品需求不断增加，政府对环境保护和碳排放的要求也日益严格。因此，红参提取物行业将面临更多的环保压力和需求，需要加强环境管理和绿色生产，推动可持续发展。</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个性化和定制化需求：随着消费者需求的多样化和个性化趋势的加强，红参提取物行业将面临更多的定制化需求。消费者对个性化产品和服务的追求将推动红参提取物行业加强产品创新和灵活生产能力，以满足不同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市场拓展和全球化竞争：随着全球贸易的深入发展和市场的全球化，红参提取物行业将面临更加激烈的国际竞争。国际市场的拓展将成为红参提取物企业发展的重要战略方向，需要加强市场调研、品牌建设和国际合作，以提升在全球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人才培养和创新能力：红参提取物行业的发展将离不开人才培养和创新能力的提升。随着技术和市场的变化，红参提取物企业需要培养具备创新思维和跨领域能力的人才，以应对行业的挑战和机遇。</w:t>
      </w:r>
    </w:p>
    <w:p>
      <w:pPr>
        <w:pStyle w:val="Heading2"/>
        <w:ind w:firstLine="560" w:firstLineChars="200"/>
        <w:rPr>
          <w:rFonts w:ascii="仿宋" w:eastAsia="仿宋" w:hAnsi="仿宋" w:cs="仿宋" w:hint="eastAsia"/>
          <w:sz w:val="28"/>
          <w:lang w:eastAsia="zh-CN"/>
        </w:rPr>
      </w:pPr>
      <w:bookmarkStart w:id="33" w:name="_Toc27500"/>
      <w:r>
        <w:rPr>
          <w:rFonts w:ascii="仿宋" w:eastAsia="仿宋" w:hAnsi="仿宋" w:cs="仿宋" w:hint="eastAsia"/>
          <w:sz w:val="28"/>
          <w:lang w:eastAsia="zh-CN"/>
        </w:rPr>
        <w:t>(二)、红参提取物项目产品在未来的发展和规划</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市场前景评估：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市场趋势和需求：分析目标市场的发展趋势和需求情况，了解市场规模、增长率和竞争态势，评估红参提取物项目产品在市场中的定位和潜在机会。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受益群体和目标用户：确定红参提取物项目产品的受益群体和目标用户，分析他们的需求和偏好，了解他们对红参提取物项目产品的接受度和购买意愿。</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产品功能和特点：明确红参提取物项目产品的核心功能和特点，强调其与现有产品的差异化和竞争优势，以满足市场需求和用户期望。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技术创新和改进：考虑技术创新和改进的方向，提升产品的性能、可靠性和用户体验，增强产品的市场竞争力和用户满意度。</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产品线扩展：根据市场需求和用户反馈，规划产品线的扩展和升级，开发新的产品版本或衍生产品，拓展市场份额和增加收益来源。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规划策略：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市场定位和目标市场：明确红参提取物项目产品的市场定位和目标市场，确定目标市场的规模、地域、行业等特征，制定相应的市场开拓策略。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销售和渠道策略：制定销售和渠道策略，选择合适的销售渠道和合作伙伴，确保产品的广泛传播和销售渠道的覆盖度。</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宣传推广和品牌建设：制定宣传推广和品牌建设策略，通过市场营销活动、在线和离线渠道的宣传推广，提升产品的知名度和品牌影响力。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用户关系管理：建立良好的用户关系管理体系，与用户保持紧密联系，收集用户反馈和需求，提供优质的售后服务和支持。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市场竞争和替代品：评估市场竞争对手和替代产品的存在和影响，制定相应的竞争策略和产品差异化措施，提高产品的市场竞争力。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技术创新和变革：考虑技术创新和行业变革对产品发展的影响，及时调整和适应技术和市场的变化，降低技术和市场风险。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法律法规和合规要求：了解相关法律法规和合规要求，确保红参提取物项目产品的合法性和符合性，避免法律风险和不良影响。</w:t>
      </w:r>
    </w:p>
    <w:p>
      <w:pPr>
        <w:pStyle w:val="Heading2"/>
        <w:ind w:firstLine="560" w:firstLineChars="200"/>
        <w:rPr>
          <w:rFonts w:ascii="仿宋" w:eastAsia="仿宋" w:hAnsi="仿宋" w:cs="仿宋" w:hint="eastAsia"/>
          <w:sz w:val="28"/>
          <w:lang w:eastAsia="zh-CN"/>
        </w:rPr>
      </w:pPr>
      <w:bookmarkStart w:id="34" w:name="_Toc30021"/>
      <w:r>
        <w:rPr>
          <w:rFonts w:ascii="仿宋" w:eastAsia="仿宋" w:hAnsi="仿宋" w:cs="仿宋" w:hint="eastAsia"/>
          <w:sz w:val="28"/>
          <w:lang w:eastAsia="zh-CN"/>
        </w:rPr>
        <w:t>(三)、红参提取物项目的战略规划和实施方案</w:t>
      </w:r>
      <w:bookmarkEnd w:id="34"/>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义红参提取物项目愿景和目标：首先，需要明确红参提取物项目的愿景和目标。这包括确定红参提取物项目的核心价值主张、目标市场和受众群体。通过明确红参提取物项目愿景和目标，可以为后续的战略规划和实施提供明确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和竞争环境：在制定战略规划之前，需要进行市场调研和竞争分析，深入了解红参提取物项目所处的市场和竞争环境。这包括分析目标市场的规模、增长趋势、竞争对手的优势和弱点等。通过对市场和竞争环境的了解，可以制定出更具针对性的战略和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市场定位和品牌策略：基于市场调研和竞争分析的结果，需要确定红参提取物项目的市场定位和品牌策略。这包括确定红参提取物项目的目标客户群体、差异化的竞争优势以及品牌传播和推广的策略。通过明确市场定位和品牌策略，可以在市场中建立起独特的品牌形象和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营销和销售策略：在战略规划中，需要制定详细的营销和销售策略。这包括确定市场推广渠道、制定产品定价策略、制定销售目标和销售计划等。通过有效的营销和销售策略，可以促进红参提取物项目的市场渗透和销售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组织和资源需求：在实施方案中，需要明确红参提取物项目所需的组织结构和资源需求。这包括确定红参提取物项目团队的组成和职责分工、确定所需的技术和设备资源、以及制定红参提取物项目的预算和资金筹集计划等。通过合理配置组织和资源，可以支持红参提取物项目的顺利实施和运营。</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定风险管理和监控计划：在战略规划和实施方案中，需要考虑风险管理和监控计划。这包括识别潜在的风险和挑战，并制定相应的应对策略和监控机制。通过有效的风险管理和监控，可以降低红参提取物项目失败的风险，并及时应对可能出现的问题。</w:t>
      </w:r>
    </w:p>
    <w:p>
      <w:pPr>
        <w:pStyle w:val="Heading1"/>
        <w:ind w:firstLine="560" w:firstLineChars="200"/>
        <w:rPr>
          <w:rFonts w:ascii="仿宋" w:eastAsia="仿宋" w:hAnsi="仿宋" w:cs="仿宋" w:hint="eastAsia"/>
          <w:sz w:val="28"/>
          <w:lang w:eastAsia="zh-CN"/>
        </w:rPr>
      </w:pPr>
      <w:bookmarkStart w:id="35" w:name="_Toc15058"/>
      <w:r>
        <w:rPr>
          <w:rFonts w:ascii="仿宋" w:eastAsia="仿宋" w:hAnsi="仿宋" w:cs="仿宋" w:hint="eastAsia"/>
          <w:sz w:val="28"/>
          <w:lang w:eastAsia="zh-CN"/>
        </w:rPr>
        <w:t>八、社会责任和可持续发展</w:t>
      </w:r>
      <w:bookmarkEnd w:id="35"/>
    </w:p>
    <w:p>
      <w:pPr>
        <w:pStyle w:val="Heading2"/>
        <w:rPr>
          <w:rFonts w:ascii="仿宋" w:eastAsia="仿宋" w:hAnsi="仿宋" w:cs="仿宋" w:hint="eastAsia"/>
          <w:lang w:eastAsia="zh-CN"/>
        </w:rPr>
      </w:pPr>
      <w:bookmarkStart w:id="36" w:name="_Toc25165"/>
      <w:r>
        <w:rPr>
          <w:rFonts w:ascii="仿宋" w:eastAsia="仿宋" w:hAnsi="仿宋" w:cs="仿宋" w:hint="eastAsia"/>
          <w:lang w:eastAsia="zh-CN"/>
        </w:rPr>
        <w:t>(一)、红参提取物项目对社会责任的承担和履行</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在评估方面，我们需要采用科学的方法，考虑红参提取物项目在建设和运营过程中可能对生态环境、社会公平和经济可持续发展造成的影响，以便为后续社会责任履行提供依据。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责任履行方面，我们需要制定环境保护措施、社会公益红参提取物项目、员工福利计划等。在环境保护方面，红参提取物项目可以采取节能减排、资源循环利用等措施，减少对环境的负面影响。在社会公益方面，红参提取物项目可以通过捐赠、志愿者活动等方式回馈社会，提升社区的发展和福利水平。同时，红参提取物项目还应关注员工权益，提供良好的工作环境、培训机会和福利待遇，实现共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为了确保社会责任履行的有效性，我们需要建立监测和评估机制，定期对社会责任履行方案进行评估和调整。同时，我们还需要加强与相关利益相关方的沟通和合作，共同推动可持续发展。</w:t>
      </w:r>
    </w:p>
    <w:p>
      <w:pPr>
        <w:pStyle w:val="Heading2"/>
        <w:ind w:firstLine="560" w:firstLineChars="200"/>
        <w:rPr>
          <w:rFonts w:ascii="仿宋" w:eastAsia="仿宋" w:hAnsi="仿宋" w:cs="仿宋" w:hint="eastAsia"/>
          <w:sz w:val="28"/>
          <w:lang w:eastAsia="zh-CN"/>
        </w:rPr>
      </w:pPr>
      <w:bookmarkStart w:id="37" w:name="_Toc24355"/>
      <w:r>
        <w:rPr>
          <w:rFonts w:ascii="仿宋" w:eastAsia="仿宋" w:hAnsi="仿宋" w:cs="仿宋" w:hint="eastAsia"/>
          <w:sz w:val="28"/>
          <w:lang w:eastAsia="zh-CN"/>
        </w:rPr>
        <w:t>(二)、可持续发展的目标和实施方案</w:t>
      </w:r>
      <w:bookmarkEnd w:id="3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https://d.book118.com/157065156003006025</w:t>
        </w:r>
      </w:hyperlink>
    </w:p>
    <w:p>
      <w:pPr>
        <w:ind w:firstLine="560" w:firstLineChars="200"/>
        <w:rPr>
          <w:rFonts w:ascii="仿宋" w:eastAsia="仿宋" w:hAnsi="仿宋" w:cs="仿宋" w:hint="eastAsia"/>
          <w:sz w:val="28"/>
        </w:rPr>
      </w:pPr>
    </w:p>
    <w:sectPr>
      <w:headerReference w:type="default" r:id="rId58"/>
      <w:footerReference w:type="default" r:id="rId59"/>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B93901"/>
    <w:rsid w:val="19B939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yperlink" Target="https://d.book118.com/157065156003006025" TargetMode="Externa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2023-12-15T06:53:00Z</dcterms:created>
  <dcterms:modified xsi:type="dcterms:W3CDTF">2023-12-15T06:53:31Z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