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2018-2023年无锡城市职业技术学院高职单招（数学／语文／英语）历年常考试题库含答案解析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李密的《陈情表》是一篇（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朱自清早期参加的文学社团是（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A.“新月社”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B.“文学研究会”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C.“创造社”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D.“左翼作家联盟”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下列诗作中，属于乐府旧题的是（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A.《关山月》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“多诈的人渺视学问，愚鲁的人羡慕学问，聪明的人运用学问”此句出自（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A.茅盾的《香市》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B.朱光潜的《选择与安排》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C.培根的《论学问》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D.梁实秋的《谈时间》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“井蛙不可以语于海者，拘于虚也；夏虫不可以语于冰者，笃于时也；曲士不可以语于道者，束于教也”交融运用了（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A.夸张、排比、比喻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B.比喻、拟人、排比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C.借代、对偶、拟人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D.拟人、夸张、对偶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《长亭送别》中，表现莺莺对现实不满的最为强烈的曲词是（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A.有梦也难寻觅。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B.但得一个并头莲，煞强如状元及第。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C.前暮私情，昨夜成亲，今日别离。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我国第一部纪传体通史是（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在下列词作中富有主见的是（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A.李煜《虞美人（春花秋月何时了）》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B.柳永《八声甘州（对潇潇暮雨洒江天）》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C.苏轼《水调歌头（明月几时有）》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D.李清照《声声慢（寻寻觅觅）》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下列作品中，属于记事散文的是（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A.曹禺《日出》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B.郁达夫《故都的秋》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C.茅盾《香市》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D.鲁迅《灯下漫笔》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“出师未捷身先死，长使英雄泪满襟”。此句中所指人物和作者分别是（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A.岳飞，辛弃疾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B.周瑜，杜甫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C.诸葛亮，杜甫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D.诸葛亮，李白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《季氏将伐颛臾》中用“危而不持，颠而不扶”说理，其论证方法属于（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A.在某些方面相反或对立的不同事物之间的比较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B.在某些方面相同或相近的不同事物之间的比较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C.由个别到一般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D.由一般到个别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曹禺的代表作是（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A.《雷雨》、《日出》、《北京人》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B.《茶馆》、《屈原》、《北京人》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C.《茶馆》、《雷雨》、《日出》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D.《屈原》、《茶馆》、《雷雨》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屈原根据战国时期楚地祭祀乐歌加工而成的组诗是（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B.《楚辞》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https://d.book118.com/157102011156006044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57102011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