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通用照明行业企业战略风险管理报告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7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_Toc17173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8" w:history="1">
        <w:r>
          <w:rPr>
            <w:rFonts w:ascii="仿宋" w:eastAsia="仿宋" w:hAnsi="仿宋" w:cs="仿宋" w:hint="eastAsia"/>
            <w:lang w:val="en-US"/>
          </w:rPr>
          <w:t>一、通用照明项目建设单位基本情况</w:t>
        </w:r>
        <w:r>
          <w:tab/>
        </w:r>
        <w:r>
          <w:fldChar w:fldCharType="begin"/>
        </w:r>
        <w:r>
          <w:instrText xml:space="preserve"> PAGEREF _Toc17498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3" w:history="1">
        <w:r>
          <w:rPr>
            <w:rFonts w:ascii="仿宋" w:eastAsia="仿宋" w:hAnsi="仿宋" w:cs="仿宋" w:hint="eastAsia"/>
            <w:lang w:val="en-US"/>
          </w:rPr>
          <w:t>(一)、通用照明项目建设单位基本情况</w:t>
        </w:r>
        <w:r>
          <w:tab/>
        </w:r>
        <w:r>
          <w:fldChar w:fldCharType="begin"/>
        </w:r>
        <w:r>
          <w:instrText xml:space="preserve"> PAGEREF _Toc9643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val="en-US"/>
          </w:rPr>
          <w:t>(二)、通用照明项目主管单位基本情况</w:t>
        </w:r>
        <w:r>
          <w:tab/>
        </w:r>
        <w:r>
          <w:fldChar w:fldCharType="begin"/>
        </w:r>
        <w:r>
          <w:instrText xml:space="preserve"> PAGEREF _Toc19081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val="en-US"/>
          </w:rPr>
          <w:t>(三)、通用照明项目技术协作单位基本情况</w:t>
        </w:r>
        <w:r>
          <w:tab/>
        </w:r>
        <w:r>
          <w:fldChar w:fldCharType="begin"/>
        </w:r>
        <w:r>
          <w:instrText xml:space="preserve"> PAGEREF _Toc22769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val="en-US"/>
          </w:rPr>
          <w:t>二、通用照明技术创新的分类</w:t>
        </w:r>
        <w:r>
          <w:tab/>
        </w:r>
        <w:r>
          <w:fldChar w:fldCharType="begin"/>
        </w:r>
        <w:r>
          <w:instrText xml:space="preserve"> PAGEREF _Toc28769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val="en-US"/>
          </w:rPr>
          <w:t>(一)、通用照明技术创新的分类</w:t>
        </w:r>
        <w:r>
          <w:tab/>
        </w:r>
        <w:r>
          <w:fldChar w:fldCharType="begin"/>
        </w:r>
        <w:r>
          <w:instrText xml:space="preserve"> PAGEREF _Toc29962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val="en-US"/>
          </w:rPr>
          <w:t>三、地理位置与选址分析</w:t>
        </w:r>
        <w:r>
          <w:tab/>
        </w:r>
        <w:r>
          <w:fldChar w:fldCharType="begin"/>
        </w:r>
        <w:r>
          <w:instrText xml:space="preserve"> PAGEREF _Toc3413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8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_Toc31758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9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_Toc18889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_Toc4309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_Toc28972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_Toc7458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4" w:history="1">
        <w:r>
          <w:rPr>
            <w:rFonts w:ascii="仿宋" w:eastAsia="仿宋" w:hAnsi="仿宋" w:cs="仿宋" w:hint="eastAsia"/>
            <w:lang w:val="en-US"/>
          </w:rPr>
          <w:t>四、战略风险的含义及分类</w:t>
        </w:r>
        <w:r>
          <w:tab/>
        </w:r>
        <w:r>
          <w:fldChar w:fldCharType="begin"/>
        </w:r>
        <w:r>
          <w:instrText xml:space="preserve"> PAGEREF _Toc10754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_Toc10766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val="en-US"/>
          </w:rPr>
          <w:t>(二)、通用照明行业企业战略风险的分类</w:t>
        </w:r>
        <w:r>
          <w:tab/>
        </w:r>
        <w:r>
          <w:fldChar w:fldCharType="begin"/>
        </w:r>
        <w:r>
          <w:instrText xml:space="preserve"> PAGEREF _Toc27414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val="en-US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_Toc1253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5" w:history="1">
        <w:r>
          <w:rPr>
            <w:rFonts w:ascii="仿宋" w:eastAsia="仿宋" w:hAnsi="仿宋" w:cs="仿宋" w:hint="eastAsia"/>
            <w:lang w:val="en-US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_Toc32625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val="en-US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_Toc23509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val="en-US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_Toc14020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val="en-US"/>
          </w:rPr>
          <w:t>六、通用照明知识产权管理</w:t>
        </w:r>
        <w:r>
          <w:tab/>
        </w:r>
        <w:r>
          <w:fldChar w:fldCharType="begin"/>
        </w:r>
        <w:r>
          <w:instrText xml:space="preserve"> PAGEREF _Toc6424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_Toc3686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val="en-US"/>
          </w:rPr>
          <w:t>七、发展规划分析</w:t>
        </w:r>
        <w:r>
          <w:tab/>
        </w:r>
        <w:r>
          <w:fldChar w:fldCharType="begin"/>
        </w:r>
        <w:r>
          <w:instrText xml:space="preserve"> PAGEREF _Toc14474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_Toc16160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_Toc29382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51" w:history="1">
        <w:r>
          <w:rPr>
            <w:rFonts w:ascii="仿宋" w:eastAsia="仿宋" w:hAnsi="仿宋" w:cs="仿宋" w:hint="eastAsia"/>
            <w:lang w:val="en-US"/>
          </w:rPr>
          <w:t>八、通用照明组织市场分析</w:t>
        </w:r>
        <w:r>
          <w:tab/>
        </w:r>
        <w:r>
          <w:fldChar w:fldCharType="begin"/>
        </w:r>
        <w:r>
          <w:instrText xml:space="preserve"> PAGEREF _Toc15951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val="en-US"/>
          </w:rPr>
          <w:t>(一)、组织结构</w:t>
        </w:r>
        <w:r>
          <w:tab/>
        </w:r>
        <w:r>
          <w:fldChar w:fldCharType="begin"/>
        </w:r>
        <w:r>
          <w:instrText xml:space="preserve"> PAGEREF _Toc12854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3" w:history="1">
        <w:r>
          <w:rPr>
            <w:rFonts w:ascii="仿宋" w:eastAsia="仿宋" w:hAnsi="仿宋" w:cs="仿宋" w:hint="eastAsia"/>
            <w:lang w:val="en-US"/>
          </w:rPr>
          <w:t>(二)、决策机制</w:t>
        </w:r>
        <w:r>
          <w:tab/>
        </w:r>
        <w:r>
          <w:fldChar w:fldCharType="begin"/>
        </w:r>
        <w:r>
          <w:instrText xml:space="preserve"> PAGEREF _Toc29993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val="en-US"/>
          </w:rPr>
          <w:t>(三)、企业文化</w:t>
        </w:r>
        <w:r>
          <w:tab/>
        </w:r>
        <w:r>
          <w:fldChar w:fldCharType="begin"/>
        </w:r>
        <w:r>
          <w:instrText xml:space="preserve"> PAGEREF _Toc10698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val="en-US"/>
          </w:rPr>
          <w:t>(四)、供应商关系</w:t>
        </w:r>
        <w:r>
          <w:tab/>
        </w:r>
        <w:r>
          <w:fldChar w:fldCharType="begin"/>
        </w:r>
        <w:r>
          <w:instrText xml:space="preserve"> PAGEREF _Toc18220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val="en-US"/>
          </w:rPr>
          <w:t>九、组织架构分析</w:t>
        </w:r>
        <w:r>
          <w:tab/>
        </w:r>
        <w:r>
          <w:fldChar w:fldCharType="begin"/>
        </w:r>
        <w:r>
          <w:instrText xml:space="preserve"> PAGEREF _Toc25127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_Toc2302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1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_Toc31121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val="en-US"/>
          </w:rPr>
          <w:t>十、工艺技术分析</w:t>
        </w:r>
        <w:r>
          <w:tab/>
        </w:r>
        <w:r>
          <w:fldChar w:fldCharType="begin"/>
        </w:r>
        <w:r>
          <w:instrText xml:space="preserve"> PAGEREF _Toc21315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_Toc29659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val="en-US"/>
          </w:rPr>
          <w:t>(二)、通用照明项目技术工艺分析</w:t>
        </w:r>
        <w:r>
          <w:tab/>
        </w:r>
        <w:r>
          <w:fldChar w:fldCharType="begin"/>
        </w:r>
        <w:r>
          <w:instrText xml:space="preserve"> PAGEREF _Toc14648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val="en-US"/>
          </w:rPr>
          <w:t>(三)、通用照明项目技术流程</w:t>
        </w:r>
        <w:r>
          <w:tab/>
        </w:r>
        <w:r>
          <w:fldChar w:fldCharType="begin"/>
        </w:r>
        <w:r>
          <w:instrText xml:space="preserve"> PAGEREF _Toc8993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val="en-US"/>
          </w:rPr>
          <w:t>十一、投资背景及必要性分析</w:t>
        </w:r>
        <w:r>
          <w:tab/>
        </w:r>
        <w:r>
          <w:fldChar w:fldCharType="begin"/>
        </w:r>
        <w:r>
          <w:instrText xml:space="preserve"> PAGEREF _Toc26901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val="en-US"/>
          </w:rPr>
          <w:t>(一)、通用照明项目承办单位背景分析</w:t>
        </w:r>
        <w:r>
          <w:tab/>
        </w:r>
        <w:r>
          <w:fldChar w:fldCharType="begin"/>
        </w:r>
        <w:r>
          <w:instrText xml:space="preserve"> PAGEREF _Toc14112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_Toc11389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_Toc12378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_Toc12688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_Toc7544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val="en-US"/>
          </w:rPr>
          <w:t>(六)、通用照明项目必要性分析</w:t>
        </w:r>
        <w:r>
          <w:tab/>
        </w:r>
        <w:r>
          <w:fldChar w:fldCharType="begin"/>
        </w:r>
        <w:r>
          <w:instrText xml:space="preserve"> PAGEREF _Toc2387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val="en-US"/>
          </w:rPr>
          <w:t>十二、通用照明定价策略</w:t>
        </w:r>
        <w:r>
          <w:tab/>
        </w:r>
        <w:r>
          <w:fldChar w:fldCharType="begin"/>
        </w:r>
        <w:r>
          <w:instrText xml:space="preserve"> PAGEREF _Toc31868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val="en-US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_Toc28294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2" w:history="1">
        <w:r>
          <w:rPr>
            <w:rFonts w:ascii="仿宋" w:eastAsia="仿宋" w:hAnsi="仿宋" w:cs="仿宋" w:hint="eastAsia"/>
            <w:lang w:val="en-US"/>
          </w:rPr>
          <w:t>(二)、成本分析</w:t>
        </w:r>
        <w:r>
          <w:tab/>
        </w:r>
        <w:r>
          <w:fldChar w:fldCharType="begin"/>
        </w:r>
        <w:r>
          <w:instrText xml:space="preserve"> PAGEREF _Toc9922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val="en-US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_Toc16433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val="en-US"/>
          </w:rPr>
          <w:t>(四)、竞争对手定价</w:t>
        </w:r>
        <w:r>
          <w:tab/>
        </w:r>
        <w:r>
          <w:fldChar w:fldCharType="begin"/>
        </w:r>
        <w:r>
          <w:instrText xml:space="preserve"> PAGEREF _Toc9706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val="en-US"/>
          </w:rPr>
          <w:t>十三、网络分销渠道</w:t>
        </w:r>
        <w:r>
          <w:tab/>
        </w:r>
        <w:r>
          <w:fldChar w:fldCharType="begin"/>
        </w:r>
        <w:r>
          <w:instrText xml:space="preserve"> PAGEREF _Toc13662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val="en-US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_Toc279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val="en-US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_Toc15324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val="en-US"/>
          </w:rPr>
          <w:t>(三)、网络分销系统</w:t>
        </w:r>
        <w:r>
          <w:tab/>
        </w:r>
        <w:r>
          <w:fldChar w:fldCharType="begin"/>
        </w:r>
        <w:r>
          <w:instrText xml:space="preserve"> PAGEREF _Toc19758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906" w:history="1">
        <w:r>
          <w:rPr>
            <w:rFonts w:ascii="仿宋" w:eastAsia="仿宋" w:hAnsi="仿宋" w:cs="仿宋" w:hint="eastAsia"/>
            <w:lang w:val="en-US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_Toc16906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val="en-US"/>
          </w:rPr>
          <w:t>十四、市场与供应链管理</w:t>
        </w:r>
        <w:r>
          <w:tab/>
        </w:r>
        <w:r>
          <w:fldChar w:fldCharType="begin"/>
        </w:r>
        <w:r>
          <w:instrText xml:space="preserve"> PAGEREF _Toc24563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val="en-US"/>
          </w:rPr>
          <w:t>(一)、供应链策略</w:t>
        </w:r>
        <w:r>
          <w:tab/>
        </w:r>
        <w:r>
          <w:fldChar w:fldCharType="begin"/>
        </w:r>
        <w:r>
          <w:instrText xml:space="preserve"> PAGEREF _Toc27633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4" w:history="1">
        <w:r>
          <w:rPr>
            <w:rFonts w:ascii="仿宋" w:eastAsia="仿宋" w:hAnsi="仿宋" w:cs="仿宋" w:hint="eastAsia"/>
            <w:lang w:val="en-US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_Toc17724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val="en-US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_Toc30265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_Toc20117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val="en-US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_Toc23997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5" w:history="1">
        <w:r>
          <w:rPr>
            <w:rFonts w:ascii="仿宋" w:eastAsia="仿宋" w:hAnsi="仿宋" w:cs="仿宋" w:hint="eastAsia"/>
            <w:lang w:val="en-US"/>
          </w:rPr>
          <w:t>十五、员工职业发展教育与培训</w:t>
        </w:r>
        <w:r>
          <w:tab/>
        </w:r>
        <w:r>
          <w:fldChar w:fldCharType="begin"/>
        </w:r>
        <w:r>
          <w:instrText xml:space="preserve"> PAGEREF _Toc6395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3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_Toc22733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_Toc424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_Toc22357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" w:history="1">
        <w:r>
          <w:rPr>
            <w:rFonts w:ascii="仿宋" w:eastAsia="仿宋" w:hAnsi="仿宋" w:cs="仿宋" w:hint="eastAsia"/>
            <w:lang w:val="en-US"/>
          </w:rPr>
          <w:t>十六、差异化战略</w:t>
        </w:r>
        <w:r>
          <w:tab/>
        </w:r>
        <w:r>
          <w:fldChar w:fldCharType="begin"/>
        </w:r>
        <w:r>
          <w:instrText xml:space="preserve"> PAGEREF _Toc2561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val="en-US"/>
          </w:rPr>
          <w:t>(一)、差异化战略</w:t>
        </w:r>
        <w:r>
          <w:tab/>
        </w:r>
        <w:r>
          <w:fldChar w:fldCharType="begin"/>
        </w:r>
        <w:r>
          <w:instrText xml:space="preserve"> PAGEREF _Toc10639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2" w:history="1">
        <w:r>
          <w:rPr>
            <w:rFonts w:ascii="仿宋" w:eastAsia="仿宋" w:hAnsi="仿宋" w:cs="仿宋" w:hint="eastAsia"/>
            <w:lang w:val="en-US"/>
          </w:rPr>
          <w:t>十七、通用照明行业企业内外不同利益主体的影响</w:t>
        </w:r>
        <w:r>
          <w:tab/>
        </w:r>
        <w:r>
          <w:fldChar w:fldCharType="begin"/>
        </w:r>
        <w:r>
          <w:instrText xml:space="preserve"> PAGEREF _Toc27682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val="en-US"/>
          </w:rPr>
          <w:t>(一)、通用照明行业企业内外不同利益主体的影响</w:t>
        </w:r>
        <w:r>
          <w:tab/>
        </w:r>
        <w:r>
          <w:fldChar w:fldCharType="begin"/>
        </w:r>
        <w:r>
          <w:instrText xml:space="preserve"> PAGEREF _Toc10467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val="en-US"/>
          </w:rPr>
          <w:t>十八、通用照明可持续发展战略</w:t>
        </w:r>
        <w:r>
          <w:tab/>
        </w:r>
        <w:r>
          <w:fldChar w:fldCharType="begin"/>
        </w:r>
        <w:r>
          <w:instrText xml:space="preserve"> PAGEREF _Toc27806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_Toc23841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_Toc7021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_Toc10303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_Toc1309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val="en-US"/>
          </w:rPr>
          <w:t>十九、通用照明项目安全现状评价报告的审核与批准</w:t>
        </w:r>
        <w:r>
          <w:tab/>
        </w:r>
        <w:r>
          <w:fldChar w:fldCharType="begin"/>
        </w:r>
        <w:r>
          <w:instrText xml:space="preserve"> PAGEREF _Toc5429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val="en-US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_Toc7877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val="en-US"/>
          </w:rPr>
          <w:t>(二)、审核人员</w:t>
        </w:r>
        <w:r>
          <w:tab/>
        </w:r>
        <w:r>
          <w:fldChar w:fldCharType="begin"/>
        </w:r>
        <w:r>
          <w:instrText xml:space="preserve"> PAGEREF _Toc2751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val="en-US"/>
          </w:rPr>
          <w:t>(三)、审核结论</w:t>
        </w:r>
        <w:r>
          <w:tab/>
        </w:r>
        <w:r>
          <w:fldChar w:fldCharType="begin"/>
        </w:r>
        <w:r>
          <w:instrText xml:space="preserve"> PAGEREF _Toc19014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val="en-US"/>
          </w:rPr>
          <w:t>(四)、报告批准程序</w:t>
        </w:r>
        <w:r>
          <w:tab/>
        </w:r>
        <w:r>
          <w:fldChar w:fldCharType="begin"/>
        </w:r>
        <w:r>
          <w:instrText xml:space="preserve"> PAGEREF _Toc26877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val="en-US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_Toc32225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_Toc4431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val="en-US"/>
          </w:rPr>
          <w:t>(二)、合作通用照明项目</w:t>
        </w:r>
        <w:r>
          <w:tab/>
        </w:r>
        <w:r>
          <w:fldChar w:fldCharType="begin"/>
        </w:r>
        <w:r>
          <w:instrText xml:space="preserve"> PAGEREF _Toc12584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578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_Toc4578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val="en-US"/>
          </w:rPr>
          <w:t>二十一、管理团队</w:t>
        </w:r>
        <w:r>
          <w:tab/>
        </w:r>
        <w:r>
          <w:fldChar w:fldCharType="begin"/>
        </w:r>
        <w:r>
          <w:instrText xml:space="preserve"> PAGEREF _Toc725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_Toc15044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_Toc26133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_Toc20601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val="en-US"/>
          </w:rPr>
          <w:t>二十二战略和未来发展计划</w:t>
        </w:r>
        <w:r>
          <w:tab/>
        </w:r>
        <w:r>
          <w:fldChar w:fldCharType="begin"/>
        </w:r>
        <w:r>
          <w:instrText xml:space="preserve"> PAGEREF _Toc23351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val="en-US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_Toc28781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val="en-US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_Toc5869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val="en-US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_Toc7603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2" w:history="1">
        <w:r>
          <w:rPr>
            <w:rFonts w:ascii="仿宋" w:eastAsia="仿宋" w:hAnsi="仿宋" w:cs="仿宋" w:hint="eastAsia"/>
            <w:lang w:val="en-US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_Toc21632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https://d.book118.com/157132016041006051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通用照明行业企业战略风险管理报告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通用照明行业企业战略风险管理报告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通用照明行业企业战略风险管理报告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通用照明行业企业战略风险管理报告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通用照明行业企业战略风险管理报告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F64BEE"/>
    <w:rsid w:val="4EF64B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5713201604100605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2024-03-10T06:21:00Z</dcterms:created>
  <dcterms:modified xsi:type="dcterms:W3CDTF">2024-03-10T06:21:28Z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