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0529A" w:rsidP="001156C5">
      <w:pPr>
        <w:pStyle w:val="Normal0"/>
        <w:spacing w:line="360" w:lineRule="auto"/>
        <w:jc w:val="center"/>
        <w:rPr>
          <w:rFonts w:ascii="宋体" w:hAnsi="宋体"/>
          <w:b/>
          <w:sz w:val="30"/>
        </w:rPr>
      </w:pPr>
    </w:p>
    <w:p w:rsidR="001156C5" w:rsidRPr="000F4782" w:rsidP="001156C5">
      <w:pPr>
        <w:pStyle w:val="Normal0"/>
        <w:spacing w:line="360" w:lineRule="auto"/>
        <w:jc w:val="center"/>
        <w:rPr>
          <w:rFonts w:ascii="宋体" w:hAnsi="宋体"/>
          <w:b/>
          <w:sz w:val="30"/>
        </w:rPr>
      </w:pPr>
      <w:r w:rsidRPr="000F4782">
        <w:rPr>
          <w:rFonts w:ascii="宋体" w:hAnsi="宋体" w:hint="eastAsia"/>
          <w:b/>
          <w:sz w:val="30"/>
        </w:rPr>
        <w:t>龙脊河凤凰路重点工程历城区王舍人村拆迁安置房项目</w:t>
      </w:r>
      <w:r w:rsidRPr="000F4782">
        <w:rPr>
          <w:rFonts w:ascii="宋体" w:hAnsi="宋体" w:hint="eastAsia"/>
          <w:b/>
          <w:sz w:val="30"/>
        </w:rPr>
        <w:t>1</w:t>
      </w:r>
      <w:r w:rsidRPr="000F4782">
        <w:rPr>
          <w:rFonts w:ascii="宋体" w:hAnsi="宋体" w:hint="eastAsia"/>
          <w:b/>
          <w:sz w:val="30"/>
        </w:rPr>
        <w:t>＃</w:t>
      </w:r>
      <w:r w:rsidRPr="000F4782">
        <w:rPr>
          <w:rFonts w:ascii="宋体" w:hAnsi="宋体" w:hint="eastAsia"/>
          <w:b/>
          <w:sz w:val="30"/>
        </w:rPr>
        <w:t>-7</w:t>
      </w:r>
      <w:r w:rsidRPr="000F4782">
        <w:rPr>
          <w:rFonts w:ascii="宋体" w:hAnsi="宋体" w:hint="eastAsia"/>
          <w:b/>
          <w:sz w:val="30"/>
        </w:rPr>
        <w:t>＃住宅楼、</w:t>
      </w:r>
    </w:p>
    <w:p w:rsidR="001156C5" w:rsidP="001156C5">
      <w:pPr>
        <w:pStyle w:val="Normal0"/>
        <w:tabs>
          <w:tab w:val="left" w:pos="720"/>
        </w:tabs>
        <w:ind w:right="-80" w:rightChars="-38"/>
        <w:jc w:val="center"/>
        <w:rPr>
          <w:rFonts w:ascii="宋体" w:hAnsi="宋体"/>
          <w:b/>
          <w:spacing w:val="-10"/>
          <w:sz w:val="30"/>
        </w:rPr>
      </w:pPr>
      <w:r w:rsidRPr="000F4782">
        <w:rPr>
          <w:rFonts w:ascii="宋体" w:hAnsi="宋体" w:hint="eastAsia"/>
          <w:b/>
          <w:spacing w:val="-10"/>
          <w:sz w:val="30"/>
        </w:rPr>
        <w:t>1</w:t>
      </w:r>
      <w:r w:rsidRPr="000F4782">
        <w:rPr>
          <w:rFonts w:ascii="宋体" w:hAnsi="宋体" w:hint="eastAsia"/>
          <w:b/>
          <w:spacing w:val="-10"/>
          <w:sz w:val="30"/>
        </w:rPr>
        <w:t>＃</w:t>
      </w:r>
      <w:r w:rsidRPr="000F4782">
        <w:rPr>
          <w:rFonts w:ascii="宋体" w:hAnsi="宋体" w:hint="eastAsia"/>
          <w:b/>
          <w:spacing w:val="-10"/>
          <w:sz w:val="30"/>
        </w:rPr>
        <w:t>-3#</w:t>
      </w:r>
      <w:r w:rsidRPr="000F4782">
        <w:rPr>
          <w:rFonts w:ascii="宋体" w:hAnsi="宋体" w:hint="eastAsia"/>
          <w:b/>
          <w:spacing w:val="-10"/>
          <w:sz w:val="30"/>
        </w:rPr>
        <w:t>公建楼、换热站及地下车库工程</w:t>
      </w:r>
      <w:r>
        <w:rPr>
          <w:rFonts w:ascii="宋体" w:hAnsi="宋体" w:hint="eastAsia"/>
          <w:b/>
          <w:spacing w:val="-10"/>
          <w:sz w:val="30"/>
        </w:rPr>
        <w:t xml:space="preserve"> </w:t>
      </w:r>
      <w:r w:rsidRPr="00531FBD">
        <w:rPr>
          <w:rFonts w:ascii="宋体" w:hAnsi="宋体" w:hint="eastAsia"/>
          <w:b/>
          <w:spacing w:val="-10"/>
          <w:sz w:val="30"/>
        </w:rPr>
        <w:t>一</w:t>
      </w:r>
      <w:r w:rsidRPr="00834903">
        <w:rPr>
          <w:rFonts w:ascii="宋体" w:hAnsi="宋体" w:hint="eastAsia"/>
          <w:b/>
          <w:spacing w:val="-10"/>
          <w:sz w:val="30"/>
        </w:rPr>
        <w:t>标段</w:t>
      </w:r>
    </w:p>
    <w:p w:rsidR="001156C5" w:rsidP="001156C5">
      <w:pPr>
        <w:pStyle w:val="Normal0"/>
        <w:tabs>
          <w:tab w:val="left" w:pos="720"/>
        </w:tabs>
        <w:ind w:right="-80" w:rightChars="-38"/>
        <w:jc w:val="center"/>
        <w:rPr>
          <w:rFonts w:ascii="宋体" w:hAnsi="宋体"/>
          <w:b/>
          <w:spacing w:val="-10"/>
          <w:sz w:val="30"/>
        </w:rPr>
      </w:pPr>
    </w:p>
    <w:p w:rsidR="001156C5" w:rsidRPr="00DB2303" w:rsidP="001156C5">
      <w:pPr>
        <w:pStyle w:val="Normal0"/>
        <w:tabs>
          <w:tab w:val="left" w:pos="720"/>
        </w:tabs>
        <w:ind w:right="-80" w:rightChars="-38"/>
        <w:jc w:val="center"/>
        <w:rPr>
          <w:rFonts w:ascii="华文楷体" w:eastAsia="华文楷体" w:hAnsi="华文楷体"/>
          <w:b/>
          <w:spacing w:val="-10"/>
          <w:sz w:val="44"/>
        </w:rPr>
      </w:pPr>
      <w:r>
        <w:rPr>
          <w:rFonts w:ascii="华文楷体" w:eastAsia="华文楷体" w:hAnsi="华文楷体" w:hint="eastAsia"/>
          <w:b/>
          <w:spacing w:val="-10"/>
          <w:sz w:val="56"/>
        </w:rPr>
        <w:t>脚手架安全</w:t>
      </w:r>
      <w:r w:rsidRPr="00DB2303">
        <w:rPr>
          <w:rFonts w:ascii="华文楷体" w:eastAsia="华文楷体" w:hAnsi="华文楷体" w:hint="eastAsia"/>
          <w:b/>
          <w:spacing w:val="-10"/>
          <w:sz w:val="56"/>
        </w:rPr>
        <w:t>专项施工</w:t>
      </w:r>
      <w:r>
        <w:rPr>
          <w:rFonts w:ascii="华文楷体" w:eastAsia="华文楷体" w:hAnsi="华文楷体" w:hint="eastAsia"/>
          <w:b/>
          <w:spacing w:val="-10"/>
          <w:sz w:val="56"/>
        </w:rPr>
        <w:t>方案</w:t>
      </w:r>
    </w:p>
    <w:p w:rsidR="001156C5" w:rsidRPr="004150B3" w:rsidP="001156C5">
      <w:pPr>
        <w:pStyle w:val="1"/>
        <w:numPr>
          <w:ilvl w:val="0"/>
          <w:numId w:val="0"/>
        </w:numPr>
      </w:pPr>
      <w:r>
        <w:rPr>
          <w:rFonts w:hint="eastAsia"/>
        </w:rPr>
        <w:t xml:space="preserve"> </w:t>
      </w:r>
    </w:p>
    <w:p w:rsidR="001156C5" w:rsidP="001156C5">
      <w:pPr>
        <w:pStyle w:val="Normal0"/>
        <w:spacing w:line="0" w:lineRule="atLeast"/>
        <w:ind w:left="899" w:leftChars="428"/>
        <w:jc w:val="center"/>
        <w:rPr>
          <w:rFonts w:eastAsia="黑体"/>
          <w:b/>
          <w:sz w:val="36"/>
        </w:rPr>
      </w:pPr>
      <w:r>
        <w:rPr>
          <w:noProof/>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7" o:spid="_x0000_i1025" type="#_x0000_t75" alt="说明: 1" style="width:213.75pt;height:201pt;mso-wrap-distance-bottom:0;mso-wrap-distance-left:0;mso-wrap-distance-right:0;mso-wrap-distance-top:0">
            <v:imagedata r:id="rId5" o:title=""/>
          </v:shape>
        </w:pict>
      </w:r>
    </w:p>
    <w:p w:rsidR="001156C5" w:rsidP="001156C5">
      <w:pPr>
        <w:pStyle w:val="Normal0"/>
        <w:spacing w:line="0" w:lineRule="atLeast"/>
        <w:ind w:left="895" w:firstLine="600" w:leftChars="426" w:firstLineChars="200"/>
        <w:rPr>
          <w:rFonts w:ascii="华文楷体" w:eastAsia="华文楷体" w:hAnsi="华文楷体"/>
          <w:b/>
          <w:sz w:val="30"/>
          <w:szCs w:val="30"/>
        </w:rPr>
      </w:pPr>
    </w:p>
    <w:p w:rsidR="001156C5" w:rsidP="001156C5">
      <w:pPr>
        <w:pStyle w:val="Normal0"/>
        <w:spacing w:line="0" w:lineRule="atLeast"/>
        <w:ind w:left="895" w:firstLine="600" w:leftChars="426" w:firstLineChars="200"/>
        <w:rPr>
          <w:rFonts w:ascii="华文楷体" w:eastAsia="华文楷体" w:hAnsi="华文楷体"/>
          <w:b/>
          <w:sz w:val="30"/>
          <w:szCs w:val="30"/>
        </w:rPr>
      </w:pPr>
    </w:p>
    <w:p w:rsidR="001156C5" w:rsidRPr="00E2231C" w:rsidP="001156C5">
      <w:pPr>
        <w:pStyle w:val="Normal0"/>
        <w:spacing w:line="0" w:lineRule="atLeast"/>
        <w:ind w:left="895" w:firstLine="600" w:leftChars="426" w:firstLineChars="200"/>
        <w:rPr>
          <w:rFonts w:ascii="华文楷体" w:eastAsia="华文楷体" w:hAnsi="华文楷体"/>
          <w:sz w:val="30"/>
          <w:szCs w:val="30"/>
        </w:rPr>
      </w:pPr>
      <w:r w:rsidRPr="00E2231C">
        <w:rPr>
          <w:rFonts w:ascii="华文楷体" w:eastAsia="华文楷体" w:hAnsi="华文楷体" w:hint="eastAsia"/>
          <w:b/>
          <w:sz w:val="30"/>
          <w:szCs w:val="30"/>
        </w:rPr>
        <w:t>方案名称：</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r>
        <w:rPr>
          <w:rFonts w:ascii="华文楷体" w:eastAsia="华文楷体" w:hAnsi="华文楷体" w:hint="eastAsia"/>
          <w:b/>
          <w:sz w:val="32"/>
          <w:szCs w:val="30"/>
          <w:u w:val="single"/>
        </w:rPr>
        <w:t>脚手架安全专项</w:t>
      </w:r>
      <w:r w:rsidRPr="00A853DB">
        <w:rPr>
          <w:rFonts w:ascii="华文楷体" w:eastAsia="华文楷体" w:hAnsi="华文楷体" w:hint="eastAsia"/>
          <w:b/>
          <w:sz w:val="32"/>
          <w:szCs w:val="30"/>
          <w:u w:val="single"/>
        </w:rPr>
        <w:t>施工方案</w:t>
      </w:r>
      <w:r w:rsidRPr="00E2231C">
        <w:rPr>
          <w:rFonts w:ascii="华文楷体" w:eastAsia="华文楷体" w:hAnsi="华文楷体" w:hint="eastAsia"/>
          <w:sz w:val="30"/>
          <w:szCs w:val="30"/>
          <w:u w:val="single"/>
        </w:rPr>
        <w:t xml:space="preserve"> </w:t>
      </w:r>
      <w:r>
        <w:rPr>
          <w:rFonts w:ascii="华文楷体" w:eastAsia="华文楷体" w:hAnsi="华文楷体" w:hint="eastAsia"/>
          <w:sz w:val="30"/>
          <w:szCs w:val="30"/>
          <w:u w:val="single"/>
        </w:rPr>
        <w:t xml:space="preserve">  </w:t>
      </w:r>
    </w:p>
    <w:p w:rsidR="001156C5" w:rsidP="001156C5">
      <w:pPr>
        <w:pStyle w:val="Normal0"/>
        <w:spacing w:line="0" w:lineRule="atLeast"/>
        <w:ind w:firstLine="1488" w:firstLineChars="496"/>
        <w:rPr>
          <w:rFonts w:ascii="华文楷体" w:eastAsia="华文楷体" w:hAnsi="华文楷体"/>
          <w:b/>
          <w:sz w:val="30"/>
          <w:szCs w:val="30"/>
        </w:rPr>
      </w:pPr>
    </w:p>
    <w:p w:rsidR="001156C5" w:rsidRPr="00E2231C" w:rsidP="001156C5">
      <w:pPr>
        <w:pStyle w:val="Normal0"/>
        <w:spacing w:line="0" w:lineRule="atLeast"/>
        <w:ind w:firstLine="1488" w:firstLineChars="496"/>
        <w:rPr>
          <w:rFonts w:ascii="华文楷体" w:eastAsia="华文楷体" w:hAnsi="华文楷体"/>
          <w:b/>
          <w:sz w:val="30"/>
          <w:szCs w:val="30"/>
        </w:rPr>
      </w:pPr>
      <w:r w:rsidRPr="00E2231C">
        <w:rPr>
          <w:rFonts w:ascii="华文楷体" w:eastAsia="华文楷体" w:hAnsi="华文楷体" w:hint="eastAsia"/>
          <w:b/>
          <w:sz w:val="30"/>
          <w:szCs w:val="30"/>
        </w:rPr>
        <w:t>编</w:t>
      </w:r>
      <w:r w:rsidRPr="00E2231C">
        <w:rPr>
          <w:rFonts w:ascii="华文楷体" w:eastAsia="华文楷体" w:hAnsi="华文楷体" w:hint="eastAsia"/>
          <w:b/>
          <w:sz w:val="30"/>
          <w:szCs w:val="30"/>
        </w:rPr>
        <w:t xml:space="preserve">    </w:t>
      </w:r>
      <w:r w:rsidRPr="00E2231C">
        <w:rPr>
          <w:rFonts w:ascii="华文楷体" w:eastAsia="华文楷体" w:hAnsi="华文楷体" w:hint="eastAsia"/>
          <w:b/>
          <w:sz w:val="30"/>
          <w:szCs w:val="30"/>
        </w:rPr>
        <w:t>制：</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张延河</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p>
    <w:p w:rsidR="001156C5" w:rsidP="001156C5">
      <w:pPr>
        <w:pStyle w:val="Normal0"/>
        <w:spacing w:line="0" w:lineRule="atLeast"/>
        <w:ind w:firstLine="1500" w:firstLineChars="500"/>
        <w:rPr>
          <w:rFonts w:ascii="华文楷体" w:eastAsia="华文楷体" w:hAnsi="华文楷体"/>
          <w:b/>
          <w:sz w:val="30"/>
          <w:szCs w:val="30"/>
        </w:rPr>
      </w:pPr>
    </w:p>
    <w:p w:rsidR="001156C5" w:rsidRPr="00E2231C" w:rsidP="001156C5">
      <w:pPr>
        <w:pStyle w:val="Normal0"/>
        <w:spacing w:line="0" w:lineRule="atLeast"/>
        <w:ind w:firstLine="1500" w:firstLineChars="500"/>
        <w:rPr>
          <w:rFonts w:ascii="华文楷体" w:eastAsia="华文楷体" w:hAnsi="华文楷体"/>
          <w:b/>
          <w:sz w:val="30"/>
          <w:szCs w:val="30"/>
        </w:rPr>
      </w:pPr>
      <w:r w:rsidRPr="00E2231C">
        <w:rPr>
          <w:rFonts w:ascii="华文楷体" w:eastAsia="华文楷体" w:hAnsi="华文楷体" w:hint="eastAsia"/>
          <w:b/>
          <w:sz w:val="30"/>
          <w:szCs w:val="30"/>
        </w:rPr>
        <w:t>审</w:t>
      </w:r>
      <w:r w:rsidRPr="00E2231C">
        <w:rPr>
          <w:rFonts w:ascii="华文楷体" w:eastAsia="华文楷体" w:hAnsi="华文楷体" w:hint="eastAsia"/>
          <w:b/>
          <w:sz w:val="30"/>
          <w:szCs w:val="30"/>
        </w:rPr>
        <w:t xml:space="preserve">    </w:t>
      </w:r>
      <w:r w:rsidRPr="00E2231C">
        <w:rPr>
          <w:rFonts w:ascii="华文楷体" w:eastAsia="华文楷体" w:hAnsi="华文楷体" w:hint="eastAsia"/>
          <w:b/>
          <w:sz w:val="30"/>
          <w:szCs w:val="30"/>
        </w:rPr>
        <w:t>核：</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r w:rsidRPr="00E2231C">
        <w:rPr>
          <w:rFonts w:ascii="华文楷体" w:eastAsia="华文楷体" w:hAnsi="华文楷体" w:hint="eastAsia"/>
          <w:b/>
          <w:sz w:val="30"/>
          <w:szCs w:val="30"/>
          <w:u w:val="single"/>
        </w:rPr>
        <w:t xml:space="preserve"> </w:t>
      </w:r>
      <w:r w:rsidRPr="00E2231C">
        <w:rPr>
          <w:rFonts w:ascii="华文楷体" w:eastAsia="华文楷体" w:hAnsi="华文楷体" w:hint="eastAsia"/>
          <w:b/>
          <w:sz w:val="30"/>
          <w:szCs w:val="30"/>
          <w:u w:val="single"/>
        </w:rPr>
        <w:t>陈卫明</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p>
    <w:p w:rsidR="001156C5" w:rsidP="001156C5">
      <w:pPr>
        <w:pStyle w:val="Normal0"/>
        <w:spacing w:line="0" w:lineRule="atLeast"/>
        <w:rPr>
          <w:rFonts w:ascii="华文楷体" w:eastAsia="华文楷体" w:hAnsi="华文楷体"/>
          <w:b/>
          <w:sz w:val="30"/>
          <w:szCs w:val="30"/>
        </w:rPr>
      </w:pPr>
    </w:p>
    <w:p w:rsidR="001156C5" w:rsidRPr="00E2231C" w:rsidP="001156C5">
      <w:pPr>
        <w:pStyle w:val="Normal0"/>
        <w:spacing w:line="0" w:lineRule="atLeast"/>
        <w:ind w:firstLine="1500" w:firstLineChars="500"/>
        <w:rPr>
          <w:rFonts w:ascii="华文楷体" w:eastAsia="华文楷体" w:hAnsi="华文楷体"/>
          <w:sz w:val="30"/>
          <w:szCs w:val="30"/>
        </w:rPr>
        <w:sectPr>
          <w:pgSz w:w="11906" w:h="16838"/>
          <w:pgMar w:top="1440" w:right="1706" w:bottom="1440" w:left="1800" w:header="851" w:footer="992" w:gutter="0"/>
          <w:cols w:space="425"/>
          <w:docGrid w:type="lines" w:linePitch="312"/>
        </w:sectPr>
      </w:pPr>
      <w:r w:rsidRPr="00E2231C">
        <w:rPr>
          <w:rFonts w:ascii="华文楷体" w:eastAsia="华文楷体" w:hAnsi="华文楷体" w:hint="eastAsia"/>
          <w:b/>
          <w:sz w:val="30"/>
          <w:szCs w:val="30"/>
        </w:rPr>
        <w:t>编制单位：</w:t>
      </w:r>
      <w:r w:rsidRPr="00E2231C">
        <w:rPr>
          <w:rFonts w:ascii="华文楷体" w:eastAsia="华文楷体" w:hAnsi="华文楷体" w:hint="eastAsia"/>
          <w:sz w:val="30"/>
          <w:szCs w:val="30"/>
        </w:rPr>
        <w:t>山东中恒建设集团有限公司</w:t>
      </w:r>
    </w:p>
    <w:p w:rsidR="001156C5" w:rsidRPr="00A853DB" w:rsidP="001156C5">
      <w:pPr>
        <w:pStyle w:val="Normal0"/>
        <w:spacing w:line="660" w:lineRule="exact"/>
        <w:ind w:firstLine="1500" w:firstLineChars="500"/>
        <w:rPr>
          <w:rFonts w:ascii="华文楷体" w:eastAsia="华文楷体" w:hAnsi="华文楷体"/>
          <w:sz w:val="30"/>
          <w:szCs w:val="30"/>
        </w:rPr>
        <w:sectPr>
          <w:type w:val="nextPage"/>
          <w:pgSz w:w="11906" w:h="16838"/>
          <w:pgMar w:top="1440" w:right="1706" w:bottom="1440" w:left="1800" w:header="851" w:footer="992" w:gutter="0"/>
          <w:pgNumType w:start="2"/>
          <w:cols w:space="425"/>
          <w:titlePg w:val="0"/>
          <w:docGrid w:type="lines" w:linePitch="312"/>
        </w:sectPr>
      </w:pPr>
      <w:r w:rsidRPr="00E2231C">
        <w:rPr>
          <w:rFonts w:ascii="华文楷体" w:eastAsia="华文楷体" w:hAnsi="华文楷体" w:hint="eastAsia"/>
          <w:b/>
          <w:sz w:val="30"/>
          <w:szCs w:val="30"/>
        </w:rPr>
        <w:t>编制时间：</w:t>
      </w:r>
      <w:r w:rsidRPr="00A853DB">
        <w:rPr>
          <w:rFonts w:ascii="华文楷体" w:eastAsia="华文楷体" w:hAnsi="华文楷体" w:hint="eastAsia"/>
          <w:sz w:val="30"/>
          <w:szCs w:val="30"/>
          <w:u w:val="single"/>
        </w:rPr>
        <w:t xml:space="preserve">  </w:t>
      </w:r>
      <w:r w:rsidRPr="00A853DB">
        <w:rPr>
          <w:rFonts w:ascii="华文楷体" w:eastAsia="华文楷体" w:hAnsi="华文楷体" w:hint="eastAsia"/>
          <w:sz w:val="30"/>
          <w:szCs w:val="30"/>
          <w:u w:val="single"/>
        </w:rPr>
        <w:t>二零一七年</w:t>
      </w:r>
      <w:r w:rsidRPr="00A853DB">
        <w:rPr>
          <w:rFonts w:ascii="华文楷体" w:eastAsia="华文楷体" w:hAnsi="华文楷体" w:hint="eastAsia"/>
          <w:sz w:val="30"/>
          <w:szCs w:val="30"/>
          <w:u w:val="single"/>
        </w:rPr>
        <w:t xml:space="preserve"> </w:t>
      </w:r>
      <w:r w:rsidRPr="00A853DB">
        <w:rPr>
          <w:rFonts w:ascii="华文楷体" w:eastAsia="华文楷体" w:hAnsi="华文楷体" w:hint="eastAsia"/>
          <w:sz w:val="30"/>
          <w:szCs w:val="30"/>
        </w:rPr>
        <w:t>年</w:t>
      </w:r>
      <w:r w:rsidRPr="00A853DB">
        <w:rPr>
          <w:rFonts w:ascii="华文楷体" w:eastAsia="华文楷体" w:hAnsi="华文楷体" w:hint="eastAsia"/>
          <w:sz w:val="30"/>
          <w:szCs w:val="30"/>
          <w:u w:val="single"/>
        </w:rPr>
        <w:t xml:space="preserve"> </w:t>
      </w:r>
      <w:r w:rsidRPr="00A853DB">
        <w:rPr>
          <w:rFonts w:ascii="华文楷体" w:eastAsia="华文楷体" w:hAnsi="华文楷体" w:hint="eastAsia"/>
          <w:sz w:val="30"/>
          <w:szCs w:val="30"/>
          <w:u w:val="single"/>
        </w:rPr>
        <w:t>八</w:t>
      </w:r>
      <w:r w:rsidRPr="00A853DB">
        <w:rPr>
          <w:rFonts w:ascii="华文楷体" w:eastAsia="华文楷体" w:hAnsi="华文楷体" w:hint="eastAsia"/>
          <w:sz w:val="30"/>
          <w:szCs w:val="30"/>
          <w:u w:val="single"/>
        </w:rPr>
        <w:t xml:space="preserve"> </w:t>
      </w:r>
      <w:r w:rsidRPr="00A853DB">
        <w:rPr>
          <w:rFonts w:ascii="华文楷体" w:eastAsia="华文楷体" w:hAnsi="华文楷体" w:hint="eastAsia"/>
          <w:sz w:val="30"/>
          <w:szCs w:val="30"/>
        </w:rPr>
        <w:t>月</w:t>
      </w:r>
      <w:r w:rsidRPr="00A853DB">
        <w:rPr>
          <w:rFonts w:ascii="华文楷体" w:eastAsia="华文楷体" w:hAnsi="华文楷体" w:hint="eastAsia"/>
          <w:sz w:val="30"/>
          <w:szCs w:val="30"/>
          <w:u w:val="single"/>
        </w:rPr>
        <w:t xml:space="preserve"> </w:t>
      </w:r>
      <w:r w:rsidRPr="00A853DB">
        <w:rPr>
          <w:rFonts w:ascii="华文楷体" w:eastAsia="华文楷体" w:hAnsi="华文楷体" w:hint="eastAsia"/>
          <w:sz w:val="30"/>
          <w:szCs w:val="30"/>
          <w:u w:val="single"/>
        </w:rPr>
        <w:t>十</w:t>
      </w:r>
      <w:r w:rsidRPr="00A853DB">
        <w:rPr>
          <w:rFonts w:ascii="华文楷体" w:eastAsia="华文楷体" w:hAnsi="华文楷体" w:hint="eastAsia"/>
          <w:sz w:val="30"/>
          <w:szCs w:val="30"/>
          <w:u w:val="single"/>
        </w:rPr>
        <w:t xml:space="preserve"> </w:t>
      </w:r>
      <w:r w:rsidRPr="00A853DB">
        <w:rPr>
          <w:rFonts w:ascii="华文楷体" w:eastAsia="华文楷体" w:hAnsi="华文楷体" w:hint="eastAsia"/>
          <w:sz w:val="30"/>
          <w:szCs w:val="30"/>
        </w:rPr>
        <w:t>日</w:t>
      </w:r>
    </w:p>
    <w:p w:rsidR="00E7704A">
      <w:pPr>
        <w:pStyle w:val="Normal0"/>
        <w:jc w:val="center"/>
        <w:rPr>
          <w:rFonts w:ascii="宋体" w:hAnsi="宋体" w:cs="宋体"/>
          <w:color w:val="000000"/>
          <w:sz w:val="24"/>
          <w:u w:color="000000"/>
        </w:rPr>
      </w:pPr>
      <w:r>
        <w:rPr>
          <w:rFonts w:ascii="宋体" w:hAnsi="宋体" w:cs="宋体" w:hint="eastAsia"/>
          <w:color w:val="000000"/>
          <w:sz w:val="24"/>
          <w:u w:color="000000"/>
        </w:rPr>
        <w:t>目</w:t>
      </w:r>
      <w:r>
        <w:rPr>
          <w:rFonts w:ascii="宋体" w:hAnsi="宋体" w:cs="宋体" w:hint="eastAsia"/>
          <w:color w:val="000000"/>
          <w:sz w:val="24"/>
          <w:u w:color="000000"/>
        </w:rPr>
        <w:t xml:space="preserve"> </w:t>
      </w:r>
      <w:r>
        <w:rPr>
          <w:rFonts w:ascii="宋体" w:hAnsi="宋体" w:cs="宋体" w:hint="eastAsia"/>
          <w:color w:val="000000"/>
          <w:sz w:val="24"/>
          <w:u w:color="000000"/>
        </w:rPr>
        <w:t>录</w:t>
      </w:r>
    </w:p>
    <w:p w:rsidR="00E7704A">
      <w:pPr>
        <w:pStyle w:val="Normal0"/>
        <w:jc w:val="center"/>
        <w:rPr>
          <w:rFonts w:ascii="宋体" w:hAnsi="宋体" w:cs="宋体"/>
          <w:color w:val="000000"/>
          <w:sz w:val="24"/>
          <w:u w:color="000000"/>
        </w:rPr>
      </w:pPr>
    </w:p>
    <w:p w:rsidR="00E7704A">
      <w:pPr>
        <w:pStyle w:val="TOC1"/>
        <w:tabs>
          <w:tab w:val="right" w:leader="hyphen" w:pos="8306"/>
        </w:tabs>
        <w:rPr>
          <w:rFonts w:hint="default"/>
        </w:rPr>
      </w:pPr>
      <w:r>
        <w:fldChar w:fldCharType="begin"/>
      </w:r>
      <w:r>
        <w:instrText xml:space="preserve">TOC \o "1-3" \h \z \u </w:instrText>
      </w:r>
      <w:r>
        <w:fldChar w:fldCharType="separate"/>
      </w:r>
      <w:hyperlink w:anchor="_Toc12338" w:history="1">
        <w:r>
          <w:t>第一章</w:t>
        </w:r>
        <w:r>
          <w:t xml:space="preserve"> </w:t>
        </w:r>
        <w:r>
          <w:t>工程概况</w:t>
        </w:r>
        <w:r>
          <w:tab/>
        </w:r>
        <w:r>
          <w:fldChar w:fldCharType="begin"/>
        </w:r>
        <w:r>
          <w:instrText xml:space="preserve"> PAGEREF _Toc12338 </w:instrText>
        </w:r>
        <w:r>
          <w:fldChar w:fldCharType="separate"/>
        </w:r>
        <w:r>
          <w:t>3</w:t>
        </w:r>
        <w:r>
          <w:fldChar w:fldCharType="end"/>
        </w:r>
      </w:hyperlink>
    </w:p>
    <w:p w:rsidR="00E7704A">
      <w:pPr>
        <w:pStyle w:val="TOC2"/>
        <w:tabs>
          <w:tab w:val="right" w:leader="hyphen" w:pos="8306"/>
        </w:tabs>
        <w:rPr>
          <w:rFonts w:hint="default"/>
        </w:rPr>
      </w:pPr>
      <w:hyperlink w:anchor="_Toc30949" w:history="1">
        <w:r w:rsidR="009C419D">
          <w:rPr>
            <w:b/>
          </w:rPr>
          <w:t xml:space="preserve">一、 </w:t>
        </w:r>
        <w:r w:rsidR="009C419D">
          <w:t>工程概况</w:t>
        </w:r>
        <w:r w:rsidR="009C419D">
          <w:tab/>
        </w:r>
        <w:r>
          <w:fldChar w:fldCharType="begin"/>
        </w:r>
        <w:r>
          <w:instrText xml:space="preserve"> PAGEREF _Toc30949 </w:instrText>
        </w:r>
        <w:r>
          <w:fldChar w:fldCharType="separate"/>
        </w:r>
        <w:r w:rsidR="009C419D">
          <w:t>4</w:t>
        </w:r>
        <w:r>
          <w:fldChar w:fldCharType="end"/>
        </w:r>
      </w:hyperlink>
    </w:p>
    <w:p w:rsidR="00E7704A">
      <w:pPr>
        <w:pStyle w:val="TOC2"/>
        <w:tabs>
          <w:tab w:val="right" w:leader="hyphen" w:pos="8306"/>
        </w:tabs>
        <w:rPr>
          <w:rFonts w:hint="default"/>
        </w:rPr>
      </w:pPr>
      <w:hyperlink w:anchor="_Toc29334" w:history="1">
        <w:r w:rsidR="009C419D">
          <w:rPr>
            <w:b/>
          </w:rPr>
          <w:t xml:space="preserve">二、 </w:t>
        </w:r>
        <w:r w:rsidR="009C419D">
          <w:t>平面示意图</w:t>
        </w:r>
        <w:r w:rsidR="009C419D">
          <w:tab/>
        </w:r>
        <w:r>
          <w:fldChar w:fldCharType="begin"/>
        </w:r>
        <w:r>
          <w:instrText xml:space="preserve"> PAGEREF _Toc29334 </w:instrText>
        </w:r>
        <w:r>
          <w:fldChar w:fldCharType="separate"/>
        </w:r>
        <w:r w:rsidR="009C419D">
          <w:t>5</w:t>
        </w:r>
        <w:r>
          <w:fldChar w:fldCharType="end"/>
        </w:r>
      </w:hyperlink>
    </w:p>
    <w:p w:rsidR="00E7704A">
      <w:pPr>
        <w:pStyle w:val="TOC2"/>
        <w:tabs>
          <w:tab w:val="right" w:leader="hyphen" w:pos="8306"/>
        </w:tabs>
        <w:rPr>
          <w:rFonts w:hint="default"/>
        </w:rPr>
      </w:pPr>
      <w:hyperlink w:anchor="_Toc18840" w:history="1">
        <w:r w:rsidR="009C419D">
          <w:rPr>
            <w:b/>
          </w:rPr>
          <w:t xml:space="preserve">三、 </w:t>
        </w:r>
        <w:r w:rsidR="009C419D">
          <w:t>施工要求</w:t>
        </w:r>
        <w:r w:rsidR="009C419D">
          <w:tab/>
        </w:r>
        <w:r>
          <w:fldChar w:fldCharType="begin"/>
        </w:r>
        <w:r>
          <w:instrText xml:space="preserve"> PAGEREF _Toc18840 </w:instrText>
        </w:r>
        <w:r>
          <w:fldChar w:fldCharType="separate"/>
        </w:r>
        <w:r w:rsidR="009C419D">
          <w:t>5</w:t>
        </w:r>
        <w:r>
          <w:fldChar w:fldCharType="end"/>
        </w:r>
      </w:hyperlink>
    </w:p>
    <w:p w:rsidR="00E7704A">
      <w:pPr>
        <w:pStyle w:val="TOC2"/>
        <w:tabs>
          <w:tab w:val="right" w:leader="hyphen" w:pos="8306"/>
        </w:tabs>
        <w:rPr>
          <w:rFonts w:hint="default"/>
        </w:rPr>
      </w:pPr>
      <w:hyperlink w:anchor="_Toc31235" w:history="1">
        <w:r w:rsidR="009C419D">
          <w:rPr>
            <w:b/>
          </w:rPr>
          <w:t xml:space="preserve">四、 </w:t>
        </w:r>
        <w:r w:rsidR="009C419D">
          <w:t>技术保证条件</w:t>
        </w:r>
        <w:r w:rsidR="009C419D">
          <w:tab/>
        </w:r>
        <w:r>
          <w:fldChar w:fldCharType="begin"/>
        </w:r>
        <w:r>
          <w:instrText xml:space="preserve"> PAGEREF _Toc31235 </w:instrText>
        </w:r>
        <w:r>
          <w:fldChar w:fldCharType="separate"/>
        </w:r>
        <w:r w:rsidR="009C419D">
          <w:t>5</w:t>
        </w:r>
        <w:r>
          <w:fldChar w:fldCharType="end"/>
        </w:r>
      </w:hyperlink>
    </w:p>
    <w:p w:rsidR="00E7704A">
      <w:pPr>
        <w:pStyle w:val="TOC1"/>
        <w:tabs>
          <w:tab w:val="right" w:leader="hyphen" w:pos="8306"/>
        </w:tabs>
        <w:rPr>
          <w:rFonts w:hint="default"/>
        </w:rPr>
      </w:pPr>
      <w:hyperlink w:anchor="_Toc860" w:history="1">
        <w:r w:rsidR="009C419D">
          <w:t>第二章 编制依据</w:t>
        </w:r>
        <w:r w:rsidR="009C419D">
          <w:tab/>
        </w:r>
        <w:r>
          <w:fldChar w:fldCharType="begin"/>
        </w:r>
        <w:r>
          <w:instrText xml:space="preserve"> PAGEREF _Toc860 </w:instrText>
        </w:r>
        <w:r>
          <w:fldChar w:fldCharType="separate"/>
        </w:r>
        <w:r w:rsidR="009C419D">
          <w:t>6</w:t>
        </w:r>
        <w:r>
          <w:fldChar w:fldCharType="end"/>
        </w:r>
      </w:hyperlink>
    </w:p>
    <w:p w:rsidR="00E7704A">
      <w:pPr>
        <w:pStyle w:val="TOC1"/>
        <w:tabs>
          <w:tab w:val="right" w:leader="hyphen" w:pos="8306"/>
        </w:tabs>
        <w:rPr>
          <w:rFonts w:hint="default"/>
        </w:rPr>
      </w:pPr>
      <w:hyperlink w:anchor="_Toc9906" w:history="1">
        <w:r w:rsidR="009C419D">
          <w:t>第三章 施工计划</w:t>
        </w:r>
        <w:r w:rsidR="009C419D">
          <w:tab/>
        </w:r>
        <w:r>
          <w:fldChar w:fldCharType="begin"/>
        </w:r>
        <w:r>
          <w:instrText xml:space="preserve"> PAGEREF _Toc9906 </w:instrText>
        </w:r>
        <w:r>
          <w:fldChar w:fldCharType="separate"/>
        </w:r>
        <w:r w:rsidR="009C419D">
          <w:t>7</w:t>
        </w:r>
        <w:r>
          <w:fldChar w:fldCharType="end"/>
        </w:r>
      </w:hyperlink>
    </w:p>
    <w:p w:rsidR="00E7704A">
      <w:pPr>
        <w:pStyle w:val="TOC2"/>
        <w:tabs>
          <w:tab w:val="right" w:leader="hyphen" w:pos="8306"/>
        </w:tabs>
        <w:rPr>
          <w:rFonts w:hint="default"/>
        </w:rPr>
      </w:pPr>
      <w:hyperlink w:anchor="_Toc4347" w:history="1">
        <w:r w:rsidR="009C419D">
          <w:rPr>
            <w:b/>
          </w:rPr>
          <w:t xml:space="preserve">一、 </w:t>
        </w:r>
        <w:r w:rsidR="009C419D">
          <w:t>施工进度计划</w:t>
        </w:r>
        <w:r w:rsidR="009C419D">
          <w:tab/>
        </w:r>
        <w:r>
          <w:fldChar w:fldCharType="begin"/>
        </w:r>
        <w:r>
          <w:instrText xml:space="preserve"> PAGEREF _Toc</w:instrText>
        </w:r>
        <w:r>
          <w:instrText xml:space="preserve">4347 </w:instrText>
        </w:r>
        <w:r>
          <w:fldChar w:fldCharType="separate"/>
        </w:r>
        <w:r w:rsidR="009C419D">
          <w:t>7</w:t>
        </w:r>
        <w:r>
          <w:fldChar w:fldCharType="end"/>
        </w:r>
      </w:hyperlink>
    </w:p>
    <w:p w:rsidR="00E7704A">
      <w:pPr>
        <w:pStyle w:val="TOC2"/>
        <w:tabs>
          <w:tab w:val="right" w:leader="hyphen" w:pos="8306"/>
        </w:tabs>
        <w:rPr>
          <w:rFonts w:hint="default"/>
        </w:rPr>
      </w:pPr>
      <w:hyperlink w:anchor="_Toc24049" w:history="1">
        <w:r w:rsidR="009C419D">
          <w:rPr>
            <w:b/>
          </w:rPr>
          <w:t xml:space="preserve">二、 </w:t>
        </w:r>
        <w:r w:rsidR="009C419D">
          <w:t>材料与设备计划</w:t>
        </w:r>
        <w:r w:rsidR="009C419D">
          <w:tab/>
        </w:r>
        <w:r>
          <w:fldChar w:fldCharType="begin"/>
        </w:r>
        <w:r>
          <w:instrText xml:space="preserve"> PAGEREF _Toc24049 </w:instrText>
        </w:r>
        <w:r>
          <w:fldChar w:fldCharType="separate"/>
        </w:r>
        <w:r w:rsidR="009C419D">
          <w:t>7</w:t>
        </w:r>
        <w:r>
          <w:fldChar w:fldCharType="end"/>
        </w:r>
      </w:hyperlink>
    </w:p>
    <w:p w:rsidR="00E7704A">
      <w:pPr>
        <w:pStyle w:val="TOC1"/>
        <w:tabs>
          <w:tab w:val="right" w:leader="hyphen" w:pos="8306"/>
        </w:tabs>
        <w:rPr>
          <w:rFonts w:hint="default"/>
        </w:rPr>
      </w:pPr>
      <w:hyperlink w:anchor="_Toc31117" w:history="1">
        <w:r w:rsidR="009C419D">
          <w:t>第四章 施工工艺技术</w:t>
        </w:r>
        <w:r w:rsidR="009C419D">
          <w:tab/>
        </w:r>
        <w:r>
          <w:fldChar w:fldCharType="begin"/>
        </w:r>
        <w:r>
          <w:instrText xml:space="preserve"> PAGEREF _Toc31117 </w:instrText>
        </w:r>
        <w:r>
          <w:fldChar w:fldCharType="separate"/>
        </w:r>
        <w:r w:rsidR="009C419D">
          <w:t>10</w:t>
        </w:r>
        <w:r>
          <w:fldChar w:fldCharType="end"/>
        </w:r>
      </w:hyperlink>
    </w:p>
    <w:p w:rsidR="00E7704A">
      <w:pPr>
        <w:pStyle w:val="TOC2"/>
        <w:tabs>
          <w:tab w:val="right" w:leader="hyphen" w:pos="8306"/>
        </w:tabs>
        <w:rPr>
          <w:rFonts w:hint="default"/>
        </w:rPr>
      </w:pPr>
      <w:hyperlink w:anchor="_Toc28016" w:history="1">
        <w:r w:rsidR="009C419D">
          <w:rPr>
            <w:b/>
          </w:rPr>
          <w:t xml:space="preserve">一、 </w:t>
        </w:r>
        <w:r w:rsidR="009C419D">
          <w:t>技术参数</w:t>
        </w:r>
        <w:r w:rsidR="009C419D">
          <w:tab/>
        </w:r>
        <w:r>
          <w:fldChar w:fldCharType="begin"/>
        </w:r>
        <w:r>
          <w:instrText xml:space="preserve"> PAGEREF _Toc28016 </w:instrText>
        </w:r>
        <w:r>
          <w:fldChar w:fldCharType="separate"/>
        </w:r>
        <w:r w:rsidR="009C419D">
          <w:t>10</w:t>
        </w:r>
        <w:r>
          <w:fldChar w:fldCharType="end"/>
        </w:r>
      </w:hyperlink>
    </w:p>
    <w:p w:rsidR="00E7704A">
      <w:pPr>
        <w:pStyle w:val="TOC2"/>
        <w:tabs>
          <w:tab w:val="right" w:leader="hyphen" w:pos="8306"/>
        </w:tabs>
        <w:rPr>
          <w:rFonts w:hint="default"/>
        </w:rPr>
      </w:pPr>
      <w:hyperlink w:anchor="_Toc4882" w:history="1">
        <w:r w:rsidR="009C419D">
          <w:rPr>
            <w:b/>
          </w:rPr>
          <w:t xml:space="preserve">二、 </w:t>
        </w:r>
        <w:r w:rsidR="009C419D">
          <w:t>工艺流程</w:t>
        </w:r>
        <w:r w:rsidR="009C419D">
          <w:tab/>
        </w:r>
        <w:r>
          <w:fldChar w:fldCharType="begin"/>
        </w:r>
        <w:r>
          <w:instrText xml:space="preserve"> PAGEREF _Toc4882 </w:instrText>
        </w:r>
        <w:r>
          <w:fldChar w:fldCharType="separate"/>
        </w:r>
        <w:r w:rsidR="009C419D">
          <w:t>11</w:t>
        </w:r>
        <w:r>
          <w:fldChar w:fldCharType="end"/>
        </w:r>
      </w:hyperlink>
    </w:p>
    <w:p w:rsidR="00E7704A">
      <w:pPr>
        <w:pStyle w:val="TOC2"/>
        <w:tabs>
          <w:tab w:val="right" w:leader="hyphen" w:pos="8306"/>
        </w:tabs>
        <w:rPr>
          <w:rFonts w:hint="default"/>
        </w:rPr>
      </w:pPr>
      <w:hyperlink w:anchor="_Toc24058" w:history="1">
        <w:r w:rsidR="009C419D">
          <w:rPr>
            <w:b/>
          </w:rPr>
          <w:t xml:space="preserve">三、 </w:t>
        </w:r>
        <w:r w:rsidR="009C419D">
          <w:t>施工方法</w:t>
        </w:r>
        <w:r w:rsidR="009C419D">
          <w:tab/>
        </w:r>
        <w:r>
          <w:fldChar w:fldCharType="begin"/>
        </w:r>
        <w:r>
          <w:instrText xml:space="preserve"> PAGEREF _Toc24058 </w:instrText>
        </w:r>
        <w:r>
          <w:fldChar w:fldCharType="separate"/>
        </w:r>
        <w:r w:rsidR="009C419D">
          <w:t>12</w:t>
        </w:r>
        <w:r>
          <w:fldChar w:fldCharType="end"/>
        </w:r>
      </w:hyperlink>
    </w:p>
    <w:p w:rsidR="00E7704A">
      <w:pPr>
        <w:pStyle w:val="TOC2"/>
        <w:tabs>
          <w:tab w:val="right" w:leader="hyphen" w:pos="8306"/>
        </w:tabs>
        <w:rPr>
          <w:rFonts w:hint="default"/>
        </w:rPr>
      </w:pPr>
      <w:hyperlink w:anchor="_Toc19151" w:history="1">
        <w:r w:rsidR="009C419D">
          <w:rPr>
            <w:b/>
          </w:rPr>
          <w:t xml:space="preserve">四、 </w:t>
        </w:r>
        <w:r w:rsidR="009C419D">
          <w:t>检查验收</w:t>
        </w:r>
        <w:r w:rsidR="009C419D">
          <w:tab/>
        </w:r>
        <w:r>
          <w:fldChar w:fldCharType="begin"/>
        </w:r>
        <w:r>
          <w:instrText xml:space="preserve"> PAGEREF _Toc19151 </w:instrText>
        </w:r>
        <w:r>
          <w:fldChar w:fldCharType="separate"/>
        </w:r>
        <w:r w:rsidR="009C419D">
          <w:t>22</w:t>
        </w:r>
        <w:r>
          <w:fldChar w:fldCharType="end"/>
        </w:r>
      </w:hyperlink>
    </w:p>
    <w:p w:rsidR="00E7704A">
      <w:pPr>
        <w:pStyle w:val="TOC1"/>
        <w:tabs>
          <w:tab w:val="right" w:leader="hyphen" w:pos="8306"/>
        </w:tabs>
        <w:rPr>
          <w:rFonts w:hint="default"/>
        </w:rPr>
      </w:pPr>
      <w:hyperlink w:anchor="_Toc22742" w:history="1">
        <w:r w:rsidR="009C419D">
          <w:t>第五章 施工安全保证措施</w:t>
        </w:r>
        <w:r w:rsidR="009C419D">
          <w:tab/>
        </w:r>
        <w:r>
          <w:fldChar w:fldCharType="begin"/>
        </w:r>
        <w:r>
          <w:instrText xml:space="preserve"> PAGEREF _Toc22742 </w:instrText>
        </w:r>
        <w:r>
          <w:fldChar w:fldCharType="separate"/>
        </w:r>
        <w:r w:rsidR="009C419D">
          <w:t>23</w:t>
        </w:r>
        <w:r>
          <w:fldChar w:fldCharType="end"/>
        </w:r>
      </w:hyperlink>
    </w:p>
    <w:p w:rsidR="00E7704A">
      <w:pPr>
        <w:pStyle w:val="TOC2"/>
        <w:tabs>
          <w:tab w:val="right" w:leader="hyphen" w:pos="8306"/>
        </w:tabs>
        <w:rPr>
          <w:rFonts w:hint="default"/>
        </w:rPr>
      </w:pPr>
      <w:hyperlink w:anchor="_Toc14747" w:history="1">
        <w:r w:rsidR="009C419D">
          <w:rPr>
            <w:b/>
          </w:rPr>
          <w:t xml:space="preserve">一、 </w:t>
        </w:r>
        <w:r w:rsidR="009C419D">
          <w:t>组织保障</w:t>
        </w:r>
        <w:r w:rsidR="009C419D">
          <w:tab/>
        </w:r>
        <w:r>
          <w:fldChar w:fldCharType="begin"/>
        </w:r>
        <w:r>
          <w:instrText xml:space="preserve"> PAGEREF _Toc14747 </w:instrText>
        </w:r>
        <w:r>
          <w:fldChar w:fldCharType="separate"/>
        </w:r>
        <w:r w:rsidR="009C419D">
          <w:t>23</w:t>
        </w:r>
        <w:r>
          <w:fldChar w:fldCharType="end"/>
        </w:r>
      </w:hyperlink>
    </w:p>
    <w:p w:rsidR="00E7704A">
      <w:pPr>
        <w:pStyle w:val="TOC2"/>
        <w:tabs>
          <w:tab w:val="right" w:leader="hyphen" w:pos="8306"/>
        </w:tabs>
        <w:rPr>
          <w:rFonts w:hint="default"/>
        </w:rPr>
      </w:pPr>
      <w:hyperlink w:anchor="_Toc7536" w:history="1">
        <w:r w:rsidR="009C419D">
          <w:rPr>
            <w:b/>
          </w:rPr>
          <w:t xml:space="preserve">二、 </w:t>
        </w:r>
        <w:r w:rsidR="009C419D">
          <w:t>技术措施</w:t>
        </w:r>
        <w:r w:rsidR="009C419D">
          <w:tab/>
        </w:r>
        <w:r>
          <w:fldChar w:fldCharType="begin"/>
        </w:r>
        <w:r>
          <w:instrText xml:space="preserve"> PAGEREF _Toc7536 </w:instrText>
        </w:r>
        <w:r>
          <w:fldChar w:fldCharType="separate"/>
        </w:r>
        <w:r w:rsidR="009C419D">
          <w:t>26</w:t>
        </w:r>
        <w:r>
          <w:fldChar w:fldCharType="end"/>
        </w:r>
      </w:hyperlink>
    </w:p>
    <w:p w:rsidR="00E7704A">
      <w:pPr>
        <w:pStyle w:val="TOC2"/>
        <w:tabs>
          <w:tab w:val="right" w:leader="hyphen" w:pos="8306"/>
        </w:tabs>
        <w:rPr>
          <w:rFonts w:hint="default"/>
        </w:rPr>
      </w:pPr>
      <w:hyperlink w:anchor="_Toc11129" w:history="1">
        <w:r w:rsidR="009C419D">
          <w:rPr>
            <w:b/>
          </w:rPr>
          <w:t xml:space="preserve">三、 </w:t>
        </w:r>
        <w:r w:rsidR="009C419D">
          <w:t>监测监控</w:t>
        </w:r>
        <w:r w:rsidR="009C419D">
          <w:tab/>
        </w:r>
        <w:r>
          <w:fldChar w:fldCharType="begin"/>
        </w:r>
        <w:r>
          <w:instrText xml:space="preserve"> PAGEREF _Toc11129 </w:instrText>
        </w:r>
        <w:r>
          <w:fldChar w:fldCharType="separate"/>
        </w:r>
        <w:r w:rsidR="009C419D">
          <w:t>32</w:t>
        </w:r>
        <w:r>
          <w:fldChar w:fldCharType="end"/>
        </w:r>
      </w:hyperlink>
    </w:p>
    <w:p w:rsidR="00E7704A">
      <w:pPr>
        <w:pStyle w:val="TOC2"/>
        <w:tabs>
          <w:tab w:val="right" w:leader="hyphen" w:pos="8306"/>
        </w:tabs>
        <w:rPr>
          <w:rFonts w:hint="default"/>
        </w:rPr>
      </w:pPr>
      <w:hyperlink w:anchor="_Toc12530" w:history="1">
        <w:r w:rsidR="009C419D">
          <w:rPr>
            <w:b/>
          </w:rPr>
          <w:t xml:space="preserve">四、 </w:t>
        </w:r>
        <w:r w:rsidR="009C419D">
          <w:t>应急预案</w:t>
        </w:r>
        <w:r w:rsidR="009C419D">
          <w:tab/>
        </w:r>
        <w:r>
          <w:fldChar w:fldCharType="begin"/>
        </w:r>
        <w:r>
          <w:instrText xml:space="preserve"> PAGEREF _Toc12530 </w:instrText>
        </w:r>
        <w:r>
          <w:fldChar w:fldCharType="separate"/>
        </w:r>
        <w:r w:rsidR="009C419D">
          <w:t>33</w:t>
        </w:r>
        <w:r>
          <w:fldChar w:fldCharType="end"/>
        </w:r>
      </w:hyperlink>
    </w:p>
    <w:p w:rsidR="00E7704A">
      <w:pPr>
        <w:pStyle w:val="TOC1"/>
        <w:tabs>
          <w:tab w:val="right" w:leader="hyphen" w:pos="8306"/>
        </w:tabs>
        <w:rPr>
          <w:rFonts w:hint="default"/>
        </w:rPr>
      </w:pPr>
      <w:hyperlink w:anchor="_Toc15676" w:history="1">
        <w:r w:rsidR="009C419D">
          <w:t>第六章 劳动力计划</w:t>
        </w:r>
        <w:r w:rsidR="009C419D">
          <w:tab/>
        </w:r>
        <w:r>
          <w:fldChar w:fldCharType="begin"/>
        </w:r>
        <w:r>
          <w:instrText xml:space="preserve"> PAGEREF</w:instrText>
        </w:r>
        <w:r>
          <w:instrText xml:space="preserve"> _Toc15676 </w:instrText>
        </w:r>
        <w:r>
          <w:fldChar w:fldCharType="separate"/>
        </w:r>
        <w:r w:rsidR="009C419D">
          <w:t>35</w:t>
        </w:r>
        <w:r>
          <w:fldChar w:fldCharType="end"/>
        </w:r>
      </w:hyperlink>
    </w:p>
    <w:p w:rsidR="00E7704A">
      <w:pPr>
        <w:pStyle w:val="TOC2"/>
        <w:tabs>
          <w:tab w:val="right" w:leader="hyphen" w:pos="8306"/>
        </w:tabs>
        <w:rPr>
          <w:rFonts w:hint="default"/>
        </w:rPr>
      </w:pPr>
      <w:hyperlink w:anchor="_Toc32753" w:history="1">
        <w:r w:rsidR="009C419D">
          <w:rPr>
            <w:b/>
          </w:rPr>
          <w:t xml:space="preserve">一、 </w:t>
        </w:r>
        <w:r w:rsidR="009C419D">
          <w:t>专职安全生产管理人员</w:t>
        </w:r>
        <w:r w:rsidR="009C419D">
          <w:tab/>
        </w:r>
        <w:r>
          <w:fldChar w:fldCharType="begin"/>
        </w:r>
        <w:r>
          <w:instrText xml:space="preserve"> PAGEREF _Toc32753 </w:instrText>
        </w:r>
        <w:r>
          <w:fldChar w:fldCharType="separate"/>
        </w:r>
        <w:r w:rsidR="009C419D">
          <w:t>35</w:t>
        </w:r>
        <w:r>
          <w:fldChar w:fldCharType="end"/>
        </w:r>
      </w:hyperlink>
    </w:p>
    <w:p w:rsidR="00E7704A">
      <w:pPr>
        <w:pStyle w:val="TOC2"/>
        <w:tabs>
          <w:tab w:val="right" w:leader="hyphen" w:pos="8306"/>
        </w:tabs>
        <w:rPr>
          <w:rFonts w:hint="default"/>
        </w:rPr>
      </w:pPr>
      <w:hyperlink w:anchor="_Toc2050" w:history="1">
        <w:r w:rsidR="009C419D">
          <w:rPr>
            <w:b/>
          </w:rPr>
          <w:t xml:space="preserve">二、 </w:t>
        </w:r>
        <w:r w:rsidR="009C419D">
          <w:t>特种作业人员</w:t>
        </w:r>
        <w:r w:rsidR="009C419D">
          <w:tab/>
        </w:r>
        <w:r>
          <w:fldChar w:fldCharType="begin"/>
        </w:r>
        <w:r>
          <w:instrText xml:space="preserve"> PAGEREF _Toc2050 </w:instrText>
        </w:r>
        <w:r>
          <w:fldChar w:fldCharType="separate"/>
        </w:r>
        <w:r w:rsidR="009C419D">
          <w:t>35</w:t>
        </w:r>
        <w:r>
          <w:fldChar w:fldCharType="end"/>
        </w:r>
      </w:hyperlink>
    </w:p>
    <w:p w:rsidR="00E7704A">
      <w:pPr>
        <w:pStyle w:val="TOC1"/>
        <w:tabs>
          <w:tab w:val="right" w:leader="hyphen" w:pos="8306"/>
        </w:tabs>
        <w:rPr>
          <w:rFonts w:hint="default"/>
        </w:rPr>
      </w:pPr>
      <w:hyperlink w:anchor="_Toc10860" w:history="1">
        <w:r w:rsidR="009C419D">
          <w:t>第七章 计算书及相关图纸</w:t>
        </w:r>
        <w:r w:rsidR="009C419D">
          <w:tab/>
        </w:r>
        <w:r>
          <w:fldChar w:fldCharType="begin"/>
        </w:r>
        <w:r>
          <w:instrText xml:space="preserve"> PAGEREF _Toc10860 </w:instrText>
        </w:r>
        <w:r>
          <w:fldChar w:fldCharType="separate"/>
        </w:r>
        <w:r w:rsidR="009C419D">
          <w:t>36</w:t>
        </w:r>
        <w:r>
          <w:fldChar w:fldCharType="end"/>
        </w:r>
      </w:hyperlink>
    </w:p>
    <w:p w:rsidR="00E7704A">
      <w:pPr>
        <w:pStyle w:val="TOC2"/>
        <w:tabs>
          <w:tab w:val="right" w:leader="hyphen" w:pos="8306"/>
        </w:tabs>
        <w:rPr>
          <w:rFonts w:hint="default"/>
        </w:rPr>
      </w:pPr>
      <w:hyperlink w:anchor="_Toc20936" w:history="1">
        <w:r w:rsidR="009C419D">
          <w:rPr>
            <w:b/>
          </w:rPr>
          <w:t xml:space="preserve">一、 </w:t>
        </w:r>
        <w:r w:rsidR="009C419D">
          <w:t>计算书</w:t>
        </w:r>
        <w:r w:rsidR="009C419D">
          <w:tab/>
        </w:r>
        <w:r>
          <w:fldChar w:fldCharType="begin"/>
        </w:r>
        <w:r>
          <w:instrText xml:space="preserve"> PAGEREF _Toc20936 </w:instrText>
        </w:r>
        <w:r>
          <w:fldChar w:fldCharType="separate"/>
        </w:r>
        <w:r w:rsidR="009C419D">
          <w:t>36</w:t>
        </w:r>
        <w:r>
          <w:fldChar w:fldCharType="end"/>
        </w:r>
      </w:hyperlink>
    </w:p>
    <w:p w:rsidR="00E7704A">
      <w:pPr>
        <w:pStyle w:val="Normal0"/>
      </w:pPr>
    </w:p>
    <w:p w:rsidR="00E7704A">
      <w:pPr>
        <w:pStyle w:val="Normal0"/>
      </w:pPr>
    </w:p>
    <w:p w:rsidR="00E7704A">
      <w:pPr>
        <w:pStyle w:val="Normal0"/>
        <w:sectPr>
          <w:pgSz w:w="11906" w:h="16838"/>
          <w:pgMar w:top="1440" w:right="1800" w:bottom="1440" w:left="1800" w:header="851" w:footer="992" w:gutter="0"/>
          <w:pgNumType w:start="3"/>
          <w:cols w:space="425"/>
          <w:docGrid w:type="lines" w:linePitch="312"/>
        </w:sectPr>
      </w:pPr>
    </w:p>
    <w:p w:rsidR="00E7704A">
      <w:pPr>
        <w:pStyle w:val="10"/>
        <w:rPr>
          <w:rFonts w:ascii="Arial" w:hAnsi="Arial" w:hint="default"/>
          <w:color w:val="FF0000"/>
          <w:sz w:val="18"/>
        </w:rPr>
      </w:pPr>
      <w:r>
        <w:fldChar w:fldCharType="end"/>
      </w:r>
      <w:bookmarkStart w:id="0" w:name="_Toc12338"/>
      <w:r>
        <w:t>工程概况</w:t>
      </w:r>
      <w:bookmarkEnd w:id="0"/>
    </w:p>
    <w:p w:rsidR="00E7704A">
      <w:pPr>
        <w:pStyle w:val="2"/>
        <w:rPr>
          <w:rFonts w:hint="default"/>
        </w:rPr>
      </w:pPr>
      <w:bookmarkStart w:id="1" w:name="_Toc8537"/>
      <w:r>
        <w:t>工程定位和概况</w:t>
      </w:r>
      <w:bookmarkEnd w:id="1"/>
    </w:p>
    <w:p w:rsidR="00E7704A">
      <w:pPr>
        <w:pStyle w:val="Normal0"/>
        <w:rPr>
          <w:b/>
          <w:bCs/>
          <w:sz w:val="24"/>
          <w:szCs w:val="24"/>
        </w:rPr>
      </w:pPr>
      <w:r>
        <w:rPr>
          <w:rFonts w:hint="eastAsia"/>
        </w:rPr>
        <w:t xml:space="preserve">     </w:t>
      </w:r>
      <w:r>
        <w:rPr>
          <w:rFonts w:hint="eastAsia"/>
          <w:b/>
          <w:bCs/>
          <w:sz w:val="24"/>
          <w:szCs w:val="24"/>
        </w:rPr>
        <w:t>1</w:t>
      </w:r>
      <w:r>
        <w:rPr>
          <w:rFonts w:hint="eastAsia"/>
          <w:b/>
          <w:bCs/>
          <w:sz w:val="24"/>
          <w:szCs w:val="24"/>
        </w:rPr>
        <w:t>、工程定位</w:t>
      </w:r>
    </w:p>
    <w:p w:rsidR="00E7704A">
      <w:pPr>
        <w:pStyle w:val="Normal0"/>
        <w:spacing w:line="360" w:lineRule="auto"/>
        <w:ind w:firstLine="480" w:firstLineChars="200"/>
        <w:rPr>
          <w:rFonts w:ascii="宋体" w:hAnsi="宋体"/>
          <w:color w:val="000000"/>
          <w:sz w:val="24"/>
          <w:szCs w:val="24"/>
        </w:rPr>
      </w:pPr>
      <w:r>
        <w:rPr>
          <w:rFonts w:ascii="宋体" w:hAnsi="宋体" w:hint="eastAsia"/>
          <w:color w:val="000000"/>
          <w:sz w:val="24"/>
          <w:szCs w:val="24"/>
        </w:rPr>
        <w:t>龙脊河凤凰路重点工程历城区王舍人村拆迁安置房项目</w:t>
      </w:r>
      <w:r>
        <w:rPr>
          <w:rFonts w:ascii="宋体" w:hAnsi="宋体" w:hint="eastAsia"/>
          <w:color w:val="000000"/>
          <w:sz w:val="24"/>
          <w:szCs w:val="24"/>
        </w:rPr>
        <w:t>1</w:t>
      </w:r>
      <w:r>
        <w:rPr>
          <w:rFonts w:ascii="宋体" w:hAnsi="宋体" w:hint="eastAsia"/>
          <w:color w:val="000000"/>
          <w:sz w:val="24"/>
          <w:szCs w:val="24"/>
        </w:rPr>
        <w:t>＃</w:t>
      </w:r>
      <w:r>
        <w:rPr>
          <w:rFonts w:ascii="宋体" w:hAnsi="宋体" w:hint="eastAsia"/>
          <w:color w:val="000000"/>
          <w:sz w:val="24"/>
          <w:szCs w:val="24"/>
        </w:rPr>
        <w:t>-7</w:t>
      </w:r>
      <w:r>
        <w:rPr>
          <w:rFonts w:ascii="宋体" w:hAnsi="宋体" w:hint="eastAsia"/>
          <w:color w:val="000000"/>
          <w:sz w:val="24"/>
          <w:szCs w:val="24"/>
        </w:rPr>
        <w:t>＃住宅楼、</w:t>
      </w:r>
      <w:r>
        <w:rPr>
          <w:rFonts w:ascii="宋体" w:hAnsi="宋体" w:hint="eastAsia"/>
          <w:color w:val="000000"/>
          <w:sz w:val="24"/>
          <w:szCs w:val="24"/>
        </w:rPr>
        <w:t>1</w:t>
      </w:r>
      <w:r>
        <w:rPr>
          <w:rFonts w:ascii="宋体" w:hAnsi="宋体" w:hint="eastAsia"/>
          <w:color w:val="000000"/>
          <w:sz w:val="24"/>
          <w:szCs w:val="24"/>
        </w:rPr>
        <w:t>＃</w:t>
      </w:r>
      <w:r>
        <w:rPr>
          <w:rFonts w:ascii="宋体" w:hAnsi="宋体" w:hint="eastAsia"/>
          <w:color w:val="000000"/>
          <w:sz w:val="24"/>
          <w:szCs w:val="24"/>
        </w:rPr>
        <w:t>-3#</w:t>
      </w:r>
      <w:r>
        <w:rPr>
          <w:rFonts w:ascii="宋体" w:hAnsi="宋体" w:hint="eastAsia"/>
          <w:color w:val="000000"/>
          <w:sz w:val="24"/>
          <w:szCs w:val="24"/>
        </w:rPr>
        <w:t>公建楼、换热站及地下车库工程施工总承包，位于王舍人村东南，东至龙脊河规划红线，西至朝山街东侧沿街住宅东墙，南至胶济铁路以北规划道路红线，北至王舍人村南外环规划道路红线。总建筑面积约为</w:t>
      </w:r>
      <w:r>
        <w:rPr>
          <w:rFonts w:ascii="宋体" w:hAnsi="宋体" w:hint="eastAsia"/>
          <w:color w:val="000000"/>
          <w:sz w:val="24"/>
          <w:szCs w:val="24"/>
        </w:rPr>
        <w:t>100662.35</w:t>
      </w:r>
      <w:r>
        <w:rPr>
          <w:rFonts w:ascii="宋体" w:hAnsi="宋体" w:hint="eastAsia"/>
          <w:color w:val="000000"/>
          <w:sz w:val="24"/>
          <w:szCs w:val="24"/>
        </w:rPr>
        <w:t>平方米，结构形式为框架、剪力墙结构，包括一标段：</w:t>
      </w:r>
      <w:r>
        <w:rPr>
          <w:rFonts w:ascii="宋体" w:hAnsi="宋体" w:hint="eastAsia"/>
          <w:color w:val="000000"/>
          <w:sz w:val="24"/>
          <w:szCs w:val="24"/>
        </w:rPr>
        <w:t>1#</w:t>
      </w:r>
      <w:r>
        <w:rPr>
          <w:rFonts w:ascii="宋体" w:hAnsi="宋体" w:hint="eastAsia"/>
          <w:color w:val="000000"/>
          <w:sz w:val="24"/>
          <w:szCs w:val="24"/>
        </w:rPr>
        <w:t>、</w:t>
      </w:r>
      <w:r>
        <w:rPr>
          <w:rFonts w:ascii="宋体" w:hAnsi="宋体" w:hint="eastAsia"/>
          <w:color w:val="000000"/>
          <w:sz w:val="24"/>
          <w:szCs w:val="24"/>
        </w:rPr>
        <w:t>2#</w:t>
      </w:r>
      <w:r>
        <w:rPr>
          <w:rFonts w:ascii="宋体" w:hAnsi="宋体" w:hint="eastAsia"/>
          <w:color w:val="000000"/>
          <w:sz w:val="24"/>
          <w:szCs w:val="24"/>
        </w:rPr>
        <w:t>、</w:t>
      </w:r>
      <w:r>
        <w:rPr>
          <w:rFonts w:ascii="宋体" w:hAnsi="宋体" w:hint="eastAsia"/>
          <w:color w:val="000000"/>
          <w:sz w:val="24"/>
          <w:szCs w:val="24"/>
        </w:rPr>
        <w:t>4#</w:t>
      </w:r>
      <w:r>
        <w:rPr>
          <w:rFonts w:ascii="宋体" w:hAnsi="宋体" w:hint="eastAsia"/>
          <w:color w:val="000000"/>
          <w:sz w:val="24"/>
          <w:szCs w:val="24"/>
        </w:rPr>
        <w:t>、</w:t>
      </w:r>
      <w:r>
        <w:rPr>
          <w:rFonts w:ascii="宋体" w:hAnsi="宋体" w:hint="eastAsia"/>
          <w:color w:val="000000"/>
          <w:sz w:val="24"/>
          <w:szCs w:val="24"/>
        </w:rPr>
        <w:t>5#</w:t>
      </w:r>
      <w:r>
        <w:rPr>
          <w:rFonts w:ascii="宋体" w:hAnsi="宋体" w:hint="eastAsia"/>
          <w:color w:val="000000"/>
          <w:sz w:val="24"/>
          <w:szCs w:val="24"/>
        </w:rPr>
        <w:t>、</w:t>
      </w:r>
      <w:r>
        <w:rPr>
          <w:rFonts w:ascii="宋体" w:hAnsi="宋体" w:hint="eastAsia"/>
          <w:color w:val="000000"/>
          <w:sz w:val="24"/>
          <w:szCs w:val="24"/>
        </w:rPr>
        <w:t>6#</w:t>
      </w:r>
      <w:r>
        <w:rPr>
          <w:rFonts w:ascii="宋体" w:hAnsi="宋体" w:hint="eastAsia"/>
          <w:color w:val="000000"/>
          <w:sz w:val="24"/>
          <w:szCs w:val="24"/>
        </w:rPr>
        <w:t>住宅楼、换热站及部分地下车库（地下车库区域为轴线</w:t>
      </w:r>
      <w:r>
        <w:rPr>
          <w:rFonts w:ascii="宋体" w:hAnsi="宋体" w:hint="eastAsia"/>
          <w:color w:val="000000"/>
          <w:sz w:val="24"/>
          <w:szCs w:val="24"/>
        </w:rPr>
        <w:t>15-27</w:t>
      </w:r>
      <w:r>
        <w:rPr>
          <w:rFonts w:ascii="宋体" w:hAnsi="宋体" w:hint="eastAsia"/>
          <w:color w:val="000000"/>
          <w:sz w:val="24"/>
          <w:szCs w:val="24"/>
        </w:rPr>
        <w:t>轴，建筑面积</w:t>
      </w:r>
      <w:r>
        <w:rPr>
          <w:rFonts w:ascii="宋体" w:hAnsi="宋体" w:hint="eastAsia"/>
          <w:color w:val="000000"/>
          <w:sz w:val="24"/>
          <w:szCs w:val="24"/>
        </w:rPr>
        <w:t>3260.12</w:t>
      </w:r>
      <w:r>
        <w:rPr>
          <w:rFonts w:ascii="宋体" w:hAnsi="宋体" w:hint="eastAsia"/>
          <w:color w:val="000000"/>
          <w:sz w:val="24"/>
          <w:szCs w:val="24"/>
        </w:rPr>
        <w:t>㎡），总建筑面积：</w:t>
      </w:r>
      <w:r>
        <w:rPr>
          <w:rFonts w:ascii="宋体" w:hAnsi="宋体" w:hint="eastAsia"/>
          <w:color w:val="000000"/>
          <w:sz w:val="24"/>
          <w:szCs w:val="24"/>
        </w:rPr>
        <w:t>40205.21</w:t>
      </w:r>
      <w:r>
        <w:rPr>
          <w:rFonts w:ascii="宋体" w:hAnsi="宋体" w:hint="eastAsia"/>
          <w:color w:val="000000"/>
          <w:sz w:val="24"/>
          <w:szCs w:val="24"/>
        </w:rPr>
        <w:t>平方米；二标段：</w:t>
      </w:r>
      <w:r>
        <w:rPr>
          <w:rFonts w:ascii="宋体" w:hAnsi="宋体" w:hint="eastAsia"/>
          <w:color w:val="000000"/>
          <w:sz w:val="24"/>
          <w:szCs w:val="24"/>
        </w:rPr>
        <w:t>3#</w:t>
      </w:r>
      <w:r>
        <w:rPr>
          <w:rFonts w:ascii="宋体" w:hAnsi="宋体" w:hint="eastAsia"/>
          <w:color w:val="000000"/>
          <w:sz w:val="24"/>
          <w:szCs w:val="24"/>
        </w:rPr>
        <w:t>、</w:t>
      </w:r>
      <w:r>
        <w:rPr>
          <w:rFonts w:ascii="宋体" w:hAnsi="宋体" w:hint="eastAsia"/>
          <w:color w:val="000000"/>
          <w:sz w:val="24"/>
          <w:szCs w:val="24"/>
        </w:rPr>
        <w:t>7#</w:t>
      </w:r>
      <w:r>
        <w:rPr>
          <w:rFonts w:ascii="宋体" w:hAnsi="宋体" w:hint="eastAsia"/>
          <w:color w:val="000000"/>
          <w:sz w:val="24"/>
          <w:szCs w:val="24"/>
        </w:rPr>
        <w:t>住宅楼、</w:t>
      </w:r>
      <w:r>
        <w:rPr>
          <w:rFonts w:ascii="宋体" w:hAnsi="宋体" w:hint="eastAsia"/>
          <w:color w:val="000000"/>
          <w:sz w:val="24"/>
          <w:szCs w:val="24"/>
        </w:rPr>
        <w:t>1#-3</w:t>
      </w:r>
      <w:r>
        <w:rPr>
          <w:rFonts w:ascii="宋体" w:hAnsi="宋体" w:hint="eastAsia"/>
          <w:color w:val="000000"/>
          <w:sz w:val="24"/>
          <w:szCs w:val="24"/>
        </w:rPr>
        <w:t>#</w:t>
      </w:r>
      <w:r>
        <w:rPr>
          <w:rFonts w:ascii="宋体" w:hAnsi="宋体" w:hint="eastAsia"/>
          <w:color w:val="000000"/>
          <w:sz w:val="24"/>
          <w:szCs w:val="24"/>
        </w:rPr>
        <w:t>公建楼及部分地下车库（地下车库区域为轴线</w:t>
      </w:r>
      <w:r>
        <w:rPr>
          <w:rFonts w:ascii="宋体" w:hAnsi="宋体" w:hint="eastAsia"/>
          <w:color w:val="000000"/>
          <w:sz w:val="24"/>
          <w:szCs w:val="24"/>
        </w:rPr>
        <w:t>1-15</w:t>
      </w:r>
      <w:r>
        <w:rPr>
          <w:rFonts w:ascii="宋体" w:hAnsi="宋体" w:hint="eastAsia"/>
          <w:color w:val="000000"/>
          <w:sz w:val="24"/>
          <w:szCs w:val="24"/>
        </w:rPr>
        <w:t>轴，建筑面积</w:t>
      </w:r>
      <w:r>
        <w:rPr>
          <w:rFonts w:ascii="宋体" w:hAnsi="宋体" w:hint="eastAsia"/>
          <w:color w:val="000000"/>
          <w:sz w:val="24"/>
          <w:szCs w:val="24"/>
        </w:rPr>
        <w:t>21464.97</w:t>
      </w:r>
      <w:r>
        <w:rPr>
          <w:rFonts w:ascii="宋体" w:hAnsi="宋体" w:hint="eastAsia"/>
          <w:color w:val="000000"/>
          <w:sz w:val="24"/>
          <w:szCs w:val="24"/>
        </w:rPr>
        <w:t>㎡），总建筑面积：</w:t>
      </w:r>
      <w:r>
        <w:rPr>
          <w:rFonts w:ascii="宋体" w:hAnsi="宋体" w:hint="eastAsia"/>
          <w:color w:val="000000"/>
          <w:sz w:val="24"/>
          <w:szCs w:val="24"/>
        </w:rPr>
        <w:t>60457.14</w:t>
      </w:r>
      <w:r>
        <w:rPr>
          <w:rFonts w:ascii="宋体" w:hAnsi="宋体" w:hint="eastAsia"/>
          <w:color w:val="000000"/>
          <w:sz w:val="24"/>
          <w:szCs w:val="24"/>
        </w:rPr>
        <w:t>平方米。本工程的定位示意图如下：</w:t>
      </w:r>
    </w:p>
    <w:p w:rsidR="00E7704A">
      <w:pPr>
        <w:pStyle w:val="Normal0"/>
        <w:snapToGrid w:val="0"/>
        <w:jc w:val="center"/>
      </w:pPr>
      <w:r>
        <w:rPr>
          <w:rFonts w:ascii="Tahoma" w:eastAsia="楷体_GB2312" w:hAnsi="Tahoma"/>
          <w:noProof/>
          <w:spacing w:val="10"/>
          <w:sz w:val="24"/>
        </w:rPr>
        <w:pict>
          <v:shape id="图片 25" o:spid="_x0000_i1026" type="#_x0000_t75" alt="02" style="width:423.75pt;height:338.25pt;mso-wrap-distance-bottom:0;mso-wrap-distance-left:9pt;mso-wrap-distance-right:9pt;mso-wrap-distance-top:0">
            <v:imagedata r:id="rId6" o:title=""/>
          </v:shape>
        </w:pict>
      </w:r>
    </w:p>
    <w:p w:rsidR="00E7704A">
      <w:pPr>
        <w:pStyle w:val="Normal0"/>
        <w:spacing w:line="360" w:lineRule="auto"/>
        <w:ind w:firstLine="480" w:firstLineChars="200"/>
        <w:rPr>
          <w:rFonts w:ascii="宋体" w:hAnsi="宋体"/>
          <w:color w:val="000000"/>
          <w:sz w:val="24"/>
          <w:szCs w:val="24"/>
        </w:rPr>
        <w:sectPr>
          <w:type w:val="nextPage"/>
          <w:pgSz w:w="11906" w:h="16838"/>
          <w:pgMar w:top="1440" w:right="1800" w:bottom="1440" w:left="1800" w:header="851" w:footer="992" w:gutter="0"/>
          <w:pgNumType w:start="4"/>
          <w:cols w:space="425"/>
          <w:titlePg w:val="0"/>
          <w:docGrid w:type="lines" w:linePitch="312"/>
        </w:sectPr>
      </w:pPr>
    </w:p>
    <w:p w:rsidR="00E7704A">
      <w:pPr>
        <w:pStyle w:val="BodyText"/>
        <w:spacing w:line="360" w:lineRule="auto"/>
        <w:rPr>
          <w:rFonts w:ascii="宋体" w:hAnsi="宋体"/>
          <w:b/>
          <w:sz w:val="24"/>
        </w:rPr>
      </w:pPr>
      <w:r>
        <w:rPr>
          <w:rFonts w:ascii="宋体" w:hAnsi="宋体" w:hint="eastAsia"/>
          <w:b/>
          <w:sz w:val="24"/>
        </w:rPr>
        <w:t xml:space="preserve">     2</w:t>
      </w:r>
      <w:r>
        <w:rPr>
          <w:rFonts w:ascii="宋体" w:hAnsi="宋体" w:hint="eastAsia"/>
          <w:b/>
          <w:sz w:val="24"/>
        </w:rPr>
        <w:t>、工程概况</w:t>
      </w:r>
    </w:p>
    <w:p w:rsidR="00E7704A" w:rsidP="00CE079B">
      <w:pPr>
        <w:pStyle w:val="Normal0"/>
        <w:spacing w:line="360" w:lineRule="auto"/>
        <w:ind w:firstLine="480" w:firstLineChars="200"/>
        <w:rPr>
          <w:rFonts w:ascii="宋体" w:hAnsi="宋体"/>
          <w:b/>
          <w:bCs/>
          <w:sz w:val="24"/>
          <w:szCs w:val="24"/>
        </w:rPr>
      </w:pPr>
      <w:r>
        <w:rPr>
          <w:rFonts w:ascii="宋体" w:hAnsi="宋体" w:hint="eastAsia"/>
          <w:b/>
          <w:bCs/>
          <w:sz w:val="24"/>
          <w:szCs w:val="24"/>
        </w:rPr>
        <w:t>（</w:t>
      </w:r>
      <w:r>
        <w:rPr>
          <w:rFonts w:ascii="宋体" w:hAnsi="宋体" w:hint="eastAsia"/>
          <w:b/>
          <w:bCs/>
          <w:sz w:val="24"/>
          <w:szCs w:val="24"/>
        </w:rPr>
        <w:t>1</w:t>
      </w:r>
      <w:r>
        <w:rPr>
          <w:rFonts w:ascii="宋体" w:hAnsi="宋体" w:hint="eastAsia"/>
          <w:b/>
          <w:bCs/>
          <w:sz w:val="24"/>
          <w:szCs w:val="24"/>
        </w:rPr>
        <w:t>）工程建设概况一览表</w:t>
      </w:r>
    </w:p>
    <w:tbl>
      <w:tblPr>
        <w:tblStyle w:val="TableNormal"/>
        <w:tblW w:w="9227"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289"/>
        <w:gridCol w:w="7938"/>
      </w:tblGrid>
      <w:tr>
        <w:tblPrEx>
          <w:tblW w:w="9227"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Ex>
        <w:trPr>
          <w:trHeight w:val="1334"/>
          <w:jc w:val="center"/>
        </w:trPr>
        <w:tc>
          <w:tcPr>
            <w:tcW w:w="1289" w:type="dxa"/>
            <w:shd w:val="clear" w:color="auto" w:fill="99FFCC"/>
            <w:vAlign w:val="center"/>
          </w:tcPr>
          <w:p w:rsidR="00E7704A">
            <w:pPr>
              <w:pStyle w:val="Normal0"/>
              <w:jc w:val="center"/>
              <w:rPr>
                <w:rFonts w:ascii="宋体" w:hAnsi="宋体"/>
                <w:bCs/>
                <w:color w:val="000000"/>
                <w:kern w:val="0"/>
                <w:sz w:val="24"/>
                <w:szCs w:val="24"/>
              </w:rPr>
            </w:pPr>
            <w:r>
              <w:rPr>
                <w:rFonts w:ascii="宋体" w:hAnsi="宋体" w:hint="eastAsia"/>
                <w:bCs/>
                <w:color w:val="000000"/>
                <w:kern w:val="0"/>
                <w:sz w:val="24"/>
                <w:szCs w:val="24"/>
              </w:rPr>
              <w:t>工程名称</w:t>
            </w:r>
          </w:p>
        </w:tc>
        <w:tc>
          <w:tcPr>
            <w:tcW w:w="7938" w:type="dxa"/>
            <w:shd w:val="clear" w:color="auto" w:fill="FFFF99"/>
            <w:vAlign w:val="center"/>
          </w:tcPr>
          <w:p w:rsidR="00E7704A">
            <w:pPr>
              <w:pStyle w:val="Normal0"/>
              <w:snapToGrid w:val="0"/>
              <w:spacing w:line="360" w:lineRule="auto"/>
              <w:rPr>
                <w:rFonts w:ascii="宋体" w:hAnsi="宋体"/>
                <w:bCs/>
                <w:color w:val="000000"/>
                <w:kern w:val="0"/>
                <w:sz w:val="24"/>
                <w:szCs w:val="24"/>
              </w:rPr>
            </w:pPr>
            <w:r>
              <w:rPr>
                <w:rFonts w:ascii="宋体" w:hAnsi="宋体" w:hint="eastAsia"/>
                <w:sz w:val="24"/>
                <w:szCs w:val="24"/>
              </w:rPr>
              <w:t>《龙脊河凤凰路重点工程历城区王舍人村拆迁安置房项目施工总承包》</w:t>
            </w:r>
          </w:p>
        </w:tc>
      </w:tr>
      <w:tr>
        <w:tblPrEx>
          <w:tblW w:w="9227" w:type="dxa"/>
          <w:jc w:val="center"/>
          <w:tblLayout w:type="fixed"/>
          <w:tblLook w:val="04A0"/>
        </w:tblPrEx>
        <w:trPr>
          <w:trHeight w:val="1297"/>
          <w:jc w:val="center"/>
        </w:trPr>
        <w:tc>
          <w:tcPr>
            <w:tcW w:w="1289" w:type="dxa"/>
            <w:shd w:val="clear" w:color="auto" w:fill="99FFCC"/>
            <w:vAlign w:val="center"/>
          </w:tcPr>
          <w:p w:rsidR="00E7704A">
            <w:pPr>
              <w:pStyle w:val="Normal0"/>
              <w:jc w:val="center"/>
              <w:rPr>
                <w:rFonts w:ascii="宋体" w:hAnsi="宋体"/>
                <w:bCs/>
                <w:color w:val="000000"/>
                <w:kern w:val="0"/>
                <w:sz w:val="24"/>
                <w:szCs w:val="24"/>
              </w:rPr>
            </w:pPr>
            <w:r>
              <w:rPr>
                <w:rFonts w:ascii="宋体" w:hAnsi="宋体" w:hint="eastAsia"/>
                <w:bCs/>
                <w:color w:val="000000"/>
                <w:kern w:val="0"/>
                <w:sz w:val="24"/>
                <w:szCs w:val="24"/>
              </w:rPr>
              <w:t>工程地址</w:t>
            </w:r>
          </w:p>
        </w:tc>
        <w:tc>
          <w:tcPr>
            <w:tcW w:w="7938" w:type="dxa"/>
            <w:shd w:val="clear" w:color="auto" w:fill="FFFF99"/>
            <w:vAlign w:val="center"/>
          </w:tcPr>
          <w:p w:rsidR="00E7704A">
            <w:pPr>
              <w:pStyle w:val="Normal0"/>
              <w:spacing w:line="360" w:lineRule="auto"/>
              <w:rPr>
                <w:rFonts w:ascii="宋体" w:hAnsi="宋体"/>
                <w:bCs/>
                <w:sz w:val="24"/>
                <w:szCs w:val="24"/>
              </w:rPr>
            </w:pPr>
            <w:r>
              <w:rPr>
                <w:rFonts w:ascii="宋体" w:hAnsi="宋体" w:hint="eastAsia"/>
                <w:color w:val="000000"/>
                <w:sz w:val="24"/>
                <w:szCs w:val="24"/>
              </w:rPr>
              <w:t>王舍人村东南，东至龙脊河规划红线，西至朝山街东侧沿街住宅东墙，南至胶济铁路以北规划道路红线，北至王舍人村南外环规划道路红线</w:t>
            </w:r>
          </w:p>
        </w:tc>
      </w:tr>
      <w:tr>
        <w:tblPrEx>
          <w:tblW w:w="9227" w:type="dxa"/>
          <w:jc w:val="center"/>
          <w:tblLayout w:type="fixed"/>
          <w:tblLook w:val="04A0"/>
        </w:tblPrEx>
        <w:trPr>
          <w:trHeight w:val="975"/>
          <w:jc w:val="center"/>
        </w:trPr>
        <w:tc>
          <w:tcPr>
            <w:tcW w:w="1289" w:type="dxa"/>
            <w:shd w:val="clear" w:color="auto" w:fill="99FFCC"/>
            <w:vAlign w:val="center"/>
          </w:tcPr>
          <w:p w:rsidR="00E7704A">
            <w:pPr>
              <w:pStyle w:val="Normal0"/>
              <w:jc w:val="center"/>
              <w:rPr>
                <w:rFonts w:ascii="宋体" w:hAnsi="宋体"/>
                <w:bCs/>
                <w:color w:val="000000"/>
                <w:kern w:val="0"/>
                <w:sz w:val="24"/>
                <w:szCs w:val="24"/>
              </w:rPr>
            </w:pPr>
            <w:r>
              <w:rPr>
                <w:rFonts w:ascii="宋体" w:hAnsi="宋体" w:hint="eastAsia"/>
                <w:bCs/>
                <w:color w:val="000000"/>
                <w:kern w:val="0"/>
                <w:sz w:val="24"/>
                <w:szCs w:val="24"/>
              </w:rPr>
              <w:t>建设单位</w:t>
            </w:r>
          </w:p>
        </w:tc>
        <w:tc>
          <w:tcPr>
            <w:tcW w:w="7938" w:type="dxa"/>
            <w:shd w:val="clear" w:color="auto" w:fill="FFFF99"/>
            <w:vAlign w:val="center"/>
          </w:tcPr>
          <w:p w:rsidR="00E7704A">
            <w:pPr>
              <w:pStyle w:val="Normal0"/>
              <w:spacing w:line="360" w:lineRule="auto"/>
              <w:rPr>
                <w:rFonts w:ascii="宋体" w:hAnsi="宋体"/>
                <w:bCs/>
                <w:color w:val="000000"/>
                <w:kern w:val="0"/>
                <w:sz w:val="24"/>
                <w:szCs w:val="24"/>
              </w:rPr>
            </w:pPr>
            <w:r>
              <w:rPr>
                <w:rFonts w:ascii="宋体" w:hAnsi="宋体" w:hint="eastAsia"/>
                <w:sz w:val="24"/>
              </w:rPr>
              <w:t>济南市历城区人民政府王舍人街道办事处</w:t>
            </w:r>
          </w:p>
        </w:tc>
      </w:tr>
      <w:tr>
        <w:tblPrEx>
          <w:tblW w:w="9227" w:type="dxa"/>
          <w:jc w:val="center"/>
          <w:tblLayout w:type="fixed"/>
          <w:tblLook w:val="04A0"/>
        </w:tblPrEx>
        <w:trPr>
          <w:trHeight w:val="1218"/>
          <w:jc w:val="center"/>
        </w:trPr>
        <w:tc>
          <w:tcPr>
            <w:tcW w:w="1289" w:type="dxa"/>
            <w:shd w:val="clear" w:color="auto" w:fill="99FFCC"/>
            <w:vAlign w:val="center"/>
          </w:tcPr>
          <w:p w:rsidR="00E7704A">
            <w:pPr>
              <w:pStyle w:val="Normal0"/>
              <w:jc w:val="center"/>
              <w:rPr>
                <w:rFonts w:ascii="宋体" w:hAnsi="宋体"/>
                <w:bCs/>
                <w:color w:val="000000"/>
                <w:kern w:val="0"/>
                <w:sz w:val="24"/>
                <w:szCs w:val="24"/>
              </w:rPr>
            </w:pPr>
            <w:r>
              <w:rPr>
                <w:rFonts w:ascii="宋体" w:hAnsi="宋体" w:hint="eastAsia"/>
                <w:bCs/>
                <w:color w:val="000000"/>
                <w:kern w:val="0"/>
                <w:sz w:val="24"/>
                <w:szCs w:val="24"/>
              </w:rPr>
              <w:t>结构、基础形式</w:t>
            </w:r>
          </w:p>
        </w:tc>
        <w:tc>
          <w:tcPr>
            <w:tcW w:w="7938" w:type="dxa"/>
            <w:shd w:val="clear" w:color="auto" w:fill="FFFF99"/>
            <w:vAlign w:val="center"/>
          </w:tcPr>
          <w:p w:rsidR="00E7704A">
            <w:pPr>
              <w:pStyle w:val="Normal0"/>
              <w:spacing w:line="360" w:lineRule="auto"/>
              <w:rPr>
                <w:rFonts w:ascii="宋体" w:hAnsi="宋体"/>
                <w:color w:val="000000"/>
                <w:sz w:val="24"/>
              </w:rPr>
            </w:pPr>
            <w:r>
              <w:rPr>
                <w:rFonts w:ascii="宋体" w:hAnsi="宋体" w:hint="eastAsia"/>
                <w:color w:val="000000"/>
                <w:sz w:val="24"/>
              </w:rPr>
              <w:t>住宅为结构形式：剪力墙结构；基础形式：平板式筏板基础。地下车库结构形式：车库顶板采用现浇钢筋混凝土密肋楼盖，基础形式为独立柱、条形基础。换热站部分为框架结构。</w:t>
            </w:r>
          </w:p>
        </w:tc>
      </w:tr>
      <w:tr w:rsidTr="00CE079B">
        <w:tblPrEx>
          <w:tblW w:w="9227" w:type="dxa"/>
          <w:jc w:val="center"/>
          <w:tblLayout w:type="fixed"/>
          <w:tblLook w:val="04A0"/>
        </w:tblPrEx>
        <w:trPr>
          <w:trHeight w:val="1202"/>
          <w:jc w:val="center"/>
        </w:trPr>
        <w:tc>
          <w:tcPr>
            <w:tcW w:w="1289" w:type="dxa"/>
            <w:shd w:val="clear" w:color="auto" w:fill="99FFCC"/>
            <w:vAlign w:val="center"/>
          </w:tcPr>
          <w:p w:rsidR="00E7704A">
            <w:pPr>
              <w:pStyle w:val="Normal0"/>
              <w:jc w:val="center"/>
              <w:rPr>
                <w:rFonts w:ascii="宋体" w:hAnsi="宋体"/>
                <w:bCs/>
                <w:color w:val="000000"/>
                <w:kern w:val="0"/>
                <w:sz w:val="24"/>
                <w:szCs w:val="24"/>
              </w:rPr>
            </w:pPr>
            <w:r>
              <w:rPr>
                <w:rFonts w:ascii="宋体" w:hAnsi="宋体" w:hint="eastAsia"/>
                <w:bCs/>
                <w:color w:val="000000"/>
                <w:kern w:val="0"/>
                <w:sz w:val="24"/>
                <w:szCs w:val="24"/>
              </w:rPr>
              <w:t>建筑面积</w:t>
            </w:r>
          </w:p>
        </w:tc>
        <w:tc>
          <w:tcPr>
            <w:tcW w:w="7938" w:type="dxa"/>
            <w:shd w:val="clear" w:color="auto" w:fill="FFFF99"/>
            <w:vAlign w:val="center"/>
          </w:tcPr>
          <w:p w:rsidR="00E7704A">
            <w:pPr>
              <w:pStyle w:val="Normal0"/>
              <w:spacing w:line="360" w:lineRule="auto"/>
              <w:rPr>
                <w:rFonts w:ascii="宋体" w:hAnsi="宋体"/>
                <w:color w:val="000000"/>
                <w:sz w:val="24"/>
                <w:szCs w:val="24"/>
              </w:rPr>
            </w:pPr>
            <w:r>
              <w:rPr>
                <w:rFonts w:ascii="宋体" w:hAnsi="宋体" w:hint="eastAsia"/>
                <w:color w:val="000000"/>
                <w:sz w:val="24"/>
                <w:szCs w:val="24"/>
              </w:rPr>
              <w:t>地下车库（</w:t>
            </w:r>
            <w:r>
              <w:rPr>
                <w:rFonts w:ascii="宋体" w:hAnsi="宋体" w:hint="eastAsia"/>
                <w:color w:val="000000"/>
                <w:sz w:val="24"/>
                <w:szCs w:val="24"/>
              </w:rPr>
              <w:t>15-27</w:t>
            </w:r>
            <w:r>
              <w:rPr>
                <w:rFonts w:ascii="宋体" w:hAnsi="宋体" w:hint="eastAsia"/>
                <w:color w:val="000000"/>
                <w:sz w:val="24"/>
                <w:szCs w:val="24"/>
              </w:rPr>
              <w:t>轴）建筑面积为</w:t>
            </w:r>
            <w:r>
              <w:rPr>
                <w:rFonts w:ascii="宋体" w:hAnsi="宋体" w:hint="eastAsia"/>
                <w:color w:val="000000"/>
                <w:sz w:val="24"/>
                <w:szCs w:val="24"/>
              </w:rPr>
              <w:t>3260</w:t>
            </w:r>
            <w:r>
              <w:rPr>
                <w:rFonts w:ascii="宋体" w:hAnsi="宋体" w:hint="eastAsia"/>
                <w:color w:val="000000"/>
                <w:sz w:val="24"/>
                <w:szCs w:val="24"/>
              </w:rPr>
              <w:t>㎡</w:t>
            </w:r>
          </w:p>
        </w:tc>
      </w:tr>
      <w:tr>
        <w:tblPrEx>
          <w:tblW w:w="9227" w:type="dxa"/>
          <w:jc w:val="center"/>
          <w:tblLayout w:type="fixed"/>
          <w:tblLook w:val="04A0"/>
        </w:tblPrEx>
        <w:trPr>
          <w:trHeight w:val="1931"/>
          <w:jc w:val="center"/>
        </w:trPr>
        <w:tc>
          <w:tcPr>
            <w:tcW w:w="1289" w:type="dxa"/>
            <w:tcBorders>
              <w:left w:val="single" w:sz="4" w:space="0" w:color="auto"/>
            </w:tcBorders>
            <w:shd w:val="clear" w:color="auto" w:fill="99FFCC"/>
            <w:vAlign w:val="center"/>
          </w:tcPr>
          <w:p w:rsidR="00E7704A">
            <w:pPr>
              <w:pStyle w:val="Normal0"/>
              <w:jc w:val="center"/>
              <w:rPr>
                <w:rFonts w:ascii="宋体" w:hAnsi="宋体"/>
                <w:bCs/>
                <w:color w:val="000000"/>
                <w:kern w:val="0"/>
                <w:sz w:val="24"/>
                <w:szCs w:val="24"/>
              </w:rPr>
            </w:pPr>
            <w:r>
              <w:rPr>
                <w:rFonts w:ascii="宋体" w:hAnsi="宋体" w:hint="eastAsia"/>
                <w:bCs/>
                <w:color w:val="000000"/>
                <w:kern w:val="0"/>
                <w:sz w:val="24"/>
                <w:szCs w:val="24"/>
              </w:rPr>
              <w:t>建设工期</w:t>
            </w:r>
          </w:p>
        </w:tc>
        <w:tc>
          <w:tcPr>
            <w:tcW w:w="7938" w:type="dxa"/>
            <w:shd w:val="clear" w:color="auto" w:fill="FFFF99"/>
            <w:vAlign w:val="center"/>
          </w:tcPr>
          <w:p w:rsidR="00E7704A">
            <w:pPr>
              <w:pStyle w:val="Normal0"/>
              <w:spacing w:line="360" w:lineRule="auto"/>
              <w:rPr>
                <w:rFonts w:ascii="宋体" w:hAnsi="宋体"/>
                <w:sz w:val="24"/>
              </w:rPr>
            </w:pPr>
            <w:r>
              <w:rPr>
                <w:rFonts w:ascii="宋体" w:hAnsi="宋体" w:hint="eastAsia"/>
                <w:sz w:val="24"/>
              </w:rPr>
              <w:t>计划开工日期：</w:t>
            </w:r>
            <w:r>
              <w:rPr>
                <w:rFonts w:ascii="宋体" w:hAnsi="宋体" w:hint="eastAsia"/>
                <w:color w:val="FF0000"/>
                <w:sz w:val="24"/>
              </w:rPr>
              <w:t>2016</w:t>
            </w:r>
            <w:r>
              <w:rPr>
                <w:rFonts w:ascii="宋体" w:hAnsi="宋体" w:hint="eastAsia"/>
                <w:color w:val="FF0000"/>
                <w:sz w:val="24"/>
              </w:rPr>
              <w:t>年</w:t>
            </w:r>
            <w:r>
              <w:rPr>
                <w:rFonts w:ascii="宋体" w:hAnsi="宋体" w:hint="eastAsia"/>
                <w:color w:val="FF0000"/>
                <w:sz w:val="24"/>
              </w:rPr>
              <w:t>9</w:t>
            </w:r>
            <w:r>
              <w:rPr>
                <w:rFonts w:ascii="宋体" w:hAnsi="宋体" w:hint="eastAsia"/>
                <w:color w:val="FF0000"/>
                <w:sz w:val="24"/>
              </w:rPr>
              <w:t>月</w:t>
            </w:r>
            <w:r>
              <w:rPr>
                <w:rFonts w:ascii="宋体" w:hAnsi="宋体" w:hint="eastAsia"/>
                <w:color w:val="FF0000"/>
                <w:sz w:val="24"/>
              </w:rPr>
              <w:t>1</w:t>
            </w:r>
            <w:r>
              <w:rPr>
                <w:rFonts w:ascii="宋体" w:hAnsi="宋体" w:hint="eastAsia"/>
                <w:color w:val="FF0000"/>
                <w:sz w:val="24"/>
              </w:rPr>
              <w:t>日</w:t>
            </w:r>
            <w:r>
              <w:rPr>
                <w:rFonts w:ascii="宋体" w:hAnsi="宋体" w:hint="eastAsia"/>
                <w:sz w:val="24"/>
              </w:rPr>
              <w:t>，</w:t>
            </w:r>
          </w:p>
          <w:p w:rsidR="00E7704A">
            <w:pPr>
              <w:pStyle w:val="Normal0"/>
              <w:spacing w:line="360" w:lineRule="auto"/>
              <w:rPr>
                <w:rFonts w:ascii="宋体" w:hAnsi="宋体"/>
                <w:sz w:val="24"/>
              </w:rPr>
            </w:pPr>
            <w:r>
              <w:rPr>
                <w:rFonts w:ascii="宋体" w:hAnsi="宋体" w:hint="eastAsia"/>
                <w:sz w:val="24"/>
              </w:rPr>
              <w:t>计划竣工日期：</w:t>
            </w:r>
            <w:r>
              <w:rPr>
                <w:rFonts w:ascii="宋体" w:hAnsi="宋体" w:hint="eastAsia"/>
                <w:color w:val="FF0000"/>
                <w:sz w:val="24"/>
              </w:rPr>
              <w:t>2018</w:t>
            </w:r>
            <w:r>
              <w:rPr>
                <w:rFonts w:ascii="宋体" w:hAnsi="宋体" w:hint="eastAsia"/>
                <w:color w:val="FF0000"/>
                <w:sz w:val="24"/>
              </w:rPr>
              <w:t>年</w:t>
            </w:r>
            <w:r>
              <w:rPr>
                <w:rFonts w:ascii="宋体" w:hAnsi="宋体" w:hint="eastAsia"/>
                <w:color w:val="FF0000"/>
                <w:sz w:val="24"/>
              </w:rPr>
              <w:t>5</w:t>
            </w:r>
            <w:r>
              <w:rPr>
                <w:rFonts w:ascii="宋体" w:hAnsi="宋体" w:hint="eastAsia"/>
                <w:color w:val="FF0000"/>
                <w:sz w:val="24"/>
              </w:rPr>
              <w:t>月</w:t>
            </w:r>
            <w:r>
              <w:rPr>
                <w:rFonts w:ascii="宋体" w:hAnsi="宋体" w:hint="eastAsia"/>
                <w:color w:val="FF0000"/>
                <w:sz w:val="24"/>
              </w:rPr>
              <w:t>13</w:t>
            </w:r>
            <w:r>
              <w:rPr>
                <w:rFonts w:ascii="宋体" w:hAnsi="宋体" w:hint="eastAsia"/>
                <w:color w:val="FF0000"/>
                <w:sz w:val="24"/>
              </w:rPr>
              <w:t>日</w:t>
            </w:r>
            <w:r>
              <w:rPr>
                <w:rFonts w:ascii="宋体" w:hAnsi="宋体" w:hint="eastAsia"/>
                <w:sz w:val="24"/>
              </w:rPr>
              <w:t>，</w:t>
            </w:r>
          </w:p>
          <w:p w:rsidR="00E7704A">
            <w:pPr>
              <w:pStyle w:val="Normal0"/>
              <w:spacing w:line="360" w:lineRule="auto"/>
              <w:rPr>
                <w:rFonts w:ascii="宋体" w:hAnsi="宋体"/>
                <w:bCs/>
                <w:color w:val="000000"/>
                <w:kern w:val="0"/>
                <w:sz w:val="24"/>
                <w:szCs w:val="24"/>
              </w:rPr>
            </w:pPr>
            <w:r>
              <w:rPr>
                <w:rFonts w:ascii="宋体" w:hAnsi="宋体" w:hint="eastAsia"/>
                <w:sz w:val="24"/>
              </w:rPr>
              <w:t>总工期为</w:t>
            </w:r>
            <w:r>
              <w:rPr>
                <w:rFonts w:ascii="宋体" w:hAnsi="宋体" w:hint="eastAsia"/>
                <w:color w:val="FF0000"/>
                <w:sz w:val="24"/>
              </w:rPr>
              <w:t>620</w:t>
            </w:r>
            <w:r>
              <w:rPr>
                <w:rFonts w:ascii="宋体" w:hAnsi="宋体" w:hint="eastAsia"/>
                <w:sz w:val="24"/>
              </w:rPr>
              <w:t>日历天（项目具体开工日期以建设单位及监理单位开工令为准）。</w:t>
            </w:r>
          </w:p>
        </w:tc>
      </w:tr>
    </w:tbl>
    <w:p w:rsidR="00E7704A">
      <w:pPr>
        <w:pStyle w:val="Normal0"/>
        <w:spacing w:line="360" w:lineRule="auto"/>
        <w:jc w:val="left"/>
        <w:rPr>
          <w:rFonts w:ascii="宋体" w:hAnsi="宋体"/>
          <w:b/>
          <w:bCs/>
          <w:color w:val="000000"/>
          <w:sz w:val="24"/>
          <w:lang w:val="zh-CN"/>
        </w:rPr>
      </w:pPr>
    </w:p>
    <w:p w:rsidR="00E7704A">
      <w:pPr>
        <w:pStyle w:val="Normal0"/>
        <w:spacing w:line="360" w:lineRule="auto"/>
        <w:jc w:val="left"/>
        <w:rPr>
          <w:rFonts w:ascii="宋体" w:hAnsi="宋体"/>
          <w:b/>
          <w:bCs/>
          <w:color w:val="000000"/>
          <w:sz w:val="24"/>
          <w:lang w:val="zh-CN"/>
        </w:rPr>
      </w:pPr>
      <w:r>
        <w:rPr>
          <w:rFonts w:ascii="宋体" w:hAnsi="宋体" w:hint="eastAsia"/>
          <w:b/>
          <w:bCs/>
          <w:color w:val="000000"/>
          <w:sz w:val="24"/>
          <w:lang w:val="zh-CN"/>
        </w:rPr>
        <w:t>（</w:t>
      </w:r>
      <w:r>
        <w:rPr>
          <w:rFonts w:ascii="宋体" w:hAnsi="宋体" w:hint="eastAsia"/>
          <w:b/>
          <w:bCs/>
          <w:color w:val="000000"/>
          <w:sz w:val="24"/>
        </w:rPr>
        <w:t>2</w:t>
      </w:r>
      <w:r>
        <w:rPr>
          <w:rFonts w:ascii="宋体" w:hAnsi="宋体" w:hint="eastAsia"/>
          <w:b/>
          <w:bCs/>
          <w:color w:val="000000"/>
          <w:sz w:val="24"/>
        </w:rPr>
        <w:t>）</w:t>
      </w:r>
      <w:r>
        <w:rPr>
          <w:rFonts w:ascii="宋体" w:hAnsi="宋体"/>
          <w:b/>
          <w:bCs/>
          <w:color w:val="000000"/>
          <w:sz w:val="24"/>
          <w:lang w:val="zh-CN"/>
        </w:rPr>
        <w:t>各责任主体名称</w:t>
      </w:r>
    </w:p>
    <w:tbl>
      <w:tblPr>
        <w:tblStyle w:val="TableNormal"/>
        <w:tblW w:w="9270" w:type="dxa"/>
        <w:jc w:val="center"/>
        <w:tblLayout w:type="fixed"/>
        <w:tblCellMar>
          <w:top w:w="45" w:type="dxa"/>
          <w:left w:w="45" w:type="dxa"/>
          <w:bottom w:w="45" w:type="dxa"/>
          <w:right w:w="45" w:type="dxa"/>
        </w:tblCellMar>
        <w:tblLook w:val="04A0"/>
      </w:tblPr>
      <w:tblGrid>
        <w:gridCol w:w="1320"/>
        <w:gridCol w:w="3150"/>
        <w:gridCol w:w="1650"/>
        <w:gridCol w:w="3150"/>
      </w:tblGrid>
      <w:tr>
        <w:tblPrEx>
          <w:tblW w:w="9270" w:type="dxa"/>
          <w:jc w:val="center"/>
          <w:tblLayout w:type="fixed"/>
          <w:tblCellMar>
            <w:top w:w="45" w:type="dxa"/>
            <w:left w:w="45" w:type="dxa"/>
            <w:bottom w:w="45" w:type="dxa"/>
            <w:right w:w="45" w:type="dxa"/>
          </w:tblCellMar>
          <w:tblLook w:val="04A0"/>
        </w:tblPrEx>
        <w:trPr>
          <w:trHeight w:val="75"/>
          <w:jc w:val="center"/>
        </w:trPr>
        <w:tc>
          <w:tcPr>
            <w:tcW w:w="132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pPr>
              <w:pStyle w:val="Normal0"/>
              <w:spacing w:line="360" w:lineRule="auto"/>
              <w:jc w:val="left"/>
              <w:rPr>
                <w:rFonts w:ascii="宋体" w:hAnsi="宋体"/>
                <w:color w:val="000000"/>
                <w:sz w:val="20"/>
                <w:lang w:val="zh-CN"/>
              </w:rPr>
            </w:pPr>
            <w:r>
              <w:rPr>
                <w:rFonts w:ascii="宋体" w:hAnsi="宋体"/>
                <w:color w:val="000000"/>
                <w:sz w:val="20"/>
                <w:lang w:val="zh-CN"/>
              </w:rPr>
              <w:t>建设单位</w:t>
            </w:r>
          </w:p>
        </w:tc>
        <w:tc>
          <w:tcPr>
            <w:tcW w:w="31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rsidRPr="002933B1">
            <w:pPr>
              <w:pStyle w:val="Normal0"/>
              <w:jc w:val="center"/>
              <w:rPr>
                <w:rFonts w:ascii="宋体" w:hAnsi="宋体"/>
                <w:color w:val="000000"/>
                <w:sz w:val="20"/>
                <w:lang w:val="zh-CN"/>
              </w:rPr>
            </w:pPr>
            <w:r w:rsidRPr="002933B1">
              <w:rPr>
                <w:rFonts w:ascii="宋体" w:hAnsi="宋体"/>
                <w:color w:val="000000"/>
                <w:sz w:val="20"/>
                <w:lang w:val="zh-CN"/>
              </w:rPr>
              <w:t>济南市历城区王舍人街道办事处</w:t>
            </w:r>
          </w:p>
        </w:tc>
        <w:tc>
          <w:tcPr>
            <w:tcW w:w="16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rsidRPr="002933B1">
            <w:pPr>
              <w:pStyle w:val="Normal0"/>
              <w:spacing w:line="360" w:lineRule="auto"/>
              <w:jc w:val="left"/>
              <w:rPr>
                <w:rFonts w:ascii="宋体" w:hAnsi="宋体"/>
                <w:color w:val="000000"/>
                <w:sz w:val="20"/>
                <w:lang w:val="zh-CN"/>
              </w:rPr>
            </w:pPr>
            <w:r w:rsidRPr="002933B1">
              <w:rPr>
                <w:rFonts w:ascii="宋体" w:hAnsi="宋体"/>
                <w:color w:val="000000"/>
                <w:sz w:val="20"/>
                <w:lang w:val="zh-CN"/>
              </w:rPr>
              <w:t>设计单位</w:t>
            </w:r>
          </w:p>
        </w:tc>
        <w:tc>
          <w:tcPr>
            <w:tcW w:w="31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rsidRPr="002933B1">
            <w:pPr>
              <w:pStyle w:val="Normal0"/>
              <w:jc w:val="center"/>
              <w:rPr>
                <w:rFonts w:ascii="宋体" w:hAnsi="宋体"/>
                <w:color w:val="000000"/>
                <w:sz w:val="20"/>
                <w:lang w:val="zh-CN"/>
              </w:rPr>
            </w:pPr>
            <w:r w:rsidRPr="002933B1">
              <w:rPr>
                <w:rFonts w:ascii="宋体" w:hAnsi="宋体"/>
                <w:color w:val="000000"/>
                <w:sz w:val="20"/>
                <w:lang w:val="zh-CN"/>
              </w:rPr>
              <w:t>济南市规划设计研究院</w:t>
            </w:r>
          </w:p>
        </w:tc>
      </w:tr>
      <w:tr>
        <w:tblPrEx>
          <w:tblW w:w="9270" w:type="dxa"/>
          <w:jc w:val="center"/>
          <w:tblLayout w:type="fixed"/>
          <w:tblCellMar>
            <w:top w:w="45" w:type="dxa"/>
            <w:left w:w="45" w:type="dxa"/>
            <w:bottom w:w="45" w:type="dxa"/>
            <w:right w:w="45" w:type="dxa"/>
          </w:tblCellMar>
          <w:tblLook w:val="04A0"/>
        </w:tblPrEx>
        <w:trPr>
          <w:trHeight w:val="300"/>
          <w:jc w:val="center"/>
        </w:trPr>
        <w:tc>
          <w:tcPr>
            <w:tcW w:w="132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pPr>
              <w:pStyle w:val="Normal0"/>
              <w:spacing w:line="360" w:lineRule="auto"/>
              <w:jc w:val="left"/>
              <w:rPr>
                <w:rFonts w:ascii="宋体" w:hAnsi="宋体"/>
                <w:color w:val="000000"/>
                <w:sz w:val="20"/>
                <w:lang w:val="zh-CN"/>
              </w:rPr>
            </w:pPr>
            <w:r>
              <w:rPr>
                <w:rFonts w:ascii="宋体" w:hAnsi="宋体"/>
                <w:color w:val="000000"/>
                <w:sz w:val="20"/>
                <w:lang w:val="zh-CN"/>
              </w:rPr>
              <w:t>施工单位</w:t>
            </w:r>
          </w:p>
        </w:tc>
        <w:tc>
          <w:tcPr>
            <w:tcW w:w="31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rsidRPr="002933B1">
            <w:pPr>
              <w:pStyle w:val="Normal0"/>
              <w:jc w:val="center"/>
              <w:rPr>
                <w:rFonts w:ascii="宋体" w:hAnsi="宋体"/>
                <w:color w:val="000000"/>
                <w:sz w:val="20"/>
                <w:lang w:val="zh-CN"/>
              </w:rPr>
            </w:pPr>
            <w:r w:rsidRPr="002933B1">
              <w:rPr>
                <w:rFonts w:ascii="宋体" w:hAnsi="宋体"/>
                <w:color w:val="000000"/>
                <w:sz w:val="20"/>
                <w:lang w:val="zh-CN"/>
              </w:rPr>
              <w:t>山东中恒建设集团有限公司</w:t>
            </w:r>
          </w:p>
        </w:tc>
        <w:tc>
          <w:tcPr>
            <w:tcW w:w="16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rsidRPr="002933B1">
            <w:pPr>
              <w:pStyle w:val="Normal0"/>
              <w:spacing w:line="360" w:lineRule="auto"/>
              <w:jc w:val="left"/>
              <w:rPr>
                <w:rFonts w:ascii="宋体" w:hAnsi="宋体"/>
                <w:color w:val="000000"/>
                <w:sz w:val="20"/>
                <w:lang w:val="zh-CN"/>
              </w:rPr>
            </w:pPr>
            <w:r w:rsidRPr="002933B1">
              <w:rPr>
                <w:rFonts w:ascii="宋体" w:hAnsi="宋体"/>
                <w:color w:val="000000"/>
                <w:sz w:val="20"/>
                <w:lang w:val="zh-CN"/>
              </w:rPr>
              <w:t>监理单位</w:t>
            </w:r>
          </w:p>
        </w:tc>
        <w:tc>
          <w:tcPr>
            <w:tcW w:w="31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rsidRPr="002933B1">
            <w:pPr>
              <w:pStyle w:val="Normal0"/>
              <w:jc w:val="center"/>
              <w:rPr>
                <w:rFonts w:ascii="宋体" w:hAnsi="宋体"/>
                <w:color w:val="000000"/>
                <w:sz w:val="20"/>
                <w:lang w:val="zh-CN"/>
              </w:rPr>
            </w:pPr>
            <w:r w:rsidRPr="002933B1">
              <w:rPr>
                <w:rFonts w:ascii="宋体" w:hAnsi="宋体"/>
                <w:color w:val="000000"/>
                <w:sz w:val="20"/>
                <w:lang w:val="zh-CN"/>
              </w:rPr>
              <w:t>济南中建建筑设计院有限公司</w:t>
            </w:r>
          </w:p>
        </w:tc>
      </w:tr>
      <w:tr>
        <w:tblPrEx>
          <w:tblW w:w="9270" w:type="dxa"/>
          <w:jc w:val="center"/>
          <w:tblLayout w:type="fixed"/>
          <w:tblCellMar>
            <w:top w:w="45" w:type="dxa"/>
            <w:left w:w="45" w:type="dxa"/>
            <w:bottom w:w="45" w:type="dxa"/>
            <w:right w:w="45" w:type="dxa"/>
          </w:tblCellMar>
          <w:tblLook w:val="04A0"/>
        </w:tblPrEx>
        <w:trPr>
          <w:trHeight w:val="75"/>
          <w:jc w:val="center"/>
        </w:trPr>
        <w:tc>
          <w:tcPr>
            <w:tcW w:w="132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pPr>
              <w:pStyle w:val="Normal0"/>
              <w:spacing w:line="360" w:lineRule="auto"/>
              <w:jc w:val="left"/>
              <w:rPr>
                <w:rFonts w:ascii="宋体" w:hAnsi="宋体"/>
                <w:color w:val="000000"/>
                <w:sz w:val="20"/>
                <w:lang w:val="zh-CN"/>
              </w:rPr>
            </w:pPr>
            <w:r>
              <w:rPr>
                <w:rFonts w:ascii="宋体" w:hAnsi="宋体"/>
                <w:color w:val="000000"/>
                <w:sz w:val="20"/>
                <w:lang w:val="zh-CN"/>
              </w:rPr>
              <w:t>项目经理</w:t>
            </w:r>
          </w:p>
        </w:tc>
        <w:tc>
          <w:tcPr>
            <w:tcW w:w="31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pPr>
              <w:pStyle w:val="Normal0"/>
              <w:spacing w:line="360" w:lineRule="auto"/>
              <w:jc w:val="center"/>
              <w:rPr>
                <w:sz w:val="20"/>
              </w:rPr>
            </w:pPr>
            <w:r>
              <w:rPr>
                <w:rFonts w:hint="eastAsia"/>
                <w:sz w:val="20"/>
              </w:rPr>
              <w:t>焦洪杰</w:t>
            </w:r>
          </w:p>
        </w:tc>
        <w:tc>
          <w:tcPr>
            <w:tcW w:w="16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pPr>
              <w:pStyle w:val="Normal0"/>
              <w:spacing w:line="360" w:lineRule="auto"/>
              <w:jc w:val="left"/>
              <w:rPr>
                <w:rFonts w:ascii="宋体" w:hAnsi="宋体"/>
                <w:color w:val="000000"/>
                <w:sz w:val="20"/>
                <w:lang w:val="zh-CN"/>
              </w:rPr>
            </w:pPr>
            <w:r>
              <w:rPr>
                <w:rFonts w:ascii="宋体" w:hAnsi="宋体"/>
                <w:color w:val="000000"/>
                <w:sz w:val="20"/>
                <w:lang w:val="zh-CN"/>
              </w:rPr>
              <w:t>总监理工程师</w:t>
            </w:r>
          </w:p>
        </w:tc>
        <w:tc>
          <w:tcPr>
            <w:tcW w:w="31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rsidRPr="00CE079B">
            <w:pPr>
              <w:pStyle w:val="Normal0"/>
              <w:spacing w:line="360" w:lineRule="auto"/>
              <w:jc w:val="center"/>
              <w:rPr>
                <w:color w:val="FF0000"/>
                <w:sz w:val="20"/>
              </w:rPr>
            </w:pPr>
            <w:r>
              <w:rPr>
                <w:rFonts w:hint="eastAsia"/>
                <w:color w:val="FF0000"/>
                <w:sz w:val="20"/>
              </w:rPr>
              <w:t>隗茂连</w:t>
            </w:r>
          </w:p>
        </w:tc>
      </w:tr>
      <w:tr>
        <w:tblPrEx>
          <w:tblW w:w="9270" w:type="dxa"/>
          <w:jc w:val="center"/>
          <w:tblLayout w:type="fixed"/>
          <w:tblCellMar>
            <w:top w:w="45" w:type="dxa"/>
            <w:left w:w="45" w:type="dxa"/>
            <w:bottom w:w="45" w:type="dxa"/>
            <w:right w:w="45" w:type="dxa"/>
          </w:tblCellMar>
          <w:tblLook w:val="04A0"/>
        </w:tblPrEx>
        <w:trPr>
          <w:trHeight w:val="75"/>
          <w:jc w:val="center"/>
        </w:trPr>
        <w:tc>
          <w:tcPr>
            <w:tcW w:w="132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pPr>
              <w:pStyle w:val="Normal0"/>
              <w:spacing w:line="360" w:lineRule="auto"/>
              <w:jc w:val="left"/>
              <w:rPr>
                <w:rFonts w:ascii="宋体" w:hAnsi="宋体"/>
                <w:color w:val="000000"/>
                <w:sz w:val="20"/>
                <w:lang w:val="zh-CN"/>
              </w:rPr>
            </w:pPr>
            <w:r>
              <w:rPr>
                <w:rFonts w:ascii="宋体" w:hAnsi="宋体"/>
                <w:color w:val="000000"/>
                <w:sz w:val="20"/>
                <w:lang w:val="zh-CN"/>
              </w:rPr>
              <w:t>技术负责人</w:t>
            </w:r>
          </w:p>
        </w:tc>
        <w:tc>
          <w:tcPr>
            <w:tcW w:w="31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pPr>
              <w:pStyle w:val="Normal0"/>
              <w:spacing w:line="360" w:lineRule="auto"/>
              <w:jc w:val="center"/>
              <w:rPr>
                <w:sz w:val="20"/>
              </w:rPr>
            </w:pPr>
            <w:r>
              <w:rPr>
                <w:rFonts w:hint="eastAsia"/>
                <w:sz w:val="20"/>
              </w:rPr>
              <w:t>张延河</w:t>
            </w:r>
          </w:p>
        </w:tc>
        <w:tc>
          <w:tcPr>
            <w:tcW w:w="16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pPr>
              <w:pStyle w:val="Normal0"/>
              <w:spacing w:line="360" w:lineRule="auto"/>
              <w:jc w:val="left"/>
              <w:rPr>
                <w:rFonts w:ascii="宋体" w:hAnsi="宋体"/>
                <w:color w:val="000000"/>
                <w:sz w:val="20"/>
                <w:lang w:val="zh-CN"/>
              </w:rPr>
            </w:pPr>
            <w:r>
              <w:rPr>
                <w:rFonts w:ascii="宋体" w:hAnsi="宋体"/>
                <w:color w:val="000000"/>
                <w:sz w:val="20"/>
                <w:lang w:val="zh-CN"/>
              </w:rPr>
              <w:t>专业监理工程师</w:t>
            </w:r>
          </w:p>
        </w:tc>
        <w:tc>
          <w:tcPr>
            <w:tcW w:w="31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rsidRPr="00CE079B">
            <w:pPr>
              <w:pStyle w:val="Normal0"/>
              <w:spacing w:line="360" w:lineRule="auto"/>
              <w:jc w:val="center"/>
              <w:rPr>
                <w:color w:val="FF0000"/>
                <w:sz w:val="20"/>
              </w:rPr>
            </w:pPr>
            <w:r>
              <w:rPr>
                <w:rFonts w:hint="eastAsia"/>
                <w:color w:val="FF0000"/>
                <w:sz w:val="20"/>
              </w:rPr>
              <w:t>金文新</w:t>
            </w:r>
          </w:p>
        </w:tc>
      </w:tr>
    </w:tbl>
    <w:p w:rsidR="00E7704A">
      <w:pPr>
        <w:pStyle w:val="Normal0"/>
        <w:jc w:val="center"/>
        <w:rPr>
          <w:sz w:val="24"/>
        </w:rPr>
      </w:pPr>
    </w:p>
    <w:p w:rsidR="00E7704A">
      <w:pPr>
        <w:pStyle w:val="Normal0"/>
        <w:spacing w:line="360" w:lineRule="auto"/>
        <w:rPr>
          <w:rFonts w:ascii="宋体" w:hAnsi="宋体"/>
          <w:b/>
          <w:bCs/>
          <w:sz w:val="24"/>
          <w:szCs w:val="24"/>
        </w:rPr>
      </w:pPr>
    </w:p>
    <w:p w:rsidR="00E7704A">
      <w:pPr>
        <w:pStyle w:val="Normal0"/>
        <w:spacing w:line="360" w:lineRule="auto"/>
        <w:rPr>
          <w:rFonts w:ascii="宋体" w:hAnsi="宋体"/>
          <w:b/>
          <w:bCs/>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b/>
          <w:bCs/>
          <w:sz w:val="28"/>
          <w:szCs w:val="28"/>
        </w:rPr>
        <w:t>二、平面示意图</w:t>
      </w:r>
    </w:p>
    <w:p w:rsidR="00E7704A">
      <w:pPr>
        <w:pStyle w:val="Normal0"/>
        <w:spacing w:line="360" w:lineRule="auto"/>
        <w:jc w:val="center"/>
        <w:rPr>
          <w:sz w:val="24"/>
        </w:rPr>
      </w:pPr>
      <w:r>
        <w:rPr>
          <w:rFonts w:ascii="Tahoma" w:eastAsia="楷体_GB2312" w:hAnsi="Tahoma"/>
          <w:noProof/>
          <w:spacing w:val="10"/>
          <w:sz w:val="24"/>
          <w:szCs w:val="24"/>
        </w:rPr>
        <w:pict>
          <v:shape id="图片 26" o:spid="_x0000_i1027" type="#_x0000_t75" alt="04" style="width:436.5pt;height:376.5pt;mso-wrap-distance-bottom:0;mso-wrap-distance-left:9pt;mso-wrap-distance-right:9pt;mso-wrap-distance-top:0">
            <v:imagedata r:id="rId7" o:title=""/>
          </v:shape>
        </w:pict>
      </w:r>
    </w:p>
    <w:p w:rsidR="00E7704A">
      <w:pPr>
        <w:pStyle w:val="2"/>
        <w:numPr>
          <w:ilvl w:val="1"/>
          <w:numId w:val="0"/>
        </w:numPr>
        <w:rPr>
          <w:rFonts w:hint="default"/>
        </w:rPr>
      </w:pPr>
      <w:bookmarkStart w:id="2" w:name="_Toc18840"/>
    </w:p>
    <w:p w:rsidR="00E7704A">
      <w:pPr>
        <w:pStyle w:val="2"/>
        <w:numPr>
          <w:ilvl w:val="1"/>
          <w:numId w:val="0"/>
        </w:numPr>
        <w:rPr>
          <w:rFonts w:hint="default"/>
        </w:rPr>
      </w:pPr>
      <w:r>
        <w:t>三、施工要求</w:t>
      </w:r>
      <w:bookmarkEnd w:id="2"/>
    </w:p>
    <w:p w:rsidR="00E7704A">
      <w:pPr>
        <w:pStyle w:val="Normal0"/>
        <w:numPr>
          <w:ilvl w:val="0"/>
          <w:numId w:val="3"/>
        </w:numPr>
        <w:spacing w:line="360" w:lineRule="auto"/>
        <w:jc w:val="left"/>
        <w:rPr>
          <w:rFonts w:ascii="宋体" w:hAnsi="宋体"/>
          <w:color w:val="000000"/>
          <w:sz w:val="24"/>
          <w:lang w:val="zh-CN"/>
        </w:rPr>
      </w:pPr>
      <w:r>
        <w:rPr>
          <w:rFonts w:ascii="宋体" w:hAnsi="宋体"/>
          <w:color w:val="000000"/>
          <w:sz w:val="24"/>
          <w:lang w:val="zh-CN"/>
        </w:rPr>
        <w:t>脚手架的设计力求做到结构安全可靠，造价经济合理。</w:t>
      </w:r>
    </w:p>
    <w:p w:rsidR="00E7704A">
      <w:pPr>
        <w:pStyle w:val="Normal0"/>
        <w:numPr>
          <w:ilvl w:val="0"/>
          <w:numId w:val="3"/>
        </w:numPr>
        <w:spacing w:line="360" w:lineRule="auto"/>
        <w:jc w:val="left"/>
        <w:rPr>
          <w:rFonts w:ascii="宋体" w:hAnsi="宋体"/>
          <w:color w:val="000000"/>
          <w:sz w:val="24"/>
          <w:lang w:val="zh-CN"/>
        </w:rPr>
      </w:pPr>
      <w:r>
        <w:rPr>
          <w:rFonts w:ascii="宋体" w:hAnsi="宋体"/>
          <w:color w:val="000000"/>
          <w:sz w:val="24"/>
          <w:lang w:val="zh-CN"/>
        </w:rPr>
        <w:t>确保脚手架在使用周期内安全、稳定、牢靠。</w:t>
      </w:r>
    </w:p>
    <w:p w:rsidR="00E7704A">
      <w:pPr>
        <w:pStyle w:val="Normal0"/>
        <w:numPr>
          <w:ilvl w:val="0"/>
          <w:numId w:val="3"/>
        </w:numPr>
        <w:spacing w:line="360" w:lineRule="auto"/>
        <w:jc w:val="left"/>
        <w:rPr>
          <w:rFonts w:ascii="宋体" w:hAnsi="宋体"/>
          <w:color w:val="000000"/>
          <w:sz w:val="24"/>
          <w:lang w:val="zh-CN"/>
        </w:rPr>
      </w:pPr>
      <w:r>
        <w:rPr>
          <w:rFonts w:ascii="宋体" w:hAnsi="宋体"/>
          <w:color w:val="000000"/>
          <w:sz w:val="24"/>
          <w:lang w:val="zh-CN"/>
        </w:rPr>
        <w:t>选用材料时，力求做到常见通用、可周转利用，便于保养维修。</w:t>
      </w:r>
    </w:p>
    <w:p w:rsidR="00E7704A">
      <w:pPr>
        <w:pStyle w:val="Normal0"/>
        <w:numPr>
          <w:ilvl w:val="0"/>
          <w:numId w:val="3"/>
        </w:numPr>
        <w:spacing w:line="360" w:lineRule="auto"/>
        <w:jc w:val="left"/>
        <w:rPr>
          <w:rFonts w:ascii="宋体" w:hAnsi="宋体"/>
          <w:color w:val="000000"/>
          <w:sz w:val="24"/>
          <w:lang w:val="zh-CN"/>
        </w:rPr>
      </w:pPr>
      <w:r>
        <w:rPr>
          <w:rFonts w:ascii="宋体" w:hAnsi="宋体"/>
          <w:color w:val="000000"/>
          <w:sz w:val="24"/>
          <w:lang w:val="zh-CN"/>
        </w:rPr>
        <w:t>脚手架在搭设及拆除过程中要符合工程施工进度要求。操作人员需取得特殊作业人员资格上岗证。</w:t>
      </w:r>
    </w:p>
    <w:p w:rsidR="00E7704A">
      <w:pPr>
        <w:pStyle w:val="Normal0"/>
        <w:rPr>
          <w:rFonts w:eastAsia="Times New Roman"/>
          <w:sz w:val="20"/>
        </w:rPr>
        <w:sectPr>
          <w:type w:val="nextPage"/>
          <w:pgSz w:w="11906" w:h="16838"/>
          <w:pgMar w:top="1440" w:right="1800" w:bottom="1440" w:left="1800" w:header="851" w:footer="992" w:gutter="0"/>
          <w:pgNumType w:start="6"/>
          <w:cols w:space="425"/>
          <w:titlePg w:val="0"/>
          <w:docGrid w:type="lines" w:linePitch="312"/>
        </w:sectPr>
      </w:pPr>
    </w:p>
    <w:p w:rsidR="00E7704A">
      <w:pPr>
        <w:pStyle w:val="2"/>
        <w:numPr>
          <w:ilvl w:val="1"/>
          <w:numId w:val="0"/>
        </w:numPr>
        <w:rPr>
          <w:rFonts w:hint="default"/>
        </w:rPr>
      </w:pPr>
      <w:bookmarkStart w:id="3" w:name="_Toc31235"/>
      <w:r>
        <w:t>四、技术保证条件</w:t>
      </w:r>
      <w:bookmarkEnd w:id="3"/>
    </w:p>
    <w:p w:rsidR="00E7704A">
      <w:pPr>
        <w:pStyle w:val="Normal0"/>
        <w:numPr>
          <w:ilvl w:val="0"/>
          <w:numId w:val="4"/>
        </w:numPr>
        <w:spacing w:line="360" w:lineRule="auto"/>
        <w:jc w:val="left"/>
        <w:rPr>
          <w:rFonts w:ascii="宋体" w:hAnsi="宋体"/>
          <w:sz w:val="24"/>
          <w:lang w:val="zh-CN"/>
        </w:rPr>
      </w:pPr>
      <w:r>
        <w:rPr>
          <w:rFonts w:ascii="宋体" w:hAnsi="宋体"/>
          <w:sz w:val="24"/>
          <w:lang w:val="zh-CN"/>
        </w:rPr>
        <w:t>安全网络</w:t>
      </w:r>
    </w:p>
    <w:p w:rsidR="00E7704A">
      <w:pPr>
        <w:pStyle w:val="Normal0"/>
        <w:spacing w:line="360" w:lineRule="auto"/>
        <w:ind w:left="360"/>
        <w:jc w:val="left"/>
        <w:rPr>
          <w:sz w:val="24"/>
        </w:rPr>
      </w:pPr>
      <w:r>
        <w:rPr>
          <w:sz w:val="24"/>
        </w:rPr>
        <w:pict>
          <v:shape id="_x0000_i1028" type="#_x0000_t75" style="width:416.25pt;height:338.25pt">
            <v:imagedata r:id="rId8" o:title=""/>
          </v:shape>
        </w:pict>
      </w:r>
    </w:p>
    <w:p w:rsidR="00E7704A">
      <w:pPr>
        <w:pStyle w:val="Normal0"/>
        <w:numPr>
          <w:ilvl w:val="0"/>
          <w:numId w:val="4"/>
        </w:numPr>
        <w:spacing w:line="360" w:lineRule="auto"/>
        <w:jc w:val="left"/>
        <w:rPr>
          <w:rFonts w:eastAsia="Times New Roman"/>
          <w:sz w:val="20"/>
        </w:rPr>
      </w:pPr>
      <w:r>
        <w:rPr>
          <w:rFonts w:ascii="宋体" w:hAnsi="宋体"/>
          <w:color w:val="000000"/>
          <w:sz w:val="24"/>
          <w:lang w:val="zh-CN"/>
        </w:rPr>
        <w:t>脚手架的搭设和拆除需严格执行该《专项施工方案》。</w:t>
      </w:r>
    </w:p>
    <w:p w:rsidR="00E7704A">
      <w:pPr>
        <w:pStyle w:val="10"/>
        <w:rPr>
          <w:rFonts w:hint="default"/>
        </w:rPr>
      </w:pPr>
      <w:bookmarkStart w:id="4" w:name="_Toc860"/>
      <w:r>
        <w:t>编制依据</w:t>
      </w:r>
      <w:bookmarkEnd w:id="4"/>
    </w:p>
    <w:p w:rsidR="00E7704A">
      <w:pPr>
        <w:pStyle w:val="Normal0"/>
        <w:numPr>
          <w:ilvl w:val="0"/>
          <w:numId w:val="5"/>
        </w:numPr>
        <w:spacing w:line="360" w:lineRule="auto"/>
        <w:jc w:val="left"/>
        <w:rPr>
          <w:rFonts w:ascii="Arial" w:hAnsi="Arial"/>
          <w:b/>
          <w:i/>
          <w:sz w:val="18"/>
        </w:rPr>
      </w:pPr>
      <w:r>
        <w:rPr>
          <w:rFonts w:ascii="宋体" w:hAnsi="宋体"/>
          <w:sz w:val="24"/>
          <w:lang w:val="zh-CN"/>
        </w:rPr>
        <w:t>《建筑施工脚手架实用手册》</w:t>
      </w:r>
    </w:p>
    <w:p w:rsidR="00E7704A">
      <w:pPr>
        <w:pStyle w:val="Normal0"/>
        <w:numPr>
          <w:ilvl w:val="0"/>
          <w:numId w:val="5"/>
        </w:numPr>
        <w:spacing w:line="360" w:lineRule="auto"/>
        <w:jc w:val="left"/>
        <w:rPr>
          <w:rFonts w:ascii="Arial" w:hAnsi="Arial"/>
          <w:b/>
          <w:sz w:val="18"/>
        </w:rPr>
      </w:pPr>
      <w:r>
        <w:rPr>
          <w:rFonts w:ascii="宋体" w:hAnsi="宋体"/>
          <w:sz w:val="24"/>
          <w:lang w:val="zh-CN"/>
        </w:rPr>
        <w:t>《建筑地基基础设计规范》</w:t>
      </w:r>
      <w:r>
        <w:rPr>
          <w:rFonts w:eastAsia="Times New Roman" w:hint="eastAsia"/>
          <w:sz w:val="24"/>
        </w:rPr>
        <w:t>GB50007-2011</w:t>
      </w:r>
    </w:p>
    <w:p w:rsidR="00E7704A">
      <w:pPr>
        <w:pStyle w:val="Normal0"/>
        <w:numPr>
          <w:ilvl w:val="0"/>
          <w:numId w:val="5"/>
        </w:numPr>
        <w:spacing w:line="360" w:lineRule="auto"/>
        <w:jc w:val="left"/>
        <w:rPr>
          <w:rFonts w:eastAsia="Times New Roman"/>
          <w:color w:val="000000"/>
          <w:sz w:val="24"/>
        </w:rPr>
      </w:pPr>
      <w:r>
        <w:rPr>
          <w:rFonts w:ascii="宋体" w:hAnsi="宋体"/>
          <w:color w:val="000000"/>
          <w:sz w:val="24"/>
          <w:lang w:val="zh-CN"/>
        </w:rPr>
        <w:t>《建筑结构荷载规范》</w:t>
      </w:r>
      <w:r>
        <w:rPr>
          <w:rFonts w:eastAsia="Times New Roman" w:hint="eastAsia"/>
          <w:color w:val="000000"/>
          <w:sz w:val="24"/>
        </w:rPr>
        <w:t>GB50009-2012</w:t>
      </w:r>
    </w:p>
    <w:p w:rsidR="00E7704A">
      <w:pPr>
        <w:pStyle w:val="Normal0"/>
        <w:numPr>
          <w:ilvl w:val="0"/>
          <w:numId w:val="5"/>
        </w:numPr>
        <w:spacing w:line="360" w:lineRule="auto"/>
        <w:jc w:val="left"/>
        <w:rPr>
          <w:rFonts w:eastAsia="Times New Roman"/>
          <w:color w:val="000000"/>
          <w:sz w:val="24"/>
        </w:rPr>
      </w:pPr>
      <w:r>
        <w:rPr>
          <w:rFonts w:ascii="宋体" w:hAnsi="宋体"/>
          <w:color w:val="000000"/>
          <w:sz w:val="24"/>
          <w:lang w:val="zh-CN"/>
        </w:rPr>
        <w:t>《混凝土结构设计规范》</w:t>
      </w:r>
      <w:r>
        <w:rPr>
          <w:rFonts w:eastAsia="Times New Roman" w:hint="eastAsia"/>
          <w:color w:val="000000"/>
          <w:sz w:val="24"/>
        </w:rPr>
        <w:t>GB50010-2010</w:t>
      </w:r>
    </w:p>
    <w:p w:rsidR="00E7704A">
      <w:pPr>
        <w:pStyle w:val="Normal0"/>
        <w:numPr>
          <w:ilvl w:val="0"/>
          <w:numId w:val="5"/>
        </w:numPr>
        <w:spacing w:line="360" w:lineRule="auto"/>
        <w:jc w:val="left"/>
        <w:rPr>
          <w:rFonts w:eastAsia="Times New Roman"/>
          <w:color w:val="000000"/>
          <w:sz w:val="24"/>
        </w:rPr>
      </w:pPr>
      <w:r>
        <w:rPr>
          <w:rFonts w:ascii="宋体" w:hAnsi="宋体"/>
          <w:color w:val="000000"/>
          <w:sz w:val="24"/>
          <w:lang w:val="zh-CN"/>
        </w:rPr>
        <w:t>《钢结构设计规范》</w:t>
      </w:r>
      <w:r>
        <w:rPr>
          <w:rFonts w:eastAsia="Times New Roman" w:hint="eastAsia"/>
          <w:color w:val="000000"/>
          <w:sz w:val="24"/>
        </w:rPr>
        <w:t>GB50017-2003</w:t>
      </w:r>
    </w:p>
    <w:p w:rsidR="00E7704A">
      <w:pPr>
        <w:pStyle w:val="Normal0"/>
        <w:numPr>
          <w:ilvl w:val="0"/>
          <w:numId w:val="5"/>
        </w:numPr>
        <w:spacing w:line="360" w:lineRule="auto"/>
        <w:jc w:val="left"/>
        <w:rPr>
          <w:rFonts w:eastAsia="Times New Roman"/>
          <w:color w:val="000000"/>
          <w:sz w:val="24"/>
        </w:rPr>
      </w:pPr>
      <w:r>
        <w:rPr>
          <w:rFonts w:eastAsia="Times New Roman" w:hint="eastAsia"/>
          <w:color w:val="000000"/>
          <w:sz w:val="24"/>
        </w:rPr>
        <w:t>《木结构设计规范》GB50005-2003</w:t>
      </w:r>
    </w:p>
    <w:p w:rsidR="00E7704A">
      <w:pPr>
        <w:pStyle w:val="Normal0"/>
        <w:numPr>
          <w:ilvl w:val="0"/>
          <w:numId w:val="5"/>
        </w:numPr>
        <w:spacing w:line="360" w:lineRule="auto"/>
        <w:jc w:val="left"/>
        <w:rPr>
          <w:rFonts w:eastAsia="Times New Roman"/>
          <w:color w:val="000000"/>
          <w:sz w:val="24"/>
        </w:rPr>
      </w:pPr>
      <w:r>
        <w:rPr>
          <w:rFonts w:ascii="宋体" w:hAnsi="宋体"/>
          <w:color w:val="000000"/>
          <w:sz w:val="24"/>
          <w:lang w:val="zh-CN"/>
        </w:rPr>
        <w:t>《建筑施工安全检查标准》</w:t>
      </w:r>
      <w:r>
        <w:rPr>
          <w:rFonts w:eastAsia="Times New Roman" w:hint="eastAsia"/>
          <w:color w:val="000000"/>
          <w:sz w:val="24"/>
        </w:rPr>
        <w:t>JGJ59-2011</w:t>
      </w:r>
    </w:p>
    <w:p w:rsidR="00E7704A">
      <w:pPr>
        <w:pStyle w:val="Normal0"/>
        <w:numPr>
          <w:ilvl w:val="0"/>
          <w:numId w:val="5"/>
        </w:numPr>
        <w:spacing w:line="360" w:lineRule="auto"/>
        <w:jc w:val="left"/>
        <w:rPr>
          <w:rFonts w:eastAsia="Times New Roman"/>
          <w:color w:val="000000"/>
          <w:sz w:val="24"/>
        </w:rPr>
        <w:sectPr>
          <w:type w:val="nextPage"/>
          <w:pgSz w:w="11906" w:h="16838"/>
          <w:pgMar w:top="1440" w:right="1800" w:bottom="1440" w:left="1800" w:header="851" w:footer="992" w:gutter="0"/>
          <w:pgNumType w:start="7"/>
          <w:cols w:space="425"/>
          <w:titlePg w:val="0"/>
          <w:docGrid w:type="lines" w:linePitch="312"/>
        </w:sectPr>
      </w:pPr>
      <w:r>
        <w:rPr>
          <w:rFonts w:ascii="宋体" w:hAnsi="宋体"/>
          <w:color w:val="000000"/>
          <w:sz w:val="24"/>
          <w:lang w:val="zh-CN"/>
        </w:rPr>
        <w:t>《建筑施工高处作业安全技术规范》</w:t>
      </w:r>
      <w:r>
        <w:rPr>
          <w:rFonts w:eastAsia="Times New Roman" w:hint="eastAsia"/>
          <w:color w:val="000000"/>
          <w:sz w:val="24"/>
        </w:rPr>
        <w:t>JGJ80-91</w:t>
      </w:r>
    </w:p>
    <w:p w:rsidR="00E7704A">
      <w:pPr>
        <w:pStyle w:val="Normal0"/>
        <w:numPr>
          <w:ilvl w:val="0"/>
          <w:numId w:val="5"/>
        </w:numPr>
        <w:spacing w:line="360" w:lineRule="auto"/>
        <w:jc w:val="left"/>
        <w:rPr>
          <w:rFonts w:eastAsia="Times New Roman"/>
          <w:color w:val="000000"/>
          <w:sz w:val="24"/>
        </w:rPr>
      </w:pPr>
      <w:r>
        <w:rPr>
          <w:rFonts w:ascii="宋体" w:hAnsi="宋体"/>
          <w:color w:val="000000"/>
          <w:sz w:val="24"/>
          <w:lang w:val="zh-CN"/>
        </w:rPr>
        <w:t>《建筑施工扣件式钢管脚手架安全技术规范》</w:t>
      </w:r>
      <w:r>
        <w:rPr>
          <w:rFonts w:eastAsia="Times New Roman" w:hint="eastAsia"/>
          <w:color w:val="000000"/>
          <w:sz w:val="24"/>
        </w:rPr>
        <w:t>JGJ130-2011</w:t>
      </w:r>
    </w:p>
    <w:p w:rsidR="00E7704A">
      <w:pPr>
        <w:pStyle w:val="Normal0"/>
        <w:numPr>
          <w:ilvl w:val="0"/>
          <w:numId w:val="5"/>
        </w:numPr>
        <w:spacing w:line="360" w:lineRule="auto"/>
        <w:jc w:val="left"/>
        <w:rPr>
          <w:rFonts w:eastAsia="Times New Roman"/>
          <w:color w:val="000000"/>
          <w:sz w:val="24"/>
        </w:rPr>
      </w:pPr>
      <w:r>
        <w:rPr>
          <w:rFonts w:ascii="宋体" w:hAnsi="宋体"/>
          <w:color w:val="000000"/>
          <w:sz w:val="24"/>
          <w:lang w:val="zh-CN"/>
        </w:rPr>
        <w:t>《危险性较大的分部分项工程安全管理办法》</w:t>
      </w:r>
      <w:r>
        <w:rPr>
          <w:rFonts w:eastAsia="Times New Roman" w:hint="eastAsia"/>
          <w:color w:val="000000"/>
          <w:sz w:val="24"/>
        </w:rPr>
        <w:t>(</w:t>
      </w:r>
      <w:r>
        <w:rPr>
          <w:rFonts w:ascii="宋体" w:hAnsi="宋体"/>
          <w:color w:val="000000"/>
          <w:sz w:val="24"/>
          <w:lang w:val="zh-CN"/>
        </w:rPr>
        <w:t>建质</w:t>
      </w:r>
      <w:r>
        <w:rPr>
          <w:rFonts w:eastAsia="Times New Roman" w:hint="eastAsia"/>
          <w:color w:val="000000"/>
          <w:sz w:val="24"/>
        </w:rPr>
        <w:t>[2009]87</w:t>
      </w:r>
      <w:r>
        <w:rPr>
          <w:rFonts w:ascii="宋体" w:hAnsi="宋体"/>
          <w:color w:val="000000"/>
          <w:sz w:val="24"/>
          <w:lang w:val="zh-CN"/>
        </w:rPr>
        <w:t>号文</w:t>
      </w:r>
      <w:r>
        <w:rPr>
          <w:rFonts w:eastAsia="Times New Roman" w:hint="eastAsia"/>
          <w:color w:val="000000"/>
          <w:sz w:val="24"/>
        </w:rPr>
        <w:t>)</w:t>
      </w:r>
    </w:p>
    <w:p w:rsidR="00E7704A">
      <w:pPr>
        <w:pStyle w:val="Normal0"/>
        <w:numPr>
          <w:ilvl w:val="0"/>
          <w:numId w:val="5"/>
        </w:numPr>
        <w:spacing w:line="360" w:lineRule="auto"/>
        <w:jc w:val="left"/>
        <w:rPr>
          <w:rFonts w:ascii="宋体" w:hAnsi="宋体"/>
          <w:color w:val="000000"/>
          <w:sz w:val="24"/>
          <w:lang w:val="zh-CN"/>
        </w:rPr>
      </w:pPr>
      <w:r>
        <w:rPr>
          <w:rFonts w:ascii="宋体" w:hAnsi="宋体"/>
          <w:color w:val="000000"/>
          <w:sz w:val="24"/>
          <w:lang w:val="zh-CN"/>
        </w:rPr>
        <w:t>《建设工程安全生产管理条例》国务院令第</w:t>
      </w:r>
      <w:r>
        <w:rPr>
          <w:rFonts w:eastAsia="Times New Roman" w:hint="eastAsia"/>
          <w:color w:val="000000"/>
          <w:sz w:val="24"/>
        </w:rPr>
        <w:t>393</w:t>
      </w:r>
      <w:r>
        <w:rPr>
          <w:rFonts w:ascii="宋体" w:hAnsi="宋体"/>
          <w:color w:val="000000"/>
          <w:sz w:val="24"/>
          <w:lang w:val="zh-CN"/>
        </w:rPr>
        <w:t>号</w:t>
      </w:r>
    </w:p>
    <w:p w:rsidR="00E7704A">
      <w:pPr>
        <w:pStyle w:val="Normal0"/>
        <w:numPr>
          <w:ilvl w:val="0"/>
          <w:numId w:val="5"/>
        </w:numPr>
        <w:spacing w:line="360" w:lineRule="auto"/>
        <w:jc w:val="left"/>
        <w:rPr>
          <w:rFonts w:ascii="宋体" w:hAnsi="宋体"/>
          <w:color w:val="000000"/>
          <w:sz w:val="24"/>
          <w:lang w:val="zh-CN"/>
        </w:rPr>
      </w:pPr>
      <w:r>
        <w:rPr>
          <w:rFonts w:ascii="宋体" w:hAnsi="宋体"/>
          <w:color w:val="000000"/>
          <w:sz w:val="24"/>
          <w:lang w:val="zh-CN"/>
        </w:rPr>
        <w:t>本工程设计图纸</w:t>
      </w:r>
    </w:p>
    <w:p w:rsidR="00E7704A">
      <w:pPr>
        <w:pStyle w:val="Normal0"/>
        <w:numPr>
          <w:ilvl w:val="0"/>
          <w:numId w:val="5"/>
        </w:numPr>
        <w:spacing w:line="360" w:lineRule="auto"/>
        <w:jc w:val="left"/>
        <w:rPr>
          <w:rFonts w:ascii="宋体" w:hAnsi="宋体"/>
          <w:color w:val="000000"/>
          <w:sz w:val="24"/>
          <w:lang w:val="zh-CN"/>
        </w:rPr>
      </w:pPr>
      <w:r>
        <w:rPr>
          <w:rFonts w:ascii="宋体" w:hAnsi="宋体"/>
          <w:color w:val="000000"/>
          <w:sz w:val="24"/>
          <w:lang w:val="zh-CN"/>
        </w:rPr>
        <w:t>本工程施工组织设计</w:t>
      </w:r>
    </w:p>
    <w:p w:rsidR="00E7704A">
      <w:pPr>
        <w:pStyle w:val="10"/>
        <w:rPr>
          <w:rFonts w:ascii="Times New Roman" w:eastAsia="Times New Roman" w:hAnsi="Times New Roman" w:hint="default"/>
          <w:sz w:val="24"/>
          <w:lang w:val="zh-CN"/>
        </w:rPr>
      </w:pPr>
      <w:bookmarkStart w:id="5" w:name="_Toc9906"/>
      <w:r>
        <w:t>施工计划</w:t>
      </w:r>
      <w:bookmarkEnd w:id="5"/>
    </w:p>
    <w:p w:rsidR="00E7704A">
      <w:pPr>
        <w:pStyle w:val="2"/>
        <w:rPr>
          <w:rFonts w:hint="default"/>
        </w:rPr>
      </w:pPr>
      <w:bookmarkStart w:id="6" w:name="_Toc4347"/>
      <w:r>
        <w:t>施工进度计划</w:t>
      </w:r>
      <w:bookmarkEnd w:id="6"/>
    </w:p>
    <w:p w:rsidR="00E7704A">
      <w:pPr>
        <w:pStyle w:val="Normal0"/>
        <w:spacing w:line="360" w:lineRule="auto"/>
        <w:jc w:val="center"/>
        <w:rPr>
          <w:sz w:val="24"/>
        </w:rPr>
      </w:pPr>
      <w:r>
        <w:rPr>
          <w:sz w:val="24"/>
        </w:rPr>
        <w:pict>
          <v:shape id="_x0000_i1029" type="#_x0000_t75" style="width:377.25pt;height:253.5pt">
            <v:imagedata r:id="rId9" o:title=""/>
          </v:shape>
        </w:pict>
      </w:r>
    </w:p>
    <w:p w:rsidR="00E7704A">
      <w:pPr>
        <w:pStyle w:val="2"/>
        <w:rPr>
          <w:rFonts w:hint="default"/>
        </w:rPr>
      </w:pPr>
      <w:bookmarkStart w:id="7" w:name="_Toc24049"/>
      <w:r>
        <w:t>材料与设备计划</w:t>
      </w:r>
      <w:bookmarkEnd w:id="7"/>
    </w:p>
    <w:p w:rsidR="00E7704A">
      <w:pPr>
        <w:pStyle w:val="Normal0"/>
        <w:numPr>
          <w:ilvl w:val="0"/>
          <w:numId w:val="6"/>
        </w:numPr>
        <w:spacing w:line="360" w:lineRule="auto"/>
        <w:jc w:val="left"/>
        <w:rPr>
          <w:rFonts w:ascii="宋体" w:hAnsi="宋体"/>
          <w:sz w:val="24"/>
          <w:lang w:val="zh-CN"/>
        </w:rPr>
        <w:sectPr>
          <w:type w:val="nextPage"/>
          <w:pgSz w:w="11906" w:h="16838"/>
          <w:pgMar w:top="1440" w:right="1800" w:bottom="1440" w:left="1800" w:header="851" w:footer="992" w:gutter="0"/>
          <w:pgNumType w:start="8"/>
          <w:cols w:space="425"/>
          <w:titlePg w:val="0"/>
          <w:docGrid w:type="lines" w:linePitch="312"/>
        </w:sectPr>
      </w:pPr>
      <w:r>
        <w:rPr>
          <w:rFonts w:ascii="宋体" w:hAnsi="宋体"/>
          <w:sz w:val="24"/>
          <w:lang w:val="zh-CN"/>
        </w:rPr>
        <w:t>脚手架钢管应采用现行国家标准《直缝电焊钢管》</w:t>
      </w:r>
      <w:r>
        <w:rPr>
          <w:rFonts w:eastAsia="Times New Roman" w:hint="eastAsia"/>
          <w:sz w:val="24"/>
        </w:rPr>
        <w:t>GB/T13793</w:t>
      </w:r>
      <w:r>
        <w:rPr>
          <w:rFonts w:ascii="宋体" w:hAnsi="宋体"/>
          <w:sz w:val="24"/>
          <w:lang w:val="zh-CN"/>
        </w:rPr>
        <w:t>或《低压流体输送用焊接钢管》</w:t>
      </w:r>
      <w:r>
        <w:rPr>
          <w:rFonts w:eastAsia="Times New Roman" w:hint="eastAsia"/>
          <w:sz w:val="24"/>
        </w:rPr>
        <w:t>GB/T3091</w:t>
      </w:r>
      <w:r>
        <w:rPr>
          <w:rFonts w:ascii="宋体" w:hAnsi="宋体"/>
          <w:sz w:val="24"/>
          <w:lang w:val="zh-CN"/>
        </w:rPr>
        <w:t>中规定的</w:t>
      </w:r>
      <w:r>
        <w:rPr>
          <w:rFonts w:eastAsia="Times New Roman" w:hint="eastAsia"/>
          <w:sz w:val="24"/>
        </w:rPr>
        <w:t>Q235</w:t>
      </w:r>
      <w:r>
        <w:rPr>
          <w:rFonts w:ascii="宋体" w:hAnsi="宋体"/>
          <w:sz w:val="24"/>
          <w:lang w:val="zh-CN"/>
        </w:rPr>
        <w:t>普通钢管，钢管的钢材质量应符合现行国家标准《碳素结构钢》</w:t>
      </w:r>
      <w:r>
        <w:rPr>
          <w:rFonts w:eastAsia="Times New Roman" w:hint="eastAsia"/>
          <w:sz w:val="24"/>
        </w:rPr>
        <w:t>GB/T700</w:t>
      </w:r>
      <w:r>
        <w:rPr>
          <w:rFonts w:ascii="宋体" w:hAnsi="宋体"/>
          <w:sz w:val="24"/>
          <w:lang w:val="zh-CN"/>
        </w:rPr>
        <w:t>中</w:t>
      </w:r>
      <w:r>
        <w:rPr>
          <w:rFonts w:eastAsia="Times New Roman" w:hint="eastAsia"/>
          <w:sz w:val="24"/>
        </w:rPr>
        <w:t>Q235</w:t>
      </w:r>
      <w:r>
        <w:rPr>
          <w:rFonts w:ascii="宋体" w:hAnsi="宋体"/>
          <w:sz w:val="24"/>
          <w:lang w:val="zh-CN"/>
        </w:rPr>
        <w:t>级钢的规定。每根钢管的最大质量不应大于</w:t>
      </w:r>
      <w:r>
        <w:rPr>
          <w:rFonts w:eastAsia="Times New Roman" w:hint="eastAsia"/>
          <w:sz w:val="24"/>
        </w:rPr>
        <w:t>25.8kg</w:t>
      </w:r>
      <w:r>
        <w:rPr>
          <w:rFonts w:ascii="宋体" w:hAnsi="宋体"/>
          <w:sz w:val="24"/>
          <w:lang w:val="zh-CN"/>
        </w:rPr>
        <w:t>。新钢管表面应平直光滑，不应有裂缝、结疤、分层、错位、硬弯、毛刺、压痕和深的划道，钢管要有产品质量合格证、质量检验报告，钢管材质检验方法应符合现行国家标准《金属拉伸室温拉伸试验方法》</w:t>
      </w:r>
      <w:r>
        <w:rPr>
          <w:rFonts w:eastAsia="Times New Roman" w:hint="eastAsia"/>
          <w:sz w:val="24"/>
        </w:rPr>
        <w:t>GB/T228</w:t>
      </w:r>
      <w:r>
        <w:rPr>
          <w:rFonts w:ascii="宋体" w:hAnsi="宋体"/>
          <w:sz w:val="24"/>
          <w:lang w:val="zh-CN"/>
        </w:rPr>
        <w:t>的有</w:t>
      </w:r>
    </w:p>
    <w:p w:rsidR="00E7704A">
      <w:pPr>
        <w:pStyle w:val="Normal0"/>
        <w:numPr>
          <w:ilvl w:val="0"/>
          <w:numId w:val="0"/>
        </w:numPr>
        <w:spacing w:line="360" w:lineRule="auto"/>
        <w:ind w:left="0"/>
        <w:jc w:val="left"/>
        <w:rPr>
          <w:rFonts w:ascii="宋体" w:hAnsi="宋体"/>
          <w:sz w:val="24"/>
          <w:lang w:val="zh-CN"/>
        </w:rPr>
      </w:pPr>
      <w:r>
        <w:rPr>
          <w:rFonts w:ascii="宋体" w:hAnsi="宋体"/>
          <w:sz w:val="24"/>
          <w:lang w:val="zh-CN"/>
        </w:rPr>
        <w:t>关规定，质量和钢管外径、壁厚、端面等的偏差应符合《建筑施工扣件式钢管脚手架安全技术规范》</w:t>
      </w:r>
      <w:r>
        <w:rPr>
          <w:rFonts w:eastAsia="Times New Roman" w:hint="eastAsia"/>
          <w:sz w:val="24"/>
        </w:rPr>
        <w:t>JGJ130</w:t>
      </w:r>
      <w:r>
        <w:rPr>
          <w:rFonts w:ascii="宋体" w:hAnsi="宋体"/>
          <w:sz w:val="24"/>
          <w:lang w:val="zh-CN"/>
        </w:rPr>
        <w:t>的有关规定，应涂有防锈漆。旧钢管表面锈蚀深度、钢管弯曲变形应符合《建筑施工扣件式钢管脚手架安全技术规范》</w:t>
      </w:r>
      <w:r>
        <w:rPr>
          <w:rFonts w:eastAsia="Times New Roman" w:hint="eastAsia"/>
          <w:sz w:val="24"/>
        </w:rPr>
        <w:t>JGJ130</w:t>
      </w:r>
      <w:r>
        <w:rPr>
          <w:rFonts w:ascii="宋体" w:hAnsi="宋体"/>
          <w:sz w:val="24"/>
          <w:lang w:val="zh-CN"/>
        </w:rPr>
        <w:t>的有关规定。锈蚀检查应每年一次。检查时，应在锈蚀严重的钢管中抽取</w:t>
      </w:r>
      <w:r>
        <w:rPr>
          <w:rFonts w:eastAsia="Times New Roman" w:hint="eastAsia"/>
          <w:sz w:val="24"/>
        </w:rPr>
        <w:t>3</w:t>
      </w:r>
      <w:r>
        <w:rPr>
          <w:rFonts w:ascii="宋体" w:hAnsi="宋体"/>
          <w:sz w:val="24"/>
          <w:lang w:val="zh-CN"/>
        </w:rPr>
        <w:t>根，在每根锈蚀严重部位横向截断</w:t>
      </w:r>
      <w:r>
        <w:rPr>
          <w:rFonts w:ascii="宋体" w:hAnsi="宋体"/>
          <w:sz w:val="24"/>
          <w:lang w:val="zh-CN"/>
        </w:rPr>
        <w:t>取样检查，当锈蚀深度超过规定值时不得使用。钢管上严禁打孔。</w:t>
      </w:r>
    </w:p>
    <w:p w:rsidR="00E7704A">
      <w:pPr>
        <w:pStyle w:val="Normal0"/>
        <w:numPr>
          <w:ilvl w:val="0"/>
          <w:numId w:val="6"/>
        </w:numPr>
        <w:spacing w:line="360" w:lineRule="auto"/>
        <w:jc w:val="left"/>
        <w:rPr>
          <w:rFonts w:ascii="宋体" w:hAnsi="宋体"/>
          <w:sz w:val="24"/>
          <w:lang w:val="zh-CN"/>
        </w:rPr>
      </w:pPr>
      <w:r>
        <w:rPr>
          <w:rFonts w:ascii="宋体" w:hAnsi="宋体"/>
          <w:sz w:val="24"/>
          <w:lang w:val="zh-CN"/>
        </w:rPr>
        <w:t>扣件应采用可锻铸铁或铸钢制作，其质量和性能应符合现行国家标准《钢管脚手架扣件》</w:t>
      </w:r>
      <w:r>
        <w:rPr>
          <w:rFonts w:eastAsia="Times New Roman" w:hint="eastAsia"/>
          <w:sz w:val="24"/>
        </w:rPr>
        <w:t>GB15831</w:t>
      </w:r>
      <w:r>
        <w:rPr>
          <w:rFonts w:ascii="宋体" w:hAnsi="宋体"/>
          <w:sz w:val="24"/>
          <w:lang w:val="zh-CN"/>
        </w:rPr>
        <w:t>的要求，采用其他材料制作的扣件，应经试验证明其质量符合该标准的规定后方可使用。扣件应有生产许可证、法定检测单位的测试报告和产品合格证。扣件进入施工现场应检查产品合格证，并应进行抽样复试。扣件在使用前应逐个挑选，有裂缝、变形、螺栓出现滑丝的严禁使用。扣件在螺栓拧紧扭力矩达</w:t>
      </w:r>
      <w:r>
        <w:rPr>
          <w:rFonts w:eastAsia="Times New Roman" w:hint="eastAsia"/>
          <w:sz w:val="24"/>
        </w:rPr>
        <w:t>65N·m</w:t>
      </w:r>
      <w:r>
        <w:rPr>
          <w:rFonts w:ascii="宋体" w:hAnsi="宋体"/>
          <w:sz w:val="24"/>
          <w:lang w:val="zh-CN"/>
        </w:rPr>
        <w:t>时，不得发生破坏。新、旧扣件均应进行防锈处理。</w:t>
      </w:r>
    </w:p>
    <w:p w:rsidR="00E7704A">
      <w:pPr>
        <w:pStyle w:val="Normal0"/>
        <w:numPr>
          <w:ilvl w:val="0"/>
          <w:numId w:val="6"/>
        </w:numPr>
        <w:spacing w:line="360" w:lineRule="auto"/>
        <w:jc w:val="left"/>
        <w:rPr>
          <w:rFonts w:ascii="宋体" w:hAnsi="宋体"/>
          <w:color w:val="000000"/>
          <w:sz w:val="24"/>
          <w:lang w:val="zh-CN"/>
        </w:rPr>
      </w:pPr>
      <w:r>
        <w:rPr>
          <w:rFonts w:ascii="宋体" w:hAnsi="宋体"/>
          <w:color w:val="000000"/>
          <w:sz w:val="24"/>
          <w:lang w:val="zh-CN"/>
        </w:rPr>
        <w:t>搭设架子前应进行保养，除锈并统一</w:t>
      </w:r>
      <w:r>
        <w:rPr>
          <w:rFonts w:ascii="宋体" w:hAnsi="宋体"/>
          <w:color w:val="000000"/>
          <w:sz w:val="24"/>
          <w:lang w:val="zh-CN"/>
        </w:rPr>
        <w:t>涂色，力求环保美观。</w:t>
      </w:r>
    </w:p>
    <w:p w:rsidR="00E7704A">
      <w:pPr>
        <w:pStyle w:val="Normal0"/>
        <w:numPr>
          <w:ilvl w:val="0"/>
          <w:numId w:val="6"/>
        </w:numPr>
        <w:spacing w:line="360" w:lineRule="auto"/>
        <w:jc w:val="left"/>
        <w:rPr>
          <w:rFonts w:ascii="宋体" w:hAnsi="宋体"/>
          <w:sz w:val="24"/>
          <w:lang w:val="zh-CN"/>
        </w:rPr>
      </w:pPr>
      <w:r>
        <w:rPr>
          <w:rFonts w:ascii="宋体" w:hAnsi="宋体"/>
          <w:sz w:val="24"/>
          <w:lang w:val="zh-CN"/>
        </w:rPr>
        <w:t>脚手板</w:t>
      </w:r>
    </w:p>
    <w:p w:rsidR="00E7704A">
      <w:pPr>
        <w:pStyle w:val="Normal0"/>
        <w:numPr>
          <w:ilvl w:val="0"/>
          <w:numId w:val="7"/>
        </w:numPr>
        <w:spacing w:line="360" w:lineRule="auto"/>
        <w:jc w:val="left"/>
        <w:rPr>
          <w:rFonts w:ascii="宋体" w:hAnsi="宋体"/>
          <w:sz w:val="24"/>
          <w:lang w:val="zh-CN"/>
        </w:rPr>
      </w:pPr>
      <w:r>
        <w:rPr>
          <w:rFonts w:ascii="宋体" w:hAnsi="宋体"/>
          <w:sz w:val="24"/>
          <w:lang w:val="zh-CN"/>
        </w:rPr>
        <w:t>脚手板可用竹材料制作、单块脚手板的质量不大于</w:t>
      </w:r>
      <w:r>
        <w:rPr>
          <w:rFonts w:eastAsia="Times New Roman" w:hint="eastAsia"/>
          <w:sz w:val="24"/>
        </w:rPr>
        <w:t>30kg</w:t>
      </w:r>
      <w:r>
        <w:rPr>
          <w:rFonts w:ascii="宋体" w:hAnsi="宋体"/>
          <w:sz w:val="24"/>
          <w:lang w:val="zh-CN"/>
        </w:rPr>
        <w:t>；</w:t>
      </w:r>
    </w:p>
    <w:p w:rsidR="00E7704A">
      <w:pPr>
        <w:pStyle w:val="Normal0"/>
        <w:numPr>
          <w:ilvl w:val="0"/>
          <w:numId w:val="7"/>
        </w:numPr>
        <w:spacing w:line="360" w:lineRule="auto"/>
        <w:jc w:val="left"/>
        <w:rPr>
          <w:rFonts w:ascii="宋体" w:hAnsi="宋体"/>
          <w:sz w:val="24"/>
          <w:lang w:val="zh-CN"/>
        </w:rPr>
      </w:pPr>
      <w:r>
        <w:rPr>
          <w:rFonts w:ascii="宋体" w:hAnsi="宋体"/>
          <w:sz w:val="24"/>
          <w:lang w:val="zh-CN"/>
        </w:rPr>
        <w:t>竹脚手板宜采用由毛竹或楠竹制作的竹串片板、竹笆板；竹串片脚手板应符合现行行业标准《建筑施工木脚手架安全技术规范》</w:t>
      </w:r>
      <w:r>
        <w:rPr>
          <w:rFonts w:eastAsia="Times New Roman" w:hint="eastAsia"/>
          <w:sz w:val="24"/>
        </w:rPr>
        <w:t>JGJ64</w:t>
      </w:r>
      <w:r>
        <w:rPr>
          <w:rFonts w:ascii="宋体" w:hAnsi="宋体"/>
          <w:sz w:val="24"/>
          <w:lang w:val="zh-CN"/>
        </w:rPr>
        <w:t>的相关规定；</w:t>
      </w:r>
    </w:p>
    <w:p w:rsidR="00E7704A">
      <w:pPr>
        <w:pStyle w:val="Normal0"/>
        <w:numPr>
          <w:ilvl w:val="0"/>
          <w:numId w:val="7"/>
        </w:numPr>
        <w:spacing w:line="360" w:lineRule="auto"/>
        <w:jc w:val="left"/>
        <w:rPr>
          <w:rFonts w:ascii="宋体" w:hAnsi="宋体"/>
          <w:color w:val="000000"/>
          <w:sz w:val="24"/>
          <w:lang w:val="zh-CN"/>
        </w:rPr>
      </w:pPr>
      <w:r>
        <w:rPr>
          <w:rFonts w:ascii="宋体" w:hAnsi="宋体"/>
          <w:sz w:val="24"/>
          <w:lang w:val="zh-CN"/>
        </w:rPr>
        <w:t>冲压</w:t>
      </w:r>
      <w:r>
        <w:rPr>
          <w:rFonts w:ascii="宋体" w:hAnsi="宋体"/>
          <w:color w:val="000000"/>
          <w:sz w:val="24"/>
          <w:lang w:val="zh-CN"/>
        </w:rPr>
        <w:t>钢脚手板的材质应符合现行国家标准《碳素结构钢》</w:t>
      </w:r>
      <w:r>
        <w:rPr>
          <w:rFonts w:ascii="宋体" w:hAnsi="宋体"/>
          <w:color w:val="000000"/>
          <w:sz w:val="24"/>
          <w:lang w:val="zh-CN"/>
        </w:rPr>
        <w:t>GB/T700</w:t>
      </w:r>
      <w:r>
        <w:rPr>
          <w:rFonts w:ascii="宋体" w:hAnsi="宋体"/>
          <w:color w:val="000000"/>
          <w:sz w:val="24"/>
          <w:lang w:val="zh-CN"/>
        </w:rPr>
        <w:t>中</w:t>
      </w:r>
      <w:r>
        <w:rPr>
          <w:rFonts w:ascii="宋体" w:hAnsi="宋体"/>
          <w:color w:val="000000"/>
          <w:sz w:val="24"/>
          <w:lang w:val="zh-CN"/>
        </w:rPr>
        <w:t>Q235</w:t>
      </w:r>
      <w:r>
        <w:rPr>
          <w:rFonts w:ascii="宋体" w:hAnsi="宋体"/>
          <w:color w:val="000000"/>
          <w:sz w:val="24"/>
          <w:lang w:val="zh-CN"/>
        </w:rPr>
        <w:t>级钢的规定。新脚手板应有产品质量合格证，尺寸偏差应符合《建筑施工扣件式钢管脚手架安全技术规范》</w:t>
      </w:r>
      <w:r>
        <w:rPr>
          <w:rFonts w:ascii="宋体" w:hAnsi="宋体"/>
          <w:color w:val="000000"/>
          <w:sz w:val="24"/>
          <w:lang w:val="zh-CN"/>
        </w:rPr>
        <w:t>JGJ130</w:t>
      </w:r>
      <w:r>
        <w:rPr>
          <w:rFonts w:ascii="宋体" w:hAnsi="宋体"/>
          <w:color w:val="000000"/>
          <w:sz w:val="24"/>
          <w:lang w:val="zh-CN"/>
        </w:rPr>
        <w:t>的有关规定，且不得有裂纹、开焊与硬弯。新、旧脚手板均应涂防锈漆，应有防滑措施；</w:t>
      </w:r>
    </w:p>
    <w:p w:rsidR="00E7704A">
      <w:pPr>
        <w:pStyle w:val="Normal0"/>
        <w:numPr>
          <w:ilvl w:val="0"/>
          <w:numId w:val="7"/>
        </w:numPr>
        <w:spacing w:line="360" w:lineRule="auto"/>
        <w:jc w:val="left"/>
        <w:rPr>
          <w:rFonts w:ascii="宋体" w:hAnsi="宋体"/>
          <w:color w:val="000000"/>
          <w:sz w:val="24"/>
          <w:lang w:val="zh-CN"/>
        </w:rPr>
      </w:pPr>
      <w:r>
        <w:rPr>
          <w:rFonts w:ascii="宋体" w:hAnsi="宋体"/>
          <w:color w:val="000000"/>
          <w:sz w:val="24"/>
          <w:lang w:val="zh-CN"/>
        </w:rPr>
        <w:t>木脚手架材质应符合现行国家标准</w:t>
      </w:r>
      <w:r>
        <w:rPr>
          <w:rFonts w:ascii="宋体" w:hAnsi="宋体"/>
          <w:color w:val="000000"/>
          <w:sz w:val="24"/>
          <w:lang w:val="zh-CN"/>
        </w:rPr>
        <w:t>《木结构设计规范》</w:t>
      </w:r>
      <w:r>
        <w:rPr>
          <w:rFonts w:ascii="宋体" w:hAnsi="宋体"/>
          <w:color w:val="000000"/>
          <w:sz w:val="24"/>
          <w:lang w:val="zh-CN"/>
        </w:rPr>
        <w:t>GB50005</w:t>
      </w:r>
      <w:r>
        <w:rPr>
          <w:rFonts w:ascii="宋体" w:hAnsi="宋体"/>
          <w:color w:val="000000"/>
          <w:sz w:val="24"/>
          <w:lang w:val="zh-CN"/>
        </w:rPr>
        <w:t>中</w:t>
      </w:r>
      <w:r>
        <w:rPr>
          <w:rFonts w:ascii="宋体" w:hAnsi="宋体"/>
          <w:color w:val="000000"/>
          <w:sz w:val="24"/>
          <w:lang w:val="zh-CN"/>
        </w:rPr>
        <w:t>Ⅱ</w:t>
      </w:r>
      <w:r>
        <w:rPr>
          <w:rFonts w:ascii="宋体" w:hAnsi="宋体"/>
          <w:color w:val="000000"/>
          <w:sz w:val="24"/>
          <w:vertAlign w:val="subscript"/>
          <w:lang w:val="zh-CN"/>
        </w:rPr>
        <w:t>a</w:t>
      </w:r>
      <w:r>
        <w:rPr>
          <w:rFonts w:ascii="宋体" w:hAnsi="宋体"/>
          <w:color w:val="000000"/>
          <w:sz w:val="24"/>
          <w:lang w:val="zh-CN"/>
        </w:rPr>
        <w:t>级材质的规定。脚手板厚度不应小于</w:t>
      </w:r>
      <w:r>
        <w:rPr>
          <w:rFonts w:ascii="宋体" w:hAnsi="宋体"/>
          <w:color w:val="000000"/>
          <w:sz w:val="24"/>
          <w:lang w:val="zh-CN"/>
        </w:rPr>
        <w:t>50mm</w:t>
      </w:r>
      <w:r>
        <w:rPr>
          <w:rFonts w:ascii="宋体" w:hAnsi="宋体"/>
          <w:color w:val="000000"/>
          <w:sz w:val="24"/>
          <w:lang w:val="zh-CN"/>
        </w:rPr>
        <w:t>，两端宜各设置直径不小于</w:t>
      </w:r>
      <w:r>
        <w:rPr>
          <w:rFonts w:ascii="宋体" w:hAnsi="宋体"/>
          <w:color w:val="000000"/>
          <w:sz w:val="24"/>
          <w:lang w:val="zh-CN"/>
        </w:rPr>
        <w:t>4mm</w:t>
      </w:r>
      <w:r>
        <w:rPr>
          <w:rFonts w:ascii="宋体" w:hAnsi="宋体"/>
          <w:color w:val="000000"/>
          <w:sz w:val="24"/>
          <w:lang w:val="zh-CN"/>
        </w:rPr>
        <w:t>的镀锌钢丝箍两道。宽度、厚度允许偏差应符合现行国家标准《木结构工程施工质量验收规范》</w:t>
      </w:r>
      <w:r>
        <w:rPr>
          <w:rFonts w:ascii="宋体" w:hAnsi="宋体"/>
          <w:color w:val="000000"/>
          <w:sz w:val="24"/>
          <w:lang w:val="zh-CN"/>
        </w:rPr>
        <w:t>GB50206</w:t>
      </w:r>
      <w:r>
        <w:rPr>
          <w:rFonts w:ascii="宋体" w:hAnsi="宋体"/>
          <w:color w:val="000000"/>
          <w:sz w:val="24"/>
          <w:lang w:val="zh-CN"/>
        </w:rPr>
        <w:t>的规定；不得使用扭曲变形、劈裂、腐朽的脚手架。</w:t>
      </w:r>
    </w:p>
    <w:p w:rsidR="00E7704A">
      <w:pPr>
        <w:pStyle w:val="Normal0"/>
        <w:numPr>
          <w:ilvl w:val="0"/>
          <w:numId w:val="6"/>
        </w:numPr>
        <w:spacing w:line="360" w:lineRule="auto"/>
        <w:jc w:val="left"/>
        <w:rPr>
          <w:rFonts w:ascii="宋体" w:hAnsi="宋体"/>
          <w:sz w:val="24"/>
          <w:lang w:val="zh-CN"/>
        </w:rPr>
      </w:pPr>
      <w:r>
        <w:rPr>
          <w:rFonts w:ascii="宋体" w:hAnsi="宋体"/>
          <w:sz w:val="24"/>
          <w:lang w:val="zh-CN"/>
        </w:rPr>
        <w:t>安全网采用密目式安全立网，应符合下列要求：</w:t>
      </w:r>
    </w:p>
    <w:p w:rsidR="00E7704A">
      <w:pPr>
        <w:pStyle w:val="Normal0"/>
        <w:numPr>
          <w:ilvl w:val="0"/>
          <w:numId w:val="8"/>
        </w:numPr>
        <w:spacing w:line="360" w:lineRule="auto"/>
        <w:jc w:val="left"/>
        <w:rPr>
          <w:rFonts w:ascii="宋体" w:hAnsi="宋体"/>
          <w:sz w:val="24"/>
          <w:lang w:val="zh-CN"/>
        </w:rPr>
      </w:pPr>
      <w:r>
        <w:rPr>
          <w:rFonts w:ascii="宋体" w:hAnsi="宋体"/>
          <w:sz w:val="24"/>
          <w:lang w:val="zh-CN"/>
        </w:rPr>
        <w:t>网目密度不低于</w:t>
      </w:r>
      <w:r>
        <w:rPr>
          <w:rFonts w:eastAsia="Times New Roman" w:hint="eastAsia"/>
          <w:sz w:val="24"/>
        </w:rPr>
        <w:t>2000</w:t>
      </w:r>
      <w:r>
        <w:rPr>
          <w:rFonts w:ascii="宋体" w:hAnsi="宋体"/>
          <w:sz w:val="24"/>
          <w:lang w:val="zh-CN"/>
        </w:rPr>
        <w:t>目</w:t>
      </w:r>
      <w:r>
        <w:rPr>
          <w:rFonts w:eastAsia="Times New Roman" w:hint="eastAsia"/>
          <w:sz w:val="24"/>
        </w:rPr>
        <w:t>/100cm</w:t>
      </w:r>
      <w:r>
        <w:rPr>
          <w:rFonts w:ascii="ËÎÌå" w:eastAsia="ËÎÌå" w:hAnsi="ËÎÌå" w:hint="eastAsia"/>
          <w:sz w:val="24"/>
          <w:vertAlign w:val="superscript"/>
          <w:lang w:val="zh-CN"/>
        </w:rPr>
        <w:t>2</w:t>
      </w:r>
      <w:r>
        <w:rPr>
          <w:rFonts w:ascii="宋体" w:hAnsi="宋体"/>
          <w:sz w:val="24"/>
          <w:lang w:val="zh-CN"/>
        </w:rPr>
        <w:t>；</w:t>
      </w:r>
    </w:p>
    <w:p w:rsidR="00E7704A">
      <w:pPr>
        <w:pStyle w:val="Normal0"/>
        <w:numPr>
          <w:ilvl w:val="0"/>
          <w:numId w:val="8"/>
        </w:numPr>
        <w:spacing w:line="360" w:lineRule="auto"/>
        <w:jc w:val="left"/>
        <w:rPr>
          <w:rFonts w:ascii="宋体" w:hAnsi="宋体"/>
          <w:sz w:val="24"/>
          <w:lang w:val="zh-CN"/>
        </w:rPr>
      </w:pPr>
      <w:r>
        <w:rPr>
          <w:rFonts w:ascii="宋体" w:hAnsi="宋体"/>
          <w:sz w:val="24"/>
          <w:lang w:val="zh-CN"/>
        </w:rPr>
        <w:t>网体各边缘部位的开眼环扣必须牢固可靠，孔径不低于</w:t>
      </w:r>
      <w:r>
        <w:rPr>
          <w:rFonts w:ascii="宋体" w:hAnsi="宋体"/>
          <w:sz w:val="24"/>
          <w:lang w:val="zh-CN"/>
        </w:rPr>
        <w:t>1mm</w:t>
      </w:r>
      <w:r>
        <w:rPr>
          <w:rFonts w:ascii="宋体" w:hAnsi="宋体"/>
          <w:sz w:val="24"/>
          <w:lang w:val="zh-CN"/>
        </w:rPr>
        <w:t>；</w:t>
      </w:r>
    </w:p>
    <w:p w:rsidR="00E7704A">
      <w:pPr>
        <w:pStyle w:val="Normal0"/>
        <w:numPr>
          <w:ilvl w:val="0"/>
          <w:numId w:val="8"/>
        </w:numPr>
        <w:spacing w:line="360" w:lineRule="auto"/>
        <w:jc w:val="left"/>
        <w:rPr>
          <w:rFonts w:ascii="宋体" w:hAnsi="宋体"/>
          <w:sz w:val="24"/>
          <w:lang w:val="zh-CN"/>
        </w:rPr>
        <w:sectPr>
          <w:type w:val="nextPage"/>
          <w:pgSz w:w="11906" w:h="16838"/>
          <w:pgMar w:top="1440" w:right="1800" w:bottom="1440" w:left="1800" w:header="851" w:footer="992" w:gutter="0"/>
          <w:pgNumType w:start="9"/>
          <w:cols w:space="425"/>
          <w:titlePg w:val="0"/>
          <w:docGrid w:type="lines" w:linePitch="312"/>
        </w:sectPr>
      </w:pPr>
      <w:r>
        <w:rPr>
          <w:rFonts w:ascii="宋体" w:hAnsi="宋体"/>
          <w:sz w:val="24"/>
          <w:lang w:val="zh-CN"/>
        </w:rPr>
        <w:t>网体缝线不得有跳针、露缝，缝边应均匀；</w:t>
      </w:r>
    </w:p>
    <w:p w:rsidR="00E7704A">
      <w:pPr>
        <w:pStyle w:val="Normal0"/>
        <w:numPr>
          <w:ilvl w:val="0"/>
          <w:numId w:val="8"/>
        </w:numPr>
        <w:spacing w:line="360" w:lineRule="auto"/>
        <w:jc w:val="left"/>
        <w:rPr>
          <w:rFonts w:ascii="宋体" w:hAnsi="宋体"/>
          <w:sz w:val="24"/>
          <w:lang w:val="zh-CN"/>
        </w:rPr>
      </w:pPr>
      <w:r>
        <w:rPr>
          <w:rFonts w:ascii="宋体" w:hAnsi="宋体"/>
          <w:sz w:val="24"/>
          <w:lang w:val="zh-CN"/>
        </w:rPr>
        <w:t>一张网体上不得有一个以上的接缝，且接缝部位应端正牢固；</w:t>
      </w:r>
    </w:p>
    <w:p w:rsidR="00E7704A">
      <w:pPr>
        <w:pStyle w:val="Normal0"/>
        <w:numPr>
          <w:ilvl w:val="0"/>
          <w:numId w:val="8"/>
        </w:numPr>
        <w:spacing w:line="360" w:lineRule="auto"/>
        <w:jc w:val="left"/>
        <w:rPr>
          <w:rFonts w:ascii="宋体" w:hAnsi="宋体"/>
          <w:sz w:val="24"/>
          <w:lang w:val="zh-CN"/>
        </w:rPr>
      </w:pPr>
      <w:r>
        <w:rPr>
          <w:rFonts w:ascii="宋体" w:hAnsi="宋体"/>
          <w:sz w:val="24"/>
          <w:lang w:val="zh-CN"/>
        </w:rPr>
        <w:t>不得有断沙、破洞、</w:t>
      </w:r>
      <w:r>
        <w:rPr>
          <w:rFonts w:ascii="宋体" w:hAnsi="宋体"/>
          <w:sz w:val="24"/>
          <w:lang w:val="zh-CN"/>
        </w:rPr>
        <w:t>变形及有碍使用的编织缺陷；</w:t>
      </w:r>
    </w:p>
    <w:p w:rsidR="00E7704A">
      <w:pPr>
        <w:pStyle w:val="Normal0"/>
        <w:numPr>
          <w:ilvl w:val="0"/>
          <w:numId w:val="8"/>
        </w:numPr>
        <w:spacing w:line="360" w:lineRule="auto"/>
        <w:jc w:val="left"/>
        <w:rPr>
          <w:rFonts w:ascii="宋体" w:hAnsi="宋体"/>
          <w:sz w:val="24"/>
          <w:lang w:val="zh-CN"/>
        </w:rPr>
      </w:pPr>
      <w:r>
        <w:rPr>
          <w:rFonts w:ascii="宋体" w:hAnsi="宋体"/>
          <w:sz w:val="24"/>
          <w:lang w:val="zh-CN"/>
        </w:rPr>
        <w:t>阻燃安全网的续燃、阻燃时间均不得大于</w:t>
      </w:r>
      <w:r>
        <w:rPr>
          <w:rFonts w:eastAsia="Times New Roman" w:hint="eastAsia"/>
          <w:sz w:val="24"/>
        </w:rPr>
        <w:t>4s</w:t>
      </w:r>
      <w:r>
        <w:rPr>
          <w:rFonts w:ascii="宋体" w:hAnsi="宋体"/>
          <w:sz w:val="24"/>
          <w:lang w:val="zh-CN"/>
        </w:rPr>
        <w:t>。使用的安全网必须有产品生产许可证和质量合格证，以及由相关建筑安全监督管理部门发放的准用证；</w:t>
      </w:r>
    </w:p>
    <w:p w:rsidR="00E7704A">
      <w:pPr>
        <w:pStyle w:val="Normal0"/>
        <w:numPr>
          <w:ilvl w:val="0"/>
          <w:numId w:val="8"/>
        </w:numPr>
        <w:spacing w:line="360" w:lineRule="auto"/>
        <w:jc w:val="left"/>
        <w:rPr>
          <w:rFonts w:eastAsia="Times New Roman"/>
          <w:sz w:val="24"/>
        </w:rPr>
      </w:pPr>
      <w:r>
        <w:rPr>
          <w:rFonts w:ascii="宋体" w:hAnsi="宋体"/>
          <w:sz w:val="24"/>
          <w:lang w:val="zh-CN"/>
        </w:rPr>
        <w:t>做耐贯穿试验不穿透，</w:t>
      </w:r>
      <w:r>
        <w:rPr>
          <w:rFonts w:eastAsia="Times New Roman" w:hint="eastAsia"/>
          <w:sz w:val="24"/>
        </w:rPr>
        <w:t>1.6×1.8m</w:t>
      </w:r>
      <w:r>
        <w:rPr>
          <w:rFonts w:ascii="宋体" w:hAnsi="宋体"/>
          <w:sz w:val="24"/>
          <w:lang w:val="zh-CN"/>
        </w:rPr>
        <w:t>的单张网重量在</w:t>
      </w:r>
      <w:r>
        <w:rPr>
          <w:rFonts w:eastAsia="Times New Roman" w:hint="eastAsia"/>
          <w:sz w:val="24"/>
        </w:rPr>
        <w:t>3kg以上；</w:t>
      </w:r>
    </w:p>
    <w:p w:rsidR="00E7704A">
      <w:pPr>
        <w:pStyle w:val="Normal0"/>
        <w:numPr>
          <w:ilvl w:val="0"/>
          <w:numId w:val="8"/>
        </w:numPr>
        <w:spacing w:line="360" w:lineRule="auto"/>
        <w:jc w:val="left"/>
        <w:rPr>
          <w:rFonts w:ascii="宋体" w:hAnsi="宋体"/>
          <w:sz w:val="24"/>
          <w:lang w:val="zh-CN"/>
        </w:rPr>
      </w:pPr>
      <w:r>
        <w:rPr>
          <w:rFonts w:eastAsia="Times New Roman" w:hint="eastAsia"/>
          <w:sz w:val="24"/>
        </w:rPr>
        <w:t>颜色</w:t>
      </w:r>
      <w:r>
        <w:rPr>
          <w:rFonts w:ascii="宋体" w:hAnsi="宋体"/>
          <w:sz w:val="24"/>
          <w:lang w:val="zh-CN"/>
        </w:rPr>
        <w:t>应满足环境效果要求，选用绿色；</w:t>
      </w:r>
    </w:p>
    <w:p w:rsidR="00E7704A">
      <w:pPr>
        <w:pStyle w:val="Normal0"/>
        <w:numPr>
          <w:ilvl w:val="0"/>
          <w:numId w:val="6"/>
        </w:numPr>
        <w:spacing w:line="360" w:lineRule="auto"/>
        <w:jc w:val="left"/>
        <w:rPr>
          <w:rFonts w:ascii="宋体" w:hAnsi="宋体"/>
          <w:color w:val="000000"/>
          <w:sz w:val="24"/>
          <w:lang w:val="zh-CN"/>
        </w:rPr>
      </w:pPr>
      <w:r>
        <w:rPr>
          <w:rFonts w:ascii="宋体" w:hAnsi="宋体"/>
          <w:sz w:val="24"/>
          <w:lang w:val="zh-CN"/>
        </w:rPr>
        <w:t>连</w:t>
      </w:r>
      <w:r>
        <w:rPr>
          <w:rFonts w:ascii="宋体" w:hAnsi="宋体"/>
          <w:color w:val="000000"/>
          <w:sz w:val="24"/>
          <w:lang w:val="zh-CN"/>
        </w:rPr>
        <w:t>墙件材料采用</w:t>
      </w:r>
      <w:r>
        <w:rPr>
          <w:rFonts w:ascii="宋体" w:hAnsi="宋体"/>
          <w:sz w:val="24"/>
          <w:lang w:val="zh-CN"/>
        </w:rPr>
        <w:t>钢管制作</w:t>
      </w:r>
      <w:r>
        <w:rPr>
          <w:rFonts w:ascii="宋体" w:hAnsi="宋体"/>
          <w:color w:val="000000"/>
          <w:sz w:val="24"/>
          <w:lang w:val="zh-CN"/>
        </w:rPr>
        <w:t>，其材质应符合现行国家标准《碳素钢结构》</w:t>
      </w:r>
      <w:r>
        <w:rPr>
          <w:rFonts w:eastAsia="Times New Roman" w:hint="eastAsia"/>
          <w:color w:val="000000"/>
          <w:sz w:val="24"/>
        </w:rPr>
        <w:t>GB/T700</w:t>
      </w:r>
      <w:r>
        <w:rPr>
          <w:rFonts w:ascii="宋体" w:hAnsi="宋体"/>
          <w:color w:val="000000"/>
          <w:sz w:val="24"/>
          <w:lang w:val="zh-CN"/>
        </w:rPr>
        <w:t>中</w:t>
      </w:r>
      <w:r>
        <w:rPr>
          <w:rFonts w:eastAsia="Times New Roman" w:hint="eastAsia"/>
          <w:color w:val="000000"/>
          <w:sz w:val="24"/>
        </w:rPr>
        <w:t>Q235</w:t>
      </w:r>
      <w:r>
        <w:rPr>
          <w:rFonts w:ascii="宋体" w:hAnsi="宋体"/>
          <w:color w:val="000000"/>
          <w:sz w:val="24"/>
          <w:lang w:val="zh-CN"/>
        </w:rPr>
        <w:t>级钢或《低合金高强度结构钢》</w:t>
      </w:r>
      <w:r>
        <w:rPr>
          <w:rFonts w:eastAsia="Times New Roman" w:hint="eastAsia"/>
          <w:color w:val="000000"/>
          <w:sz w:val="24"/>
        </w:rPr>
        <w:t>GB/T1591</w:t>
      </w:r>
      <w:r>
        <w:rPr>
          <w:rFonts w:ascii="宋体" w:hAnsi="宋体"/>
          <w:color w:val="000000"/>
          <w:sz w:val="24"/>
          <w:lang w:val="zh-CN"/>
        </w:rPr>
        <w:t>中</w:t>
      </w:r>
      <w:r>
        <w:rPr>
          <w:rFonts w:eastAsia="Times New Roman" w:hint="eastAsia"/>
          <w:color w:val="000000"/>
          <w:sz w:val="24"/>
        </w:rPr>
        <w:t>Q345</w:t>
      </w:r>
      <w:r>
        <w:rPr>
          <w:rFonts w:ascii="宋体" w:hAnsi="宋体"/>
          <w:color w:val="000000"/>
          <w:sz w:val="24"/>
          <w:lang w:val="zh-CN"/>
        </w:rPr>
        <w:t>级钢的规定。</w:t>
      </w:r>
    </w:p>
    <w:p w:rsidR="00E7704A">
      <w:pPr>
        <w:pStyle w:val="Normal0"/>
        <w:spacing w:line="360" w:lineRule="auto"/>
        <w:jc w:val="left"/>
        <w:rPr>
          <w:rFonts w:ascii="Arial" w:hAnsi="Arial"/>
          <w:b/>
          <w:color w:val="FF0000"/>
          <w:sz w:val="18"/>
        </w:rPr>
      </w:pPr>
    </w:p>
    <w:p w:rsidR="00E7704A">
      <w:pPr>
        <w:pStyle w:val="Normal0"/>
        <w:spacing w:line="360" w:lineRule="auto"/>
        <w:jc w:val="left"/>
        <w:rPr>
          <w:rFonts w:ascii="Arial" w:hAnsi="Arial"/>
          <w:b/>
          <w:color w:val="FF0000"/>
          <w:sz w:val="18"/>
        </w:rPr>
      </w:pPr>
    </w:p>
    <w:p w:rsidR="00E7704A">
      <w:pPr>
        <w:pStyle w:val="Normal0"/>
        <w:spacing w:line="360" w:lineRule="auto"/>
        <w:jc w:val="left"/>
        <w:rPr>
          <w:rFonts w:ascii="宋体" w:hAnsi="宋体"/>
          <w:color w:val="000000"/>
          <w:sz w:val="24"/>
          <w:lang w:val="zh-CN"/>
        </w:rPr>
      </w:pPr>
      <w:r>
        <w:rPr>
          <w:rFonts w:ascii="宋体" w:hAnsi="宋体"/>
          <w:color w:val="000000"/>
          <w:sz w:val="24"/>
          <w:lang w:val="zh-CN"/>
        </w:rPr>
        <w:t>主要材料参数表</w:t>
      </w:r>
    </w:p>
    <w:p w:rsidR="00E7704A">
      <w:pPr>
        <w:pStyle w:val="Normal0"/>
        <w:jc w:val="left"/>
        <w:rPr>
          <w:rFonts w:ascii="宋体" w:hAnsi="宋体"/>
          <w:color w:val="000000"/>
          <w:sz w:val="24"/>
          <w:lang w:val="zh-CN"/>
        </w:rPr>
      </w:pPr>
      <w:r>
        <w:rPr>
          <w:rFonts w:ascii="宋体" w:hAnsi="宋体"/>
          <w:color w:val="000000"/>
          <w:sz w:val="24"/>
          <w:lang w:val="zh-CN"/>
        </w:rPr>
        <w:t>【扣件式脚手架】</w:t>
      </w:r>
    </w:p>
    <w:tbl>
      <w:tblPr>
        <w:tblStyle w:val="TableNormal"/>
        <w:tblW w:w="8460" w:type="dxa"/>
        <w:tblInd w:w="105" w:type="dxa"/>
        <w:tblLayout w:type="fixed"/>
        <w:tblCellMar>
          <w:left w:w="105" w:type="dxa"/>
          <w:right w:w="105" w:type="dxa"/>
        </w:tblCellMar>
        <w:tblLook w:val="04A0"/>
      </w:tblPr>
      <w:tblGrid>
        <w:gridCol w:w="990"/>
        <w:gridCol w:w="2340"/>
        <w:gridCol w:w="2370"/>
        <w:gridCol w:w="750"/>
        <w:gridCol w:w="1110"/>
        <w:gridCol w:w="900"/>
      </w:tblGrid>
      <w:tr>
        <w:tblPrEx>
          <w:tblW w:w="8460" w:type="dxa"/>
          <w:tblInd w:w="105" w:type="dxa"/>
          <w:tblLayout w:type="fixed"/>
          <w:tblCellMar>
            <w:left w:w="105" w:type="dxa"/>
            <w:right w:w="105" w:type="dxa"/>
          </w:tblCellMar>
          <w:tblLook w:val="04A0"/>
        </w:tblPrEx>
        <w:tc>
          <w:tcPr>
            <w:tcW w:w="99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名称</w:t>
            </w:r>
          </w:p>
        </w:tc>
        <w:tc>
          <w:tcPr>
            <w:tcW w:w="234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规格</w:t>
            </w:r>
          </w:p>
        </w:tc>
        <w:tc>
          <w:tcPr>
            <w:tcW w:w="237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用途</w:t>
            </w:r>
          </w:p>
        </w:tc>
        <w:tc>
          <w:tcPr>
            <w:tcW w:w="75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单位</w:t>
            </w:r>
          </w:p>
        </w:tc>
        <w:tc>
          <w:tcPr>
            <w:tcW w:w="111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总需用量</w:t>
            </w:r>
          </w:p>
        </w:tc>
        <w:tc>
          <w:tcPr>
            <w:tcW w:w="90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备注</w:t>
            </w:r>
          </w:p>
        </w:tc>
      </w:tr>
      <w:tr>
        <w:tblPrEx>
          <w:tblW w:w="8460" w:type="dxa"/>
          <w:tblInd w:w="105" w:type="dxa"/>
          <w:tblLayout w:type="fixed"/>
          <w:tblCellMar>
            <w:left w:w="105" w:type="dxa"/>
            <w:right w:w="105" w:type="dxa"/>
          </w:tblCellMar>
          <w:tblLook w:val="04A0"/>
        </w:tblPrEx>
        <w:tc>
          <w:tcPr>
            <w:tcW w:w="990" w:type="dxa"/>
            <w:vMerge w:val="restart"/>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钢管</w:t>
            </w:r>
          </w:p>
        </w:tc>
        <w:tc>
          <w:tcPr>
            <w:tcW w:w="234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eastAsia="Times New Roman"/>
                <w:color w:val="FF00FF"/>
                <w:sz w:val="20"/>
              </w:rPr>
            </w:pPr>
            <w:r>
              <w:rPr>
                <w:rFonts w:eastAsia="Times New Roman" w:hint="eastAsia"/>
                <w:color w:val="FF00FF"/>
                <w:sz w:val="20"/>
                <w:lang w:val="el-GR"/>
              </w:rPr>
              <w:t>6mφ</w:t>
            </w:r>
            <w:r>
              <w:rPr>
                <w:rFonts w:eastAsia="Times New Roman" w:hint="eastAsia"/>
                <w:color w:val="FF00FF"/>
                <w:sz w:val="20"/>
                <w:lang w:val="el-GR"/>
              </w:rPr>
              <w:t>48.3mm</w:t>
            </w:r>
            <w:r>
              <w:rPr>
                <w:rFonts w:eastAsia="Times New Roman" w:hint="eastAsia"/>
                <w:color w:val="FF00FF"/>
                <w:sz w:val="20"/>
              </w:rPr>
              <w:t>×3.6mm</w:t>
            </w:r>
          </w:p>
        </w:tc>
        <w:tc>
          <w:tcPr>
            <w:tcW w:w="237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纵向水平杆、立杆、剪刀撑</w:t>
            </w:r>
          </w:p>
        </w:tc>
        <w:tc>
          <w:tcPr>
            <w:tcW w:w="75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根</w:t>
            </w:r>
          </w:p>
        </w:tc>
        <w:tc>
          <w:tcPr>
            <w:tcW w:w="111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eastAsia="Times New Roman"/>
                <w:color w:val="FF00FF"/>
                <w:sz w:val="20"/>
              </w:rPr>
            </w:pPr>
            <w:r>
              <w:rPr>
                <w:rFonts w:eastAsia="Times New Roman" w:hint="eastAsia"/>
                <w:color w:val="FF00FF"/>
                <w:sz w:val="20"/>
              </w:rPr>
              <w:t>xxxx</w:t>
            </w:r>
          </w:p>
        </w:tc>
        <w:tc>
          <w:tcPr>
            <w:tcW w:w="90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租赁</w:t>
            </w:r>
          </w:p>
        </w:tc>
      </w:tr>
      <w:tr>
        <w:tblPrEx>
          <w:tblW w:w="8460" w:type="dxa"/>
          <w:tblInd w:w="105" w:type="dxa"/>
          <w:tblLayout w:type="fixed"/>
          <w:tblCellMar>
            <w:left w:w="105" w:type="dxa"/>
            <w:right w:w="105" w:type="dxa"/>
          </w:tblCellMar>
          <w:tblLook w:val="04A0"/>
        </w:tblPrEx>
        <w:tc>
          <w:tcPr>
            <w:tcW w:w="990" w:type="dxa"/>
            <w:vMerge/>
            <w:tcBorders>
              <w:top w:val="single" w:sz="6" w:space="0" w:color="000000"/>
              <w:left w:val="single" w:sz="6" w:space="0" w:color="000000"/>
              <w:bottom w:val="single" w:sz="6" w:space="0" w:color="000000"/>
              <w:right w:val="single" w:sz="6" w:space="0" w:color="000000"/>
              <w:tl2br w:val="nil"/>
              <w:tr2bl w:val="nil"/>
            </w:tcBorders>
          </w:tcPr>
          <w:p w:rsidR="00E7704A">
            <w:pPr>
              <w:pStyle w:val="Normal0"/>
              <w:jc w:val="left"/>
              <w:rPr>
                <w:rFonts w:ascii="宋体" w:hAnsi="宋体"/>
                <w:color w:val="000000"/>
                <w:sz w:val="24"/>
                <w:lang w:val="zh-CN"/>
              </w:rPr>
            </w:pPr>
          </w:p>
        </w:tc>
        <w:tc>
          <w:tcPr>
            <w:tcW w:w="234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eastAsia="Times New Roman"/>
                <w:color w:val="FF00FF"/>
                <w:sz w:val="20"/>
              </w:rPr>
            </w:pPr>
            <w:r>
              <w:rPr>
                <w:rFonts w:eastAsia="Times New Roman" w:hint="eastAsia"/>
                <w:color w:val="FF00FF"/>
                <w:sz w:val="20"/>
                <w:lang w:val="el-GR"/>
              </w:rPr>
              <w:t>1.5mφ48.3mm</w:t>
            </w:r>
            <w:r>
              <w:rPr>
                <w:rFonts w:eastAsia="Times New Roman" w:hint="eastAsia"/>
                <w:color w:val="FF00FF"/>
                <w:sz w:val="20"/>
              </w:rPr>
              <w:t>×3.6mm</w:t>
            </w:r>
          </w:p>
        </w:tc>
        <w:tc>
          <w:tcPr>
            <w:tcW w:w="237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横向水平杆、连墙件</w:t>
            </w:r>
          </w:p>
        </w:tc>
        <w:tc>
          <w:tcPr>
            <w:tcW w:w="75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根</w:t>
            </w:r>
          </w:p>
        </w:tc>
        <w:tc>
          <w:tcPr>
            <w:tcW w:w="111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eastAsia="Times New Roman"/>
                <w:color w:val="FF00FF"/>
                <w:sz w:val="20"/>
              </w:rPr>
            </w:pPr>
            <w:r>
              <w:rPr>
                <w:rFonts w:eastAsia="Times New Roman" w:hint="eastAsia"/>
                <w:color w:val="FF00FF"/>
                <w:sz w:val="20"/>
              </w:rPr>
              <w:t>xxxx</w:t>
            </w:r>
          </w:p>
        </w:tc>
        <w:tc>
          <w:tcPr>
            <w:tcW w:w="90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租赁</w:t>
            </w:r>
          </w:p>
        </w:tc>
      </w:tr>
      <w:tr>
        <w:tblPrEx>
          <w:tblW w:w="8460" w:type="dxa"/>
          <w:tblInd w:w="105" w:type="dxa"/>
          <w:tblLayout w:type="fixed"/>
          <w:tblCellMar>
            <w:left w:w="105" w:type="dxa"/>
            <w:right w:w="105" w:type="dxa"/>
          </w:tblCellMar>
          <w:tblLook w:val="04A0"/>
        </w:tblPrEx>
        <w:tc>
          <w:tcPr>
            <w:tcW w:w="99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木脚手板</w:t>
            </w:r>
          </w:p>
        </w:tc>
        <w:tc>
          <w:tcPr>
            <w:tcW w:w="234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eastAsia="Times New Roman"/>
                <w:color w:val="FF00FF"/>
                <w:sz w:val="20"/>
              </w:rPr>
            </w:pPr>
            <w:r>
              <w:rPr>
                <w:rFonts w:eastAsia="Times New Roman" w:hint="eastAsia"/>
                <w:color w:val="FF00FF"/>
                <w:sz w:val="20"/>
              </w:rPr>
              <w:t>3000mm×200mm×50mm</w:t>
            </w:r>
          </w:p>
        </w:tc>
        <w:tc>
          <w:tcPr>
            <w:tcW w:w="237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脚手板与基础垫板</w:t>
            </w:r>
          </w:p>
        </w:tc>
        <w:tc>
          <w:tcPr>
            <w:tcW w:w="75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块</w:t>
            </w:r>
          </w:p>
        </w:tc>
        <w:tc>
          <w:tcPr>
            <w:tcW w:w="111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eastAsia="Times New Roman"/>
                <w:color w:val="FF00FF"/>
                <w:sz w:val="20"/>
              </w:rPr>
            </w:pPr>
            <w:r>
              <w:rPr>
                <w:rFonts w:eastAsia="Times New Roman" w:hint="eastAsia"/>
                <w:color w:val="FF00FF"/>
                <w:sz w:val="20"/>
              </w:rPr>
              <w:t>xxxx</w:t>
            </w:r>
          </w:p>
        </w:tc>
        <w:tc>
          <w:tcPr>
            <w:tcW w:w="90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租赁</w:t>
            </w:r>
          </w:p>
        </w:tc>
      </w:tr>
      <w:tr>
        <w:tblPrEx>
          <w:tblW w:w="8460" w:type="dxa"/>
          <w:tblInd w:w="105" w:type="dxa"/>
          <w:tblLayout w:type="fixed"/>
          <w:tblCellMar>
            <w:left w:w="105" w:type="dxa"/>
            <w:right w:w="105" w:type="dxa"/>
          </w:tblCellMar>
          <w:tblLook w:val="04A0"/>
        </w:tblPrEx>
        <w:tc>
          <w:tcPr>
            <w:tcW w:w="99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扣件</w:t>
            </w:r>
          </w:p>
        </w:tc>
        <w:tc>
          <w:tcPr>
            <w:tcW w:w="234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eastAsia="Times New Roman"/>
                <w:color w:val="FF00FF"/>
                <w:sz w:val="20"/>
              </w:rPr>
            </w:pPr>
            <w:r>
              <w:rPr>
                <w:rFonts w:eastAsia="Times New Roman"/>
                <w:color w:val="FF00FF"/>
                <w:sz w:val="20"/>
              </w:rPr>
              <w:t>—</w:t>
            </w:r>
          </w:p>
        </w:tc>
        <w:tc>
          <w:tcPr>
            <w:tcW w:w="237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各杆件的连接</w:t>
            </w:r>
          </w:p>
        </w:tc>
        <w:tc>
          <w:tcPr>
            <w:tcW w:w="75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个</w:t>
            </w:r>
          </w:p>
        </w:tc>
        <w:tc>
          <w:tcPr>
            <w:tcW w:w="111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eastAsia="Times New Roman"/>
                <w:color w:val="FF00FF"/>
                <w:sz w:val="20"/>
              </w:rPr>
            </w:pPr>
            <w:r>
              <w:rPr>
                <w:rFonts w:eastAsia="Times New Roman" w:hint="eastAsia"/>
                <w:color w:val="FF00FF"/>
                <w:sz w:val="20"/>
              </w:rPr>
              <w:t>xxxx</w:t>
            </w:r>
          </w:p>
        </w:tc>
        <w:tc>
          <w:tcPr>
            <w:tcW w:w="90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租赁</w:t>
            </w:r>
          </w:p>
        </w:tc>
      </w:tr>
      <w:tr>
        <w:tblPrEx>
          <w:tblW w:w="8460" w:type="dxa"/>
          <w:tblInd w:w="105" w:type="dxa"/>
          <w:tblLayout w:type="fixed"/>
          <w:tblCellMar>
            <w:left w:w="105" w:type="dxa"/>
            <w:right w:w="105" w:type="dxa"/>
          </w:tblCellMar>
          <w:tblLook w:val="04A0"/>
        </w:tblPrEx>
        <w:tc>
          <w:tcPr>
            <w:tcW w:w="99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安全网</w:t>
            </w:r>
          </w:p>
        </w:tc>
        <w:tc>
          <w:tcPr>
            <w:tcW w:w="234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eastAsia="Times New Roman" w:hint="eastAsia"/>
                <w:color w:val="FF00FF"/>
                <w:sz w:val="20"/>
              </w:rPr>
              <w:t>6m×1.5m2000</w:t>
            </w:r>
            <w:r>
              <w:rPr>
                <w:rFonts w:ascii="宋体" w:hAnsi="宋体"/>
                <w:color w:val="FF00FF"/>
                <w:sz w:val="20"/>
                <w:lang w:val="zh-CN"/>
              </w:rPr>
              <w:t>目</w:t>
            </w:r>
          </w:p>
        </w:tc>
        <w:tc>
          <w:tcPr>
            <w:tcW w:w="237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防坠</w:t>
            </w:r>
          </w:p>
        </w:tc>
        <w:tc>
          <w:tcPr>
            <w:tcW w:w="75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张</w:t>
            </w:r>
          </w:p>
        </w:tc>
        <w:tc>
          <w:tcPr>
            <w:tcW w:w="111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eastAsia="Times New Roman"/>
                <w:color w:val="FF00FF"/>
                <w:sz w:val="20"/>
              </w:rPr>
            </w:pPr>
            <w:r>
              <w:rPr>
                <w:rFonts w:eastAsia="Times New Roman" w:hint="eastAsia"/>
                <w:color w:val="FF00FF"/>
                <w:sz w:val="20"/>
              </w:rPr>
              <w:t>xxxx</w:t>
            </w:r>
          </w:p>
        </w:tc>
        <w:tc>
          <w:tcPr>
            <w:tcW w:w="90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采购</w:t>
            </w:r>
          </w:p>
        </w:tc>
      </w:tr>
    </w:tbl>
    <w:p w:rsidR="00E7704A">
      <w:pPr>
        <w:pStyle w:val="Normal0"/>
        <w:spacing w:line="360" w:lineRule="auto"/>
        <w:jc w:val="left"/>
        <w:rPr>
          <w:rFonts w:ascii="Arial" w:hAnsi="Arial"/>
          <w:b/>
          <w:i/>
          <w:color w:val="0000FF"/>
          <w:sz w:val="18"/>
        </w:rPr>
      </w:pPr>
    </w:p>
    <w:p w:rsidR="00E7704A">
      <w:pPr>
        <w:pStyle w:val="Normal0"/>
        <w:spacing w:line="360" w:lineRule="auto"/>
        <w:jc w:val="left"/>
        <w:rPr>
          <w:rFonts w:ascii="Arial" w:hAnsi="Arial"/>
          <w:b/>
          <w:i/>
          <w:color w:val="0000FF"/>
          <w:sz w:val="18"/>
        </w:rPr>
      </w:pPr>
    </w:p>
    <w:p w:rsidR="00E7704A">
      <w:pPr>
        <w:pStyle w:val="Normal0"/>
        <w:spacing w:line="360" w:lineRule="auto"/>
        <w:jc w:val="left"/>
        <w:rPr>
          <w:rFonts w:ascii="Arial" w:hAnsi="Arial"/>
          <w:b/>
          <w:i/>
          <w:color w:val="0000FF"/>
          <w:sz w:val="18"/>
        </w:rPr>
      </w:pPr>
    </w:p>
    <w:p w:rsidR="00E7704A">
      <w:pPr>
        <w:pStyle w:val="Normal0"/>
        <w:spacing w:line="360" w:lineRule="auto"/>
        <w:jc w:val="left"/>
        <w:rPr>
          <w:rFonts w:ascii="Arial" w:hAnsi="Arial"/>
          <w:b/>
          <w:i/>
          <w:color w:val="0000FF"/>
          <w:sz w:val="18"/>
        </w:rPr>
      </w:pPr>
    </w:p>
    <w:p w:rsidR="00E7704A">
      <w:pPr>
        <w:pStyle w:val="Normal0"/>
        <w:spacing w:line="360" w:lineRule="auto"/>
        <w:jc w:val="left"/>
        <w:rPr>
          <w:rFonts w:ascii="Arial" w:hAnsi="Arial"/>
          <w:b/>
          <w:i/>
          <w:color w:val="0000FF"/>
          <w:sz w:val="18"/>
        </w:rPr>
      </w:pPr>
    </w:p>
    <w:p w:rsidR="00E7704A">
      <w:pPr>
        <w:pStyle w:val="Normal0"/>
        <w:spacing w:line="360" w:lineRule="auto"/>
        <w:jc w:val="left"/>
        <w:rPr>
          <w:rFonts w:ascii="Arial" w:hAnsi="Arial"/>
          <w:b/>
          <w:i/>
          <w:color w:val="0000FF"/>
          <w:sz w:val="18"/>
        </w:rPr>
        <w:sectPr>
          <w:type w:val="nextPage"/>
          <w:pgSz w:w="11906" w:h="16838"/>
          <w:pgMar w:top="1440" w:right="1800" w:bottom="1440" w:left="1800" w:header="851" w:footer="992" w:gutter="0"/>
          <w:pgNumType w:start="10"/>
          <w:cols w:space="425"/>
          <w:titlePg w:val="0"/>
          <w:docGrid w:type="lines" w:linePitch="312"/>
        </w:sectPr>
      </w:pPr>
    </w:p>
    <w:p w:rsidR="00E7704A">
      <w:pPr>
        <w:pStyle w:val="10"/>
        <w:rPr>
          <w:rFonts w:hint="default"/>
          <w:sz w:val="20"/>
          <w:lang w:val="zh-TW"/>
        </w:rPr>
      </w:pPr>
      <w:bookmarkStart w:id="8" w:name="_Toc31117"/>
      <w:r>
        <w:t>施工工艺技术</w:t>
      </w:r>
      <w:bookmarkEnd w:id="8"/>
    </w:p>
    <w:p w:rsidR="00E7704A">
      <w:pPr>
        <w:pStyle w:val="2"/>
        <w:rPr>
          <w:rFonts w:hint="default"/>
        </w:rPr>
      </w:pPr>
      <w:bookmarkStart w:id="9" w:name="_Toc28016"/>
      <w:r>
        <w:t>技术参数</w:t>
      </w:r>
      <w:bookmarkEnd w:id="9"/>
    </w:p>
    <w:p w:rsidR="00E7704A">
      <w:pPr>
        <w:pStyle w:val="Normal0"/>
        <w:jc w:val="left"/>
        <w:rPr>
          <w:rFonts w:ascii="Arial" w:hAnsi="Arial"/>
          <w:b/>
          <w:i/>
          <w:color w:val="0000FF"/>
          <w:sz w:val="18"/>
        </w:rPr>
      </w:pPr>
    </w:p>
    <w:p w:rsidR="00E7704A">
      <w:pPr>
        <w:pStyle w:val="Normal0"/>
        <w:jc w:val="left"/>
        <w:rPr>
          <w:rFonts w:ascii="宋体" w:hAnsi="宋体"/>
          <w:color w:val="000000"/>
          <w:sz w:val="24"/>
          <w:lang w:val="zh-TW"/>
        </w:rPr>
      </w:pPr>
      <w:r>
        <w:rPr>
          <w:rFonts w:ascii="宋体" w:hAnsi="宋体"/>
          <w:color w:val="000000"/>
          <w:sz w:val="24"/>
          <w:lang w:val="zh-TW"/>
        </w:rPr>
        <w:t>【扣件式脚手架】</w:t>
      </w:r>
    </w:p>
    <w:tbl>
      <w:tblPr>
        <w:tblStyle w:val="TableNormal"/>
        <w:tblW w:w="9300" w:type="dxa"/>
        <w:jc w:val="center"/>
        <w:tblLayout w:type="fixed"/>
        <w:tblCellMar>
          <w:top w:w="45" w:type="dxa"/>
          <w:left w:w="45" w:type="dxa"/>
          <w:bottom w:w="45" w:type="dxa"/>
          <w:right w:w="45" w:type="dxa"/>
        </w:tblCellMar>
        <w:tblLook w:val="04A0"/>
      </w:tblPr>
      <w:tblGrid>
        <w:gridCol w:w="2520"/>
        <w:gridCol w:w="2040"/>
        <w:gridCol w:w="2730"/>
        <w:gridCol w:w="2010"/>
      </w:tblGrid>
      <w:tr>
        <w:tblPrEx>
          <w:tblW w:w="9300" w:type="dxa"/>
          <w:jc w:val="center"/>
          <w:tblLayout w:type="fixed"/>
          <w:tblCellMar>
            <w:top w:w="45" w:type="dxa"/>
            <w:left w:w="45" w:type="dxa"/>
            <w:bottom w:w="45" w:type="dxa"/>
            <w:right w:w="45" w:type="dxa"/>
          </w:tblCellMar>
          <w:tblLook w:val="04A0"/>
        </w:tblPrEx>
        <w:trPr>
          <w:trHeight w:val="75"/>
          <w:jc w:val="center"/>
        </w:trPr>
        <w:tc>
          <w:tcPr>
            <w:tcW w:w="252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脚手架搭设方式</w:t>
            </w:r>
          </w:p>
        </w:tc>
        <w:tc>
          <w:tcPr>
            <w:tcW w:w="204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双排脚手架</w:t>
            </w:r>
          </w:p>
        </w:tc>
        <w:tc>
          <w:tcPr>
            <w:tcW w:w="273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纵、横向水平杆布置方式</w:t>
            </w:r>
          </w:p>
        </w:tc>
        <w:tc>
          <w:tcPr>
            <w:tcW w:w="201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纵向水平杆在上</w:t>
            </w:r>
          </w:p>
        </w:tc>
      </w:tr>
      <w:tr>
        <w:tblPrEx>
          <w:tblW w:w="9300" w:type="dxa"/>
          <w:jc w:val="center"/>
          <w:tblLayout w:type="fixed"/>
          <w:tblCellMar>
            <w:top w:w="45" w:type="dxa"/>
            <w:left w:w="45" w:type="dxa"/>
            <w:bottom w:w="45" w:type="dxa"/>
            <w:right w:w="45" w:type="dxa"/>
          </w:tblCellMar>
          <w:tblLook w:val="04A0"/>
        </w:tblPrEx>
        <w:trPr>
          <w:trHeight w:val="75"/>
          <w:jc w:val="center"/>
        </w:trPr>
        <w:tc>
          <w:tcPr>
            <w:tcW w:w="252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eastAsia="Times New Roman"/>
                <w:color w:val="000000"/>
                <w:sz w:val="20"/>
              </w:rPr>
            </w:pPr>
            <w:r>
              <w:rPr>
                <w:rFonts w:ascii="宋体" w:hAnsi="宋体"/>
                <w:color w:val="000000"/>
                <w:sz w:val="20"/>
                <w:lang w:val="zh-CN"/>
              </w:rPr>
              <w:t>脚手架架体高度</w:t>
            </w:r>
            <w:r>
              <w:rPr>
                <w:rFonts w:ascii="宋体" w:hAnsi="宋体"/>
                <w:color w:val="000000"/>
                <w:sz w:val="20"/>
                <w:lang w:val="zh-CN"/>
              </w:rPr>
              <w:t>H</w:t>
            </w:r>
            <w:r>
              <w:rPr>
                <w:rFonts w:eastAsia="Times New Roman" w:hint="eastAsia"/>
                <w:color w:val="000000"/>
                <w:sz w:val="20"/>
              </w:rPr>
              <w:t>(m)</w:t>
            </w:r>
          </w:p>
        </w:tc>
        <w:tc>
          <w:tcPr>
            <w:tcW w:w="204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9.4</w:t>
            </w:r>
          </w:p>
        </w:tc>
        <w:tc>
          <w:tcPr>
            <w:tcW w:w="273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脚手架钢管类型</w:t>
            </w:r>
          </w:p>
        </w:tc>
        <w:tc>
          <w:tcPr>
            <w:tcW w:w="201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Φ48.3×3.6</w:t>
            </w:r>
          </w:p>
        </w:tc>
      </w:tr>
      <w:tr>
        <w:tblPrEx>
          <w:tblW w:w="9300" w:type="dxa"/>
          <w:jc w:val="center"/>
          <w:tblLayout w:type="fixed"/>
          <w:tblCellMar>
            <w:top w:w="45" w:type="dxa"/>
            <w:left w:w="45" w:type="dxa"/>
            <w:bottom w:w="45" w:type="dxa"/>
            <w:right w:w="45" w:type="dxa"/>
          </w:tblCellMar>
          <w:tblLook w:val="04A0"/>
        </w:tblPrEx>
        <w:trPr>
          <w:trHeight w:val="1200"/>
          <w:jc w:val="center"/>
        </w:trPr>
        <w:tc>
          <w:tcPr>
            <w:tcW w:w="252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eastAsia="Times New Roman"/>
                <w:color w:val="000000"/>
                <w:sz w:val="20"/>
              </w:rPr>
            </w:pPr>
            <w:r>
              <w:rPr>
                <w:rFonts w:ascii="宋体" w:hAnsi="宋体"/>
                <w:color w:val="000000"/>
                <w:sz w:val="20"/>
                <w:lang w:val="zh-CN"/>
              </w:rPr>
              <w:t>立杆纵距或跨距</w:t>
            </w:r>
            <w:r>
              <w:rPr>
                <w:rFonts w:ascii="宋体" w:hAnsi="宋体"/>
                <w:color w:val="000000"/>
                <w:sz w:val="20"/>
                <w:lang w:val="zh-CN"/>
              </w:rPr>
              <w:t>la</w:t>
            </w:r>
            <w:r>
              <w:rPr>
                <w:rFonts w:eastAsia="Times New Roman" w:hint="eastAsia"/>
                <w:color w:val="000000"/>
                <w:sz w:val="20"/>
              </w:rPr>
              <w:t>(m)</w:t>
            </w:r>
          </w:p>
        </w:tc>
        <w:tc>
          <w:tcPr>
            <w:tcW w:w="204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1.5</w:t>
            </w:r>
          </w:p>
        </w:tc>
        <w:tc>
          <w:tcPr>
            <w:tcW w:w="273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eastAsia="Times New Roman"/>
                <w:color w:val="000000"/>
                <w:sz w:val="20"/>
              </w:rPr>
            </w:pPr>
            <w:r>
              <w:rPr>
                <w:rFonts w:ascii="宋体" w:hAnsi="宋体"/>
                <w:color w:val="000000"/>
                <w:sz w:val="20"/>
                <w:lang w:val="zh-CN"/>
              </w:rPr>
              <w:t>立杆横距</w:t>
            </w:r>
            <w:r>
              <w:rPr>
                <w:rFonts w:ascii="宋体" w:hAnsi="宋体"/>
                <w:color w:val="000000"/>
                <w:sz w:val="20"/>
                <w:lang w:val="zh-CN"/>
              </w:rPr>
              <w:t>lb</w:t>
            </w:r>
            <w:r>
              <w:rPr>
                <w:rFonts w:eastAsia="Times New Roman" w:hint="eastAsia"/>
                <w:color w:val="000000"/>
                <w:sz w:val="20"/>
              </w:rPr>
              <w:t>(m)</w:t>
            </w:r>
          </w:p>
        </w:tc>
        <w:tc>
          <w:tcPr>
            <w:tcW w:w="201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0.9</w:t>
            </w:r>
          </w:p>
        </w:tc>
      </w:tr>
      <w:tr>
        <w:tblPrEx>
          <w:tblW w:w="9300" w:type="dxa"/>
          <w:jc w:val="center"/>
          <w:tblLayout w:type="fixed"/>
          <w:tblCellMar>
            <w:top w:w="45" w:type="dxa"/>
            <w:left w:w="45" w:type="dxa"/>
            <w:bottom w:w="45" w:type="dxa"/>
            <w:right w:w="45" w:type="dxa"/>
          </w:tblCellMar>
          <w:tblLook w:val="04A0"/>
        </w:tblPrEx>
        <w:trPr>
          <w:trHeight w:val="75"/>
          <w:jc w:val="center"/>
        </w:trPr>
        <w:tc>
          <w:tcPr>
            <w:tcW w:w="252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eastAsia="Times New Roman"/>
                <w:color w:val="000000"/>
                <w:sz w:val="20"/>
              </w:rPr>
            </w:pPr>
            <w:r>
              <w:rPr>
                <w:rFonts w:ascii="宋体" w:hAnsi="宋体"/>
                <w:color w:val="000000"/>
                <w:sz w:val="20"/>
                <w:lang w:val="zh-CN"/>
              </w:rPr>
              <w:t>立杆步距</w:t>
            </w:r>
            <w:r>
              <w:rPr>
                <w:rFonts w:ascii="宋体" w:hAnsi="宋体"/>
                <w:color w:val="000000"/>
                <w:sz w:val="20"/>
                <w:lang w:val="zh-CN"/>
              </w:rPr>
              <w:t>h</w:t>
            </w:r>
            <w:r>
              <w:rPr>
                <w:rFonts w:eastAsia="Times New Roman" w:hint="eastAsia"/>
                <w:color w:val="000000"/>
                <w:sz w:val="20"/>
              </w:rPr>
              <w:t>(m)</w:t>
            </w:r>
          </w:p>
        </w:tc>
        <w:tc>
          <w:tcPr>
            <w:tcW w:w="204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1.8</w:t>
            </w:r>
          </w:p>
        </w:tc>
        <w:tc>
          <w:tcPr>
            <w:tcW w:w="273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双立杆计算方法</w:t>
            </w:r>
          </w:p>
        </w:tc>
        <w:tc>
          <w:tcPr>
            <w:tcW w:w="201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按构造要求设计</w:t>
            </w:r>
          </w:p>
        </w:tc>
      </w:tr>
      <w:tr>
        <w:tblPrEx>
          <w:tblW w:w="9300" w:type="dxa"/>
          <w:jc w:val="center"/>
          <w:tblLayout w:type="fixed"/>
          <w:tblCellMar>
            <w:top w:w="45" w:type="dxa"/>
            <w:left w:w="45" w:type="dxa"/>
            <w:bottom w:w="45" w:type="dxa"/>
            <w:right w:w="45" w:type="dxa"/>
          </w:tblCellMar>
          <w:tblLook w:val="04A0"/>
        </w:tblPrEx>
        <w:trPr>
          <w:trHeight w:val="75"/>
          <w:jc w:val="center"/>
        </w:trPr>
        <w:tc>
          <w:tcPr>
            <w:tcW w:w="252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挡脚板</w:t>
            </w:r>
          </w:p>
        </w:tc>
        <w:tc>
          <w:tcPr>
            <w:tcW w:w="204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sz w:val="20"/>
              </w:rPr>
            </w:pPr>
            <w:r>
              <w:rPr>
                <w:rFonts w:ascii="宋体" w:hAnsi="宋体"/>
                <w:sz w:val="20"/>
              </w:rPr>
              <w:t>5</w:t>
            </w:r>
            <w:r>
              <w:rPr>
                <w:rFonts w:ascii="宋体" w:hAnsi="宋体"/>
                <w:sz w:val="20"/>
              </w:rPr>
              <w:t>步</w:t>
            </w:r>
            <w:r>
              <w:rPr>
                <w:rFonts w:ascii="宋体" w:hAnsi="宋体"/>
                <w:sz w:val="20"/>
              </w:rPr>
              <w:t>1</w:t>
            </w:r>
            <w:r>
              <w:rPr>
                <w:rFonts w:ascii="宋体" w:hAnsi="宋体"/>
                <w:sz w:val="20"/>
              </w:rPr>
              <w:t>设</w:t>
            </w:r>
          </w:p>
        </w:tc>
        <w:tc>
          <w:tcPr>
            <w:tcW w:w="273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脚手板</w:t>
            </w:r>
          </w:p>
        </w:tc>
        <w:tc>
          <w:tcPr>
            <w:tcW w:w="201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20"/>
                <w:lang w:val="zh-CN"/>
              </w:rPr>
            </w:pPr>
            <w:r>
              <w:rPr>
                <w:rFonts w:ascii="宋体" w:hAnsi="宋体"/>
                <w:color w:val="000000"/>
                <w:sz w:val="20"/>
                <w:lang w:val="zh-CN"/>
              </w:rPr>
              <w:t>2</w:t>
            </w:r>
            <w:r>
              <w:rPr>
                <w:rFonts w:ascii="宋体" w:hAnsi="宋体"/>
                <w:color w:val="000000"/>
                <w:sz w:val="20"/>
                <w:lang w:val="zh-CN"/>
              </w:rPr>
              <w:t>步</w:t>
            </w:r>
            <w:r>
              <w:rPr>
                <w:rFonts w:ascii="宋体" w:hAnsi="宋体"/>
                <w:color w:val="000000"/>
                <w:sz w:val="20"/>
                <w:lang w:val="zh-CN"/>
              </w:rPr>
              <w:t>1</w:t>
            </w:r>
            <w:r>
              <w:rPr>
                <w:rFonts w:ascii="宋体" w:hAnsi="宋体"/>
                <w:color w:val="000000"/>
                <w:sz w:val="20"/>
                <w:lang w:val="zh-CN"/>
              </w:rPr>
              <w:t>设</w:t>
            </w:r>
          </w:p>
        </w:tc>
      </w:tr>
      <w:tr>
        <w:tblPrEx>
          <w:tblW w:w="9300" w:type="dxa"/>
          <w:jc w:val="center"/>
          <w:tblLayout w:type="fixed"/>
          <w:tblCellMar>
            <w:top w:w="45" w:type="dxa"/>
            <w:left w:w="45" w:type="dxa"/>
            <w:bottom w:w="45" w:type="dxa"/>
            <w:right w:w="45" w:type="dxa"/>
          </w:tblCellMar>
          <w:tblLook w:val="04A0"/>
        </w:tblPrEx>
        <w:trPr>
          <w:trHeight w:val="75"/>
          <w:jc w:val="center"/>
        </w:trPr>
        <w:tc>
          <w:tcPr>
            <w:tcW w:w="252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横向斜撑</w:t>
            </w:r>
          </w:p>
        </w:tc>
        <w:tc>
          <w:tcPr>
            <w:tcW w:w="204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20"/>
                <w:lang w:val="zh-CN"/>
              </w:rPr>
            </w:pPr>
            <w:r>
              <w:rPr>
                <w:rFonts w:ascii="宋体" w:hAnsi="宋体"/>
                <w:color w:val="000000"/>
                <w:sz w:val="20"/>
                <w:lang w:val="zh-CN"/>
              </w:rPr>
              <w:t>5</w:t>
            </w:r>
            <w:r>
              <w:rPr>
                <w:rFonts w:ascii="宋体" w:hAnsi="宋体"/>
                <w:color w:val="000000"/>
                <w:sz w:val="20"/>
                <w:lang w:val="zh-CN"/>
              </w:rPr>
              <w:t>跨</w:t>
            </w:r>
            <w:r>
              <w:rPr>
                <w:rFonts w:ascii="宋体" w:hAnsi="宋体"/>
                <w:color w:val="000000"/>
                <w:sz w:val="20"/>
                <w:lang w:val="zh-CN"/>
              </w:rPr>
              <w:t>1</w:t>
            </w:r>
            <w:r>
              <w:rPr>
                <w:rFonts w:ascii="宋体" w:hAnsi="宋体"/>
                <w:color w:val="000000"/>
                <w:sz w:val="20"/>
                <w:lang w:val="zh-CN"/>
              </w:rPr>
              <w:t>设</w:t>
            </w:r>
          </w:p>
        </w:tc>
        <w:tc>
          <w:tcPr>
            <w:tcW w:w="273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连墙件布置方式</w:t>
            </w:r>
          </w:p>
        </w:tc>
        <w:tc>
          <w:tcPr>
            <w:tcW w:w="201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一步两跨</w:t>
            </w:r>
          </w:p>
        </w:tc>
      </w:tr>
      <w:tr>
        <w:tblPrEx>
          <w:tblW w:w="9300" w:type="dxa"/>
          <w:jc w:val="center"/>
          <w:tblLayout w:type="fixed"/>
          <w:tblCellMar>
            <w:top w:w="45" w:type="dxa"/>
            <w:left w:w="45" w:type="dxa"/>
            <w:bottom w:w="45" w:type="dxa"/>
            <w:right w:w="45" w:type="dxa"/>
          </w:tblCellMar>
          <w:tblLook w:val="04A0"/>
        </w:tblPrEx>
        <w:trPr>
          <w:trHeight w:val="75"/>
          <w:jc w:val="center"/>
        </w:trPr>
        <w:tc>
          <w:tcPr>
            <w:tcW w:w="252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连墙件连接方式</w:t>
            </w:r>
          </w:p>
        </w:tc>
        <w:tc>
          <w:tcPr>
            <w:tcW w:w="204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扣件连接</w:t>
            </w:r>
          </w:p>
        </w:tc>
        <w:tc>
          <w:tcPr>
            <w:tcW w:w="273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地区</w:t>
            </w:r>
          </w:p>
        </w:tc>
        <w:tc>
          <w:tcPr>
            <w:tcW w:w="201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济南市</w:t>
            </w:r>
          </w:p>
        </w:tc>
      </w:tr>
      <w:tr>
        <w:tblPrEx>
          <w:tblW w:w="9300" w:type="dxa"/>
          <w:jc w:val="center"/>
          <w:tblLayout w:type="fixed"/>
          <w:tblCellMar>
            <w:top w:w="45" w:type="dxa"/>
            <w:left w:w="45" w:type="dxa"/>
            <w:bottom w:w="45" w:type="dxa"/>
            <w:right w:w="45" w:type="dxa"/>
          </w:tblCellMar>
          <w:tblLook w:val="04A0"/>
        </w:tblPrEx>
        <w:trPr>
          <w:trHeight w:val="75"/>
          <w:jc w:val="center"/>
        </w:trPr>
        <w:tc>
          <w:tcPr>
            <w:tcW w:w="252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eastAsia="Times New Roman"/>
                <w:color w:val="000000"/>
                <w:sz w:val="20"/>
              </w:rPr>
            </w:pPr>
            <w:r>
              <w:rPr>
                <w:rFonts w:ascii="宋体" w:hAnsi="宋体"/>
                <w:color w:val="000000"/>
                <w:sz w:val="20"/>
                <w:lang w:val="zh-CN"/>
              </w:rPr>
              <w:t>基本风压</w:t>
            </w:r>
            <w:r>
              <w:rPr>
                <w:rFonts w:eastAsia="Times New Roman" w:hint="eastAsia"/>
                <w:color w:val="000000"/>
                <w:sz w:val="20"/>
              </w:rPr>
              <w:t>(kN/m</w:t>
            </w:r>
            <w:r>
              <w:rPr>
                <w:rFonts w:eastAsia="Times New Roman" w:hint="eastAsia"/>
                <w:color w:val="000000"/>
                <w:sz w:val="20"/>
                <w:vertAlign w:val="superscript"/>
              </w:rPr>
              <w:t>2</w:t>
            </w:r>
            <w:r>
              <w:rPr>
                <w:rFonts w:eastAsia="Times New Roman" w:hint="eastAsia"/>
                <w:color w:val="000000"/>
                <w:sz w:val="20"/>
              </w:rPr>
              <w:t>)</w:t>
            </w:r>
          </w:p>
        </w:tc>
        <w:tc>
          <w:tcPr>
            <w:tcW w:w="204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0.3</w:t>
            </w:r>
          </w:p>
        </w:tc>
        <w:tc>
          <w:tcPr>
            <w:tcW w:w="273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安全网设置</w:t>
            </w:r>
          </w:p>
        </w:tc>
        <w:tc>
          <w:tcPr>
            <w:tcW w:w="201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全封闭</w:t>
            </w:r>
          </w:p>
        </w:tc>
      </w:tr>
    </w:tbl>
    <w:p w:rsidR="00E7704A">
      <w:pPr>
        <w:pStyle w:val="Normal0"/>
        <w:jc w:val="left"/>
        <w:rPr>
          <w:rFonts w:ascii="Arial" w:hAnsi="Arial"/>
          <w:b/>
          <w:color w:val="FF0000"/>
          <w:sz w:val="18"/>
        </w:rPr>
      </w:pPr>
    </w:p>
    <w:p w:rsidR="00E7704A">
      <w:pPr>
        <w:pStyle w:val="2"/>
        <w:rPr>
          <w:rFonts w:ascii="Arial" w:hAnsi="Arial" w:hint="default"/>
          <w:i/>
          <w:color w:val="0000FF"/>
          <w:sz w:val="18"/>
        </w:rPr>
      </w:pPr>
      <w:bookmarkStart w:id="10" w:name="_Toc4882"/>
      <w:r>
        <w:t>工艺流程</w:t>
      </w:r>
      <w:bookmarkEnd w:id="10"/>
    </w:p>
    <w:p w:rsidR="00E7704A">
      <w:pPr>
        <w:pStyle w:val="Normal0"/>
        <w:spacing w:line="360" w:lineRule="auto"/>
        <w:rPr>
          <w:rFonts w:ascii="宋体" w:hAnsi="宋体"/>
          <w:color w:val="000000"/>
          <w:sz w:val="24"/>
          <w:lang w:val="zh-CN"/>
        </w:rPr>
      </w:pPr>
      <w:r>
        <w:rPr>
          <w:rFonts w:ascii="宋体" w:hAnsi="宋体"/>
          <w:color w:val="000000"/>
          <w:sz w:val="24"/>
          <w:lang w:val="zh-CN"/>
        </w:rPr>
        <w:t>【扣件式脚手架】</w:t>
      </w:r>
    </w:p>
    <w:p w:rsidR="00E7704A">
      <w:pPr>
        <w:pStyle w:val="Normal0"/>
        <w:spacing w:line="360" w:lineRule="auto"/>
        <w:ind w:firstLine="480"/>
        <w:rPr>
          <w:rFonts w:ascii="Arial" w:hAnsi="Arial"/>
          <w:b/>
          <w:color w:val="FF0000"/>
          <w:sz w:val="18"/>
        </w:rPr>
      </w:pPr>
      <w:r>
        <w:rPr>
          <w:rFonts w:ascii="宋体" w:hAnsi="宋体"/>
          <w:color w:val="000000"/>
          <w:sz w:val="24"/>
          <w:lang w:val="zh-CN"/>
        </w:rPr>
        <w:t xml:space="preserve"> </w:t>
      </w:r>
      <w:r>
        <w:rPr>
          <w:rFonts w:ascii="宋体" w:hAnsi="宋体"/>
          <w:color w:val="000000"/>
          <w:sz w:val="24"/>
          <w:lang w:val="zh-CN"/>
        </w:rPr>
        <w:t>场地平整、夯实</w:t>
      </w:r>
      <w:r>
        <w:rPr>
          <w:rFonts w:eastAsia="Times New Roman" w:hint="eastAsia"/>
          <w:color w:val="000000"/>
          <w:sz w:val="24"/>
        </w:rPr>
        <w:t>→</w:t>
      </w:r>
      <w:r>
        <w:rPr>
          <w:rFonts w:ascii="宋体" w:hAnsi="宋体"/>
          <w:color w:val="000000"/>
          <w:sz w:val="24"/>
          <w:lang w:val="zh-CN"/>
        </w:rPr>
        <w:t>基础承载力实验、材料配备</w:t>
      </w:r>
      <w:r>
        <w:rPr>
          <w:rFonts w:eastAsia="Times New Roman" w:hint="eastAsia"/>
          <w:color w:val="000000"/>
          <w:sz w:val="24"/>
        </w:rPr>
        <w:t>→</w:t>
      </w:r>
      <w:r>
        <w:rPr>
          <w:rFonts w:ascii="宋体" w:hAnsi="宋体"/>
          <w:color w:val="000000"/>
          <w:sz w:val="24"/>
          <w:lang w:val="zh-CN"/>
        </w:rPr>
        <w:t>定位设置通长脚手板、底座</w:t>
      </w:r>
      <w:r>
        <w:rPr>
          <w:rFonts w:eastAsia="Times New Roman" w:hint="eastAsia"/>
          <w:color w:val="000000"/>
          <w:sz w:val="24"/>
        </w:rPr>
        <w:t>→</w:t>
      </w:r>
      <w:r>
        <w:rPr>
          <w:rFonts w:ascii="宋体" w:hAnsi="宋体"/>
          <w:color w:val="000000"/>
          <w:sz w:val="24"/>
          <w:lang w:val="zh-CN"/>
        </w:rPr>
        <w:t>纵向扫地杆</w:t>
      </w:r>
      <w:r>
        <w:rPr>
          <w:rFonts w:eastAsia="Times New Roman" w:hint="eastAsia"/>
          <w:color w:val="000000"/>
          <w:sz w:val="24"/>
        </w:rPr>
        <w:t>→</w:t>
      </w:r>
      <w:r>
        <w:rPr>
          <w:rFonts w:ascii="宋体" w:hAnsi="宋体"/>
          <w:color w:val="000000"/>
          <w:sz w:val="24"/>
          <w:lang w:val="zh-CN"/>
        </w:rPr>
        <w:t>立杆</w:t>
      </w:r>
      <w:r>
        <w:rPr>
          <w:rFonts w:eastAsia="Times New Roman" w:hint="eastAsia"/>
          <w:color w:val="000000"/>
          <w:sz w:val="24"/>
        </w:rPr>
        <w:t>→</w:t>
      </w:r>
      <w:r>
        <w:rPr>
          <w:rFonts w:ascii="宋体" w:hAnsi="宋体"/>
          <w:color w:val="000000"/>
          <w:sz w:val="24"/>
          <w:lang w:val="zh-CN"/>
        </w:rPr>
        <w:t>横向扫地杆</w:t>
      </w:r>
      <w:r>
        <w:rPr>
          <w:rFonts w:eastAsia="Times New Roman" w:hint="eastAsia"/>
          <w:color w:val="000000"/>
          <w:sz w:val="24"/>
        </w:rPr>
        <w:t>→</w:t>
      </w:r>
      <w:r>
        <w:rPr>
          <w:rFonts w:ascii="宋体" w:hAnsi="宋体"/>
          <w:color w:val="000000"/>
          <w:sz w:val="24"/>
          <w:lang w:val="zh-CN"/>
        </w:rPr>
        <w:t>横向水平杆</w:t>
      </w:r>
      <w:r>
        <w:rPr>
          <w:rFonts w:eastAsia="Times New Roman" w:hint="eastAsia"/>
          <w:color w:val="000000"/>
          <w:sz w:val="24"/>
        </w:rPr>
        <w:t>→</w:t>
      </w:r>
      <w:r>
        <w:rPr>
          <w:rFonts w:ascii="宋体" w:hAnsi="宋体"/>
          <w:color w:val="000000"/>
          <w:sz w:val="24"/>
          <w:lang w:val="zh-CN"/>
        </w:rPr>
        <w:t>纵向水平杆</w:t>
      </w:r>
      <w:r>
        <w:rPr>
          <w:rFonts w:eastAsia="Times New Roman" w:hint="eastAsia"/>
          <w:color w:val="000000"/>
          <w:sz w:val="24"/>
        </w:rPr>
        <w:t>(</w:t>
      </w:r>
      <w:r>
        <w:rPr>
          <w:rFonts w:ascii="宋体" w:hAnsi="宋体"/>
          <w:color w:val="000000"/>
          <w:sz w:val="24"/>
          <w:lang w:val="zh-CN"/>
        </w:rPr>
        <w:t>格栅</w:t>
      </w:r>
      <w:r>
        <w:rPr>
          <w:rFonts w:eastAsia="Times New Roman" w:hint="eastAsia"/>
          <w:color w:val="000000"/>
          <w:sz w:val="24"/>
        </w:rPr>
        <w:t>) →</w:t>
      </w:r>
      <w:r>
        <w:rPr>
          <w:rFonts w:ascii="宋体" w:hAnsi="宋体"/>
          <w:color w:val="000000"/>
          <w:sz w:val="24"/>
          <w:lang w:val="zh-CN"/>
        </w:rPr>
        <w:t>设置卸荷钢丝绳</w:t>
      </w:r>
      <w:r>
        <w:rPr>
          <w:rFonts w:eastAsia="Times New Roman" w:hint="eastAsia"/>
          <w:color w:val="000000"/>
          <w:sz w:val="24"/>
        </w:rPr>
        <w:t>→</w:t>
      </w:r>
      <w:r>
        <w:rPr>
          <w:rFonts w:ascii="宋体" w:hAnsi="宋体"/>
          <w:color w:val="000000"/>
          <w:sz w:val="24"/>
          <w:lang w:val="zh-CN"/>
        </w:rPr>
        <w:t>立杆</w:t>
      </w:r>
      <w:r>
        <w:rPr>
          <w:rFonts w:eastAsia="Times New Roman" w:hint="eastAsia"/>
          <w:color w:val="000000"/>
          <w:sz w:val="24"/>
        </w:rPr>
        <w:t>→</w:t>
      </w:r>
      <w:r>
        <w:rPr>
          <w:rFonts w:ascii="宋体" w:hAnsi="宋体"/>
          <w:color w:val="000000"/>
          <w:sz w:val="24"/>
          <w:lang w:val="zh-CN"/>
        </w:rPr>
        <w:t>横向水平杆</w:t>
      </w:r>
      <w:r>
        <w:rPr>
          <w:rFonts w:eastAsia="Times New Roman" w:hint="eastAsia"/>
          <w:color w:val="000000"/>
          <w:sz w:val="24"/>
        </w:rPr>
        <w:t>→</w:t>
      </w:r>
      <w:r>
        <w:rPr>
          <w:rFonts w:ascii="宋体" w:hAnsi="宋体"/>
          <w:color w:val="000000"/>
          <w:sz w:val="24"/>
          <w:lang w:val="zh-CN"/>
        </w:rPr>
        <w:t>纵向水平杆</w:t>
      </w:r>
      <w:r>
        <w:rPr>
          <w:rFonts w:eastAsia="Times New Roman" w:hint="eastAsia"/>
          <w:color w:val="000000"/>
          <w:sz w:val="24"/>
        </w:rPr>
        <w:t>(</w:t>
      </w:r>
      <w:r>
        <w:rPr>
          <w:rFonts w:ascii="宋体" w:hAnsi="宋体"/>
          <w:color w:val="000000"/>
          <w:sz w:val="24"/>
          <w:lang w:val="zh-CN"/>
        </w:rPr>
        <w:t>格栅</w:t>
      </w:r>
      <w:r>
        <w:rPr>
          <w:rFonts w:eastAsia="Times New Roman" w:hint="eastAsia"/>
          <w:color w:val="000000"/>
          <w:sz w:val="24"/>
        </w:rPr>
        <w:t>)→</w:t>
      </w:r>
      <w:r>
        <w:rPr>
          <w:rFonts w:ascii="宋体" w:hAnsi="宋体"/>
          <w:color w:val="000000"/>
          <w:sz w:val="24"/>
          <w:lang w:val="zh-CN"/>
        </w:rPr>
        <w:t>剪刀撑</w:t>
      </w:r>
      <w:r>
        <w:rPr>
          <w:rFonts w:eastAsia="Times New Roman" w:hint="eastAsia"/>
          <w:color w:val="000000"/>
          <w:sz w:val="24"/>
        </w:rPr>
        <w:t>→</w:t>
      </w:r>
      <w:r>
        <w:rPr>
          <w:rFonts w:ascii="宋体" w:hAnsi="宋体"/>
          <w:color w:val="000000"/>
          <w:sz w:val="24"/>
          <w:lang w:val="zh-CN"/>
        </w:rPr>
        <w:t>连墙件</w:t>
      </w:r>
      <w:r>
        <w:rPr>
          <w:rFonts w:eastAsia="Times New Roman" w:hint="eastAsia"/>
          <w:color w:val="000000"/>
          <w:sz w:val="24"/>
        </w:rPr>
        <w:t>→</w:t>
      </w:r>
      <w:r>
        <w:rPr>
          <w:rFonts w:ascii="宋体" w:hAnsi="宋体"/>
          <w:color w:val="000000"/>
          <w:sz w:val="24"/>
          <w:lang w:val="zh-CN"/>
        </w:rPr>
        <w:t>铺脚手板</w:t>
      </w:r>
      <w:r>
        <w:rPr>
          <w:rFonts w:eastAsia="Times New Roman" w:hint="eastAsia"/>
          <w:color w:val="000000"/>
          <w:sz w:val="24"/>
        </w:rPr>
        <w:t>→</w:t>
      </w:r>
      <w:r>
        <w:rPr>
          <w:rFonts w:ascii="宋体" w:hAnsi="宋体"/>
          <w:color w:val="000000"/>
          <w:sz w:val="24"/>
          <w:lang w:val="zh-CN"/>
        </w:rPr>
        <w:t>扎防护栏杆</w:t>
      </w:r>
      <w:r>
        <w:rPr>
          <w:rFonts w:eastAsia="Times New Roman" w:hint="eastAsia"/>
          <w:color w:val="000000"/>
          <w:sz w:val="24"/>
        </w:rPr>
        <w:t>→</w:t>
      </w:r>
      <w:r>
        <w:rPr>
          <w:rFonts w:ascii="宋体" w:hAnsi="宋体"/>
          <w:color w:val="000000"/>
          <w:sz w:val="24"/>
          <w:lang w:val="zh-CN"/>
        </w:rPr>
        <w:t>扎安全网</w:t>
      </w:r>
    </w:p>
    <w:p w:rsidR="00E7704A">
      <w:pPr>
        <w:pStyle w:val="2"/>
        <w:rPr>
          <w:rFonts w:ascii="Arial" w:hAnsi="Arial" w:hint="default"/>
          <w:i/>
          <w:color w:val="0000FF"/>
          <w:sz w:val="18"/>
        </w:rPr>
      </w:pPr>
      <w:bookmarkStart w:id="11" w:name="_Toc24058"/>
      <w:r>
        <w:t>施工方法</w:t>
      </w:r>
      <w:bookmarkEnd w:id="11"/>
    </w:p>
    <w:p w:rsidR="00E7704A">
      <w:pPr>
        <w:pStyle w:val="Normal0"/>
        <w:numPr>
          <w:ilvl w:val="0"/>
          <w:numId w:val="9"/>
        </w:numPr>
        <w:spacing w:line="360" w:lineRule="auto"/>
        <w:jc w:val="left"/>
        <w:rPr>
          <w:rFonts w:ascii="宋体" w:hAnsi="宋体"/>
          <w:sz w:val="24"/>
          <w:lang w:val="zh-CN"/>
        </w:rPr>
        <w:sectPr>
          <w:type w:val="nextPage"/>
          <w:pgSz w:w="11906" w:h="16838"/>
          <w:pgMar w:top="1440" w:right="1800" w:bottom="1440" w:left="1800" w:header="851" w:footer="992" w:gutter="0"/>
          <w:pgNumType w:start="11"/>
          <w:cols w:space="425"/>
          <w:titlePg w:val="0"/>
          <w:docGrid w:type="lines" w:linePitch="312"/>
        </w:sectPr>
      </w:pPr>
      <w:r>
        <w:rPr>
          <w:rFonts w:ascii="宋体" w:hAnsi="宋体"/>
          <w:sz w:val="24"/>
          <w:lang w:val="zh-CN"/>
        </w:rPr>
        <w:t>地基基础</w:t>
      </w:r>
    </w:p>
    <w:p w:rsidR="00E7704A">
      <w:pPr>
        <w:pStyle w:val="Normal0"/>
        <w:numPr>
          <w:ilvl w:val="0"/>
          <w:numId w:val="10"/>
        </w:numPr>
        <w:spacing w:line="360" w:lineRule="auto"/>
        <w:rPr>
          <w:rFonts w:ascii="宋体" w:hAnsi="宋体"/>
          <w:sz w:val="24"/>
          <w:lang w:val="zh-CN"/>
        </w:rPr>
      </w:pPr>
      <w:r>
        <w:rPr>
          <w:rFonts w:ascii="宋体" w:hAnsi="宋体"/>
          <w:sz w:val="24"/>
          <w:lang w:val="zh-CN"/>
        </w:rPr>
        <w:t>定距定位。根据构造要求在建筑物四角用尺量出内、外立杆离墙距离，并做好标记；用钢卷尺拉直，分出立杆位置，并用小竹片点出立杆标记；垫板、底座应准确地放在定位线上，垫板必须铺放平整，不得悬空。</w:t>
      </w:r>
      <w:r>
        <w:rPr>
          <w:rFonts w:ascii="宋体" w:hAnsi="宋体"/>
          <w:sz w:val="24"/>
          <w:lang w:val="zh-CN"/>
        </w:rPr>
        <w:t xml:space="preserve">   </w:t>
      </w:r>
    </w:p>
    <w:p w:rsidR="00E7704A">
      <w:pPr>
        <w:pStyle w:val="Normal0"/>
        <w:numPr>
          <w:ilvl w:val="0"/>
          <w:numId w:val="10"/>
        </w:numPr>
        <w:spacing w:line="360" w:lineRule="auto"/>
        <w:rPr>
          <w:rFonts w:ascii="宋体" w:hAnsi="宋体"/>
          <w:sz w:val="24"/>
          <w:lang w:val="zh-CN"/>
        </w:rPr>
      </w:pPr>
      <w:r>
        <w:rPr>
          <w:rFonts w:ascii="宋体" w:hAnsi="宋体"/>
          <w:sz w:val="24"/>
          <w:lang w:val="zh-CN"/>
        </w:rPr>
        <w:t>在搭设首层脚手架过程中，沿四周每框架格内设一道斜支撑，拐角处双向增设，待该部位脚手架与主体结构的连墙件可靠拉结后方可拆除。当脚手架操作层高出连墙件以上两步时，宜先立外排，后立内排。其余按以下构造要求搭设。</w:t>
      </w:r>
    </w:p>
    <w:p w:rsidR="00E7704A">
      <w:pPr>
        <w:pStyle w:val="Normal0"/>
        <w:numPr>
          <w:ilvl w:val="0"/>
          <w:numId w:val="10"/>
        </w:numPr>
        <w:spacing w:line="360" w:lineRule="auto"/>
        <w:rPr>
          <w:rFonts w:ascii="宋体" w:hAnsi="宋体"/>
          <w:sz w:val="24"/>
          <w:lang w:val="zh-CN"/>
        </w:rPr>
      </w:pPr>
      <w:r>
        <w:rPr>
          <w:rFonts w:ascii="宋体" w:hAnsi="宋体"/>
          <w:sz w:val="24"/>
          <w:lang w:val="zh-CN"/>
        </w:rPr>
        <w:t>本工程脚手架地基础部位应在回填土完后夯实，采用强度等级不低于</w:t>
      </w:r>
      <w:r>
        <w:rPr>
          <w:rFonts w:eastAsia="Times New Roman" w:hint="eastAsia"/>
          <w:sz w:val="24"/>
        </w:rPr>
        <w:t>C15</w:t>
      </w:r>
      <w:r>
        <w:rPr>
          <w:rFonts w:ascii="宋体" w:hAnsi="宋体"/>
          <w:sz w:val="24"/>
          <w:lang w:val="zh-CN"/>
        </w:rPr>
        <w:t>的混凝土进行硬化，混凝土硬化厚度不小于</w:t>
      </w:r>
      <w:r>
        <w:rPr>
          <w:rFonts w:eastAsia="Times New Roman" w:hint="eastAsia"/>
          <w:sz w:val="24"/>
        </w:rPr>
        <w:t>10cm</w:t>
      </w:r>
      <w:r>
        <w:rPr>
          <w:rFonts w:ascii="宋体" w:hAnsi="宋体"/>
          <w:sz w:val="24"/>
          <w:lang w:val="zh-CN"/>
        </w:rPr>
        <w:t>。地基承载能力能够满足外脚手架的搭设要求（具体计算数据参阅脚手架计算书），立杆垫板或底座面标高高于自然地坪</w:t>
      </w:r>
      <w:r>
        <w:rPr>
          <w:rFonts w:eastAsia="Times New Roman" w:hint="eastAsia"/>
          <w:sz w:val="24"/>
        </w:rPr>
        <w:t>50mm~100mm</w:t>
      </w:r>
      <w:r>
        <w:rPr>
          <w:rFonts w:ascii="宋体" w:hAnsi="宋体"/>
          <w:sz w:val="24"/>
          <w:lang w:val="zh-CN"/>
        </w:rPr>
        <w:t>，两侧设置排水沟，排水通畅。</w:t>
      </w:r>
    </w:p>
    <w:p w:rsidR="00E7704A">
      <w:pPr>
        <w:pStyle w:val="Normal0"/>
        <w:numPr>
          <w:ilvl w:val="0"/>
          <w:numId w:val="10"/>
        </w:numPr>
        <w:spacing w:line="360" w:lineRule="auto"/>
        <w:rPr>
          <w:rFonts w:ascii="Arial" w:hAnsi="Arial"/>
          <w:b/>
          <w:sz w:val="18"/>
        </w:rPr>
      </w:pPr>
      <w:r>
        <w:rPr>
          <w:rFonts w:ascii="宋体" w:hAnsi="宋体"/>
          <w:sz w:val="24"/>
          <w:lang w:val="zh-CN"/>
        </w:rPr>
        <w:t>垫板尺寸采用长度不少于</w:t>
      </w:r>
      <w:r>
        <w:rPr>
          <w:rFonts w:eastAsia="Times New Roman" w:hint="eastAsia"/>
          <w:sz w:val="24"/>
        </w:rPr>
        <w:t>2</w:t>
      </w:r>
      <w:r>
        <w:rPr>
          <w:rFonts w:ascii="宋体" w:hAnsi="宋体"/>
          <w:sz w:val="24"/>
          <w:lang w:val="zh-CN"/>
        </w:rPr>
        <w:t>跨、厚度不小于</w:t>
      </w:r>
      <w:r>
        <w:rPr>
          <w:rFonts w:eastAsia="Times New Roman" w:hint="eastAsia"/>
          <w:sz w:val="24"/>
        </w:rPr>
        <w:t>50mm</w:t>
      </w:r>
      <w:r>
        <w:rPr>
          <w:rFonts w:ascii="宋体" w:hAnsi="宋体"/>
          <w:sz w:val="24"/>
          <w:lang w:val="zh-CN"/>
        </w:rPr>
        <w:t>、宽度不小于</w:t>
      </w:r>
      <w:r>
        <w:rPr>
          <w:rFonts w:eastAsia="Times New Roman" w:hint="eastAsia"/>
          <w:sz w:val="24"/>
        </w:rPr>
        <w:t>200mm</w:t>
      </w:r>
      <w:r>
        <w:rPr>
          <w:rFonts w:ascii="宋体" w:hAnsi="宋体"/>
          <w:sz w:val="24"/>
          <w:lang w:val="zh-CN"/>
        </w:rPr>
        <w:t>的木垫板或槽钢。</w:t>
      </w:r>
    </w:p>
    <w:p w:rsidR="00E7704A">
      <w:pPr>
        <w:pStyle w:val="Normal0"/>
        <w:numPr>
          <w:ilvl w:val="0"/>
          <w:numId w:val="9"/>
        </w:numPr>
        <w:spacing w:line="360" w:lineRule="auto"/>
        <w:jc w:val="left"/>
        <w:rPr>
          <w:rFonts w:ascii="宋体" w:hAnsi="宋体"/>
          <w:sz w:val="24"/>
          <w:lang w:val="zh-CN"/>
        </w:rPr>
      </w:pPr>
      <w:r>
        <w:rPr>
          <w:rFonts w:ascii="宋体" w:hAnsi="宋体"/>
          <w:sz w:val="24"/>
          <w:lang w:val="zh-CN"/>
        </w:rPr>
        <w:t>钢丝绳卸荷</w:t>
      </w:r>
    </w:p>
    <w:p w:rsidR="00E7704A">
      <w:pPr>
        <w:pStyle w:val="Normal0"/>
        <w:numPr>
          <w:ilvl w:val="0"/>
          <w:numId w:val="11"/>
        </w:numPr>
        <w:spacing w:line="360" w:lineRule="auto"/>
        <w:rPr>
          <w:rFonts w:ascii="宋体" w:hAnsi="宋体"/>
          <w:sz w:val="24"/>
          <w:lang w:val="zh-CN"/>
        </w:rPr>
      </w:pPr>
      <w:r>
        <w:rPr>
          <w:rFonts w:ascii="宋体" w:hAnsi="宋体"/>
          <w:sz w:val="24"/>
          <w:lang w:val="zh-CN"/>
        </w:rPr>
        <w:t>梁板内的受拉锚环，必须在混凝土达到设计强度的</w:t>
      </w:r>
      <w:r>
        <w:rPr>
          <w:rFonts w:eastAsia="Times New Roman" w:hint="eastAsia"/>
          <w:sz w:val="24"/>
        </w:rPr>
        <w:t>75%</w:t>
      </w:r>
      <w:r>
        <w:rPr>
          <w:rFonts w:ascii="宋体" w:hAnsi="宋体"/>
          <w:sz w:val="24"/>
          <w:lang w:val="zh-CN"/>
        </w:rPr>
        <w:t>以上方可受力使用。拉钩、吊环一定要采用圆钢制作，不允许用螺纹钢筋。</w:t>
      </w:r>
    </w:p>
    <w:p w:rsidR="00E7704A">
      <w:pPr>
        <w:pStyle w:val="Normal0"/>
        <w:numPr>
          <w:ilvl w:val="0"/>
          <w:numId w:val="11"/>
        </w:numPr>
        <w:spacing w:line="360" w:lineRule="auto"/>
        <w:rPr>
          <w:rFonts w:ascii="宋体" w:hAnsi="宋体"/>
          <w:sz w:val="24"/>
          <w:lang w:val="zh-CN"/>
        </w:rPr>
      </w:pPr>
      <w:r>
        <w:rPr>
          <w:rFonts w:ascii="宋体" w:hAnsi="宋体"/>
          <w:sz w:val="24"/>
          <w:lang w:val="zh-CN"/>
        </w:rPr>
        <w:t>派工人扎接上部拉环的钢丝绳，至少采用</w:t>
      </w:r>
      <w:r>
        <w:rPr>
          <w:rFonts w:eastAsia="Times New Roman" w:hint="eastAsia"/>
          <w:sz w:val="24"/>
        </w:rPr>
        <w:t>3</w:t>
      </w:r>
      <w:r>
        <w:rPr>
          <w:rFonts w:ascii="宋体" w:hAnsi="宋体"/>
          <w:sz w:val="24"/>
          <w:lang w:val="zh-CN"/>
        </w:rPr>
        <w:t>个卡头扎紧，钢丝绳扎头螺丝全要拧紧，不允许松动。</w:t>
      </w:r>
    </w:p>
    <w:p w:rsidR="00E7704A">
      <w:pPr>
        <w:pStyle w:val="Normal0"/>
        <w:numPr>
          <w:ilvl w:val="0"/>
          <w:numId w:val="11"/>
        </w:numPr>
        <w:spacing w:line="360" w:lineRule="auto"/>
        <w:rPr>
          <w:rFonts w:ascii="宋体" w:hAnsi="宋体"/>
          <w:sz w:val="24"/>
          <w:lang w:val="zh-CN"/>
        </w:rPr>
      </w:pPr>
      <w:r>
        <w:rPr>
          <w:rFonts w:ascii="宋体" w:hAnsi="宋体"/>
          <w:sz w:val="24"/>
          <w:lang w:val="zh-CN"/>
        </w:rPr>
        <w:t>对整个架体进行安全检查，发现钢丝绳松动、锈蚀或焊缝脱焊等情况时要立即进行修复，合格后方可继续使用。</w:t>
      </w:r>
    </w:p>
    <w:p w:rsidR="00E7704A">
      <w:pPr>
        <w:pStyle w:val="Normal0"/>
        <w:spacing w:line="360" w:lineRule="auto"/>
        <w:jc w:val="center"/>
        <w:rPr>
          <w:sz w:val="24"/>
        </w:rPr>
      </w:pPr>
      <w:r>
        <w:rPr>
          <w:sz w:val="24"/>
        </w:rPr>
        <w:pict>
          <v:shape id="_x0000_i1030" type="#_x0000_t75" style="width:252.75pt;height:87pt">
            <v:imagedata r:id="rId10" o:title=""/>
          </v:shape>
        </w:pict>
      </w:r>
    </w:p>
    <w:p w:rsidR="00E7704A">
      <w:pPr>
        <w:pStyle w:val="Normal0"/>
        <w:spacing w:line="360" w:lineRule="auto"/>
        <w:jc w:val="center"/>
        <w:rPr>
          <w:rFonts w:ascii="宋体" w:hAnsi="宋体"/>
          <w:sz w:val="20"/>
          <w:lang w:val="zh-CN"/>
        </w:rPr>
      </w:pPr>
      <w:r>
        <w:rPr>
          <w:rFonts w:ascii="宋体" w:hAnsi="宋体"/>
          <w:sz w:val="20"/>
          <w:lang w:val="zh-CN"/>
        </w:rPr>
        <w:t>钢丝绳绳卡做法</w:t>
      </w:r>
    </w:p>
    <w:p w:rsidR="00E7704A">
      <w:pPr>
        <w:pStyle w:val="Normal0"/>
        <w:spacing w:line="360" w:lineRule="auto"/>
        <w:ind w:firstLine="480"/>
        <w:jc w:val="left"/>
        <w:rPr>
          <w:rFonts w:eastAsia="Times New Roman"/>
          <w:color w:val="000000"/>
          <w:sz w:val="24"/>
        </w:rPr>
      </w:pPr>
    </w:p>
    <w:p w:rsidR="00E7704A">
      <w:pPr>
        <w:pStyle w:val="Normal0"/>
        <w:spacing w:line="360" w:lineRule="auto"/>
        <w:ind w:firstLine="480"/>
        <w:jc w:val="left"/>
        <w:rPr>
          <w:rFonts w:ascii="宋体" w:hAnsi="宋体"/>
          <w:color w:val="000000"/>
          <w:sz w:val="24"/>
          <w:lang w:val="zh-CN"/>
        </w:rPr>
      </w:pPr>
    </w:p>
    <w:p w:rsidR="00E7704A">
      <w:pPr>
        <w:pStyle w:val="Normal0"/>
        <w:numPr>
          <w:ilvl w:val="0"/>
          <w:numId w:val="9"/>
        </w:numPr>
        <w:spacing w:line="360" w:lineRule="auto"/>
        <w:jc w:val="left"/>
        <w:rPr>
          <w:rFonts w:ascii="宋体" w:hAnsi="宋体"/>
          <w:sz w:val="24"/>
          <w:lang w:val="zh-CN"/>
        </w:rPr>
        <w:sectPr>
          <w:type w:val="nextPage"/>
          <w:pgSz w:w="11906" w:h="16838"/>
          <w:pgMar w:top="1440" w:right="1800" w:bottom="1440" w:left="1800" w:header="851" w:footer="992" w:gutter="0"/>
          <w:pgNumType w:start="12"/>
          <w:cols w:space="425"/>
          <w:titlePg w:val="0"/>
          <w:docGrid w:type="lines" w:linePitch="312"/>
        </w:sectPr>
      </w:pPr>
      <w:r>
        <w:rPr>
          <w:rFonts w:ascii="宋体" w:hAnsi="宋体"/>
          <w:sz w:val="24"/>
          <w:lang w:val="zh-CN"/>
        </w:rPr>
        <w:t>立杆设置</w:t>
      </w:r>
    </w:p>
    <w:p w:rsidR="00E7704A">
      <w:pPr>
        <w:pStyle w:val="Normal0"/>
        <w:numPr>
          <w:ilvl w:val="0"/>
          <w:numId w:val="12"/>
        </w:numPr>
        <w:spacing w:line="360" w:lineRule="auto"/>
        <w:rPr>
          <w:rFonts w:ascii="宋体" w:hAnsi="宋体"/>
          <w:sz w:val="24"/>
          <w:lang w:val="zh-CN"/>
        </w:rPr>
      </w:pPr>
      <w:r>
        <w:rPr>
          <w:rFonts w:ascii="宋体" w:hAnsi="宋体"/>
          <w:sz w:val="24"/>
          <w:lang w:val="zh-CN"/>
        </w:rPr>
        <w:t>立杆采用对接接头连接，立杆与纵向水平杆采用直角扣件连接。接头位置交错布置，两个相邻立杆接头避免出现在同步同跨内，</w:t>
      </w:r>
      <w:r>
        <w:rPr>
          <w:rFonts w:ascii="宋体" w:hAnsi="宋体"/>
          <w:sz w:val="24"/>
          <w:lang w:val="zh-CN"/>
        </w:rPr>
        <w:t>并在高度方向错开的距离不小于</w:t>
      </w:r>
      <w:r>
        <w:rPr>
          <w:rFonts w:eastAsia="Times New Roman" w:hint="eastAsia"/>
          <w:sz w:val="24"/>
        </w:rPr>
        <w:t>50cm</w:t>
      </w:r>
      <w:r>
        <w:rPr>
          <w:rFonts w:ascii="宋体" w:hAnsi="宋体"/>
          <w:sz w:val="24"/>
          <w:lang w:val="zh-CN"/>
        </w:rPr>
        <w:t>；各接头中心距主节点的距离不大于步距的</w:t>
      </w:r>
      <w:r>
        <w:rPr>
          <w:rFonts w:eastAsia="Times New Roman" w:hint="eastAsia"/>
          <w:sz w:val="24"/>
        </w:rPr>
        <w:t>1/3</w:t>
      </w:r>
      <w:r>
        <w:rPr>
          <w:rFonts w:ascii="宋体" w:hAnsi="宋体"/>
          <w:sz w:val="24"/>
          <w:lang w:val="zh-CN"/>
        </w:rPr>
        <w:t>。</w:t>
      </w:r>
    </w:p>
    <w:p w:rsidR="00E7704A">
      <w:pPr>
        <w:pStyle w:val="Normal0"/>
        <w:numPr>
          <w:ilvl w:val="0"/>
          <w:numId w:val="12"/>
        </w:numPr>
        <w:spacing w:line="360" w:lineRule="auto"/>
        <w:rPr>
          <w:rFonts w:ascii="宋体" w:hAnsi="宋体"/>
          <w:sz w:val="24"/>
          <w:lang w:val="zh-CN"/>
        </w:rPr>
      </w:pPr>
      <w:r>
        <w:rPr>
          <w:rFonts w:ascii="宋体" w:hAnsi="宋体"/>
          <w:sz w:val="24"/>
          <w:lang w:val="zh-CN"/>
        </w:rPr>
        <w:t>上部单立杆与下部双立杆交接处，采用单立杆与双立杆之中的一根对接连接。主立杆与副立杆采用旋转扣件连接，扣件数量不应少于</w:t>
      </w:r>
      <w:r>
        <w:rPr>
          <w:rFonts w:eastAsia="Times New Roman" w:hint="eastAsia"/>
          <w:sz w:val="24"/>
        </w:rPr>
        <w:t>2</w:t>
      </w:r>
      <w:r>
        <w:rPr>
          <w:rFonts w:ascii="宋体" w:hAnsi="宋体"/>
          <w:sz w:val="24"/>
          <w:lang w:val="zh-CN"/>
        </w:rPr>
        <w:t>个。每根立杆底部应设置垫块，并且必须设置纵、横向扫地杆。纵向扫地杆应采用直角扣件固定在距底座上皮不大于</w:t>
      </w:r>
      <w:r>
        <w:rPr>
          <w:rFonts w:eastAsia="Times New Roman" w:hint="eastAsia"/>
          <w:sz w:val="24"/>
        </w:rPr>
        <w:t>200mm</w:t>
      </w:r>
      <w:r>
        <w:rPr>
          <w:rFonts w:ascii="宋体" w:hAnsi="宋体"/>
          <w:sz w:val="24"/>
          <w:lang w:val="zh-CN"/>
        </w:rPr>
        <w:t>处立杆上。横向扫地杆亦应采用直角扣件固定在紧靠纵向扫地杆下方立杆上。</w:t>
      </w:r>
    </w:p>
    <w:p w:rsidR="00E7704A">
      <w:pPr>
        <w:pStyle w:val="Normal0"/>
        <w:numPr>
          <w:ilvl w:val="0"/>
          <w:numId w:val="12"/>
        </w:numPr>
        <w:spacing w:line="360" w:lineRule="auto"/>
        <w:rPr>
          <w:rFonts w:ascii="宋体" w:hAnsi="宋体"/>
          <w:sz w:val="24"/>
          <w:lang w:val="zh-CN"/>
        </w:rPr>
      </w:pPr>
      <w:r>
        <w:rPr>
          <w:rFonts w:ascii="宋体" w:hAnsi="宋体"/>
          <w:sz w:val="24"/>
          <w:lang w:val="zh-CN"/>
        </w:rPr>
        <w:t>当立杆基础不在同一高度上时，必须将高处的纵向扫地杆向低处延长两跨与立杆固定，高低差不应大于</w:t>
      </w:r>
      <w:r>
        <w:rPr>
          <w:rFonts w:eastAsia="Times New Roman" w:hint="eastAsia"/>
          <w:sz w:val="24"/>
        </w:rPr>
        <w:t>1m</w:t>
      </w:r>
      <w:r>
        <w:rPr>
          <w:rFonts w:ascii="宋体" w:hAnsi="宋体"/>
          <w:sz w:val="24"/>
          <w:lang w:val="zh-CN"/>
        </w:rPr>
        <w:t>。靠边坡上方的立杆轴线到边坡的距离</w:t>
      </w:r>
      <w:r>
        <w:rPr>
          <w:rFonts w:ascii="宋体" w:hAnsi="宋体"/>
          <w:sz w:val="24"/>
          <w:lang w:val="zh-CN"/>
        </w:rPr>
        <w:t>不应小于</w:t>
      </w:r>
      <w:r>
        <w:rPr>
          <w:rFonts w:eastAsia="Times New Roman" w:hint="eastAsia"/>
          <w:sz w:val="24"/>
        </w:rPr>
        <w:t>500mm</w:t>
      </w:r>
      <w:r>
        <w:rPr>
          <w:rFonts w:ascii="宋体" w:hAnsi="宋体"/>
          <w:sz w:val="24"/>
          <w:lang w:val="zh-CN"/>
        </w:rPr>
        <w:t>。</w:t>
      </w:r>
    </w:p>
    <w:p w:rsidR="00E7704A">
      <w:pPr>
        <w:pStyle w:val="Normal0"/>
        <w:numPr>
          <w:ilvl w:val="0"/>
          <w:numId w:val="12"/>
        </w:numPr>
        <w:spacing w:line="360" w:lineRule="auto"/>
        <w:rPr>
          <w:rFonts w:ascii="宋体" w:hAnsi="宋体"/>
          <w:sz w:val="24"/>
          <w:lang w:val="zh-CN"/>
        </w:rPr>
      </w:pPr>
      <w:r>
        <w:rPr>
          <w:rFonts w:ascii="宋体" w:hAnsi="宋体"/>
          <w:sz w:val="24"/>
          <w:lang w:val="zh-CN"/>
        </w:rPr>
        <w:t>立杆的垂直偏差应控制在不大于架高的</w:t>
      </w:r>
      <w:r>
        <w:rPr>
          <w:rFonts w:eastAsia="Times New Roman" w:hint="eastAsia"/>
          <w:sz w:val="24"/>
        </w:rPr>
        <w:t>1/400</w:t>
      </w:r>
      <w:r>
        <w:rPr>
          <w:rFonts w:ascii="宋体" w:hAnsi="宋体"/>
          <w:sz w:val="24"/>
          <w:lang w:val="zh-CN"/>
        </w:rPr>
        <w:t>。</w:t>
      </w:r>
    </w:p>
    <w:p w:rsidR="00E7704A">
      <w:pPr>
        <w:pStyle w:val="Normal0"/>
        <w:numPr>
          <w:ilvl w:val="0"/>
          <w:numId w:val="12"/>
        </w:numPr>
        <w:spacing w:line="360" w:lineRule="auto"/>
        <w:rPr>
          <w:rFonts w:ascii="宋体" w:hAnsi="宋体"/>
          <w:sz w:val="24"/>
          <w:lang w:val="zh-CN"/>
        </w:rPr>
      </w:pPr>
      <w:r>
        <w:rPr>
          <w:rFonts w:ascii="宋体" w:hAnsi="宋体"/>
          <w:sz w:val="24"/>
          <w:lang w:val="zh-CN"/>
        </w:rPr>
        <w:t>开始搭设立杆时，每隔</w:t>
      </w:r>
      <w:r>
        <w:rPr>
          <w:rFonts w:eastAsia="Times New Roman" w:hint="eastAsia"/>
          <w:sz w:val="24"/>
        </w:rPr>
        <w:t>6</w:t>
      </w:r>
      <w:r>
        <w:rPr>
          <w:rFonts w:ascii="宋体" w:hAnsi="宋体"/>
          <w:sz w:val="24"/>
          <w:lang w:val="zh-CN"/>
        </w:rPr>
        <w:t>跨设置一根抛撑，直至连墙件安装稳定后，方可根据情况拆除。</w:t>
      </w:r>
    </w:p>
    <w:p w:rsidR="00E7704A">
      <w:pPr>
        <w:pStyle w:val="Normal0"/>
        <w:numPr>
          <w:ilvl w:val="0"/>
          <w:numId w:val="12"/>
        </w:numPr>
        <w:spacing w:line="360" w:lineRule="auto"/>
        <w:rPr>
          <w:rFonts w:ascii="宋体" w:hAnsi="宋体"/>
          <w:sz w:val="24"/>
          <w:lang w:val="zh-CN"/>
        </w:rPr>
      </w:pPr>
      <w:r>
        <w:rPr>
          <w:rFonts w:ascii="宋体" w:hAnsi="宋体"/>
          <w:sz w:val="24"/>
          <w:lang w:val="zh-CN"/>
        </w:rPr>
        <w:t>立杆及纵横向水平杆构造要求见下图。</w:t>
      </w:r>
    </w:p>
    <w:p w:rsidR="00E7704A">
      <w:pPr>
        <w:pStyle w:val="Normal0"/>
        <w:spacing w:line="360" w:lineRule="auto"/>
        <w:jc w:val="center"/>
        <w:rPr>
          <w:sz w:val="24"/>
        </w:rPr>
        <w:sectPr>
          <w:type w:val="nextPage"/>
          <w:pgSz w:w="11906" w:h="16838"/>
          <w:pgMar w:top="1440" w:right="1800" w:bottom="1440" w:left="1800" w:header="851" w:footer="992" w:gutter="0"/>
          <w:pgNumType w:start="13"/>
          <w:cols w:space="425"/>
          <w:titlePg w:val="0"/>
          <w:docGrid w:type="lines" w:linePitch="312"/>
        </w:sectPr>
      </w:pPr>
      <w:r>
        <w:rPr>
          <w:sz w:val="24"/>
        </w:rPr>
        <w:pict>
          <v:shape id="_x0000_i1031" type="#_x0000_t75" style="width:438.75pt;height:225pt">
            <v:imagedata r:id="rId11" o:title=""/>
          </v:shape>
        </w:pict>
      </w:r>
    </w:p>
    <w:p w:rsidR="00E7704A">
      <w:pPr>
        <w:pStyle w:val="Normal0"/>
        <w:spacing w:line="360" w:lineRule="auto"/>
        <w:jc w:val="center"/>
        <w:rPr>
          <w:sz w:val="24"/>
        </w:rPr>
      </w:pPr>
      <w:r>
        <w:rPr>
          <w:sz w:val="24"/>
        </w:rPr>
        <w:pict>
          <v:shape id="_x0000_i1032" type="#_x0000_t75" style="width:430.5pt;height:232.5pt">
            <v:imagedata r:id="rId12" o:title=""/>
          </v:shape>
        </w:pict>
      </w:r>
    </w:p>
    <w:p w:rsidR="00E7704A">
      <w:pPr>
        <w:pStyle w:val="Normal0"/>
        <w:spacing w:line="360" w:lineRule="auto"/>
        <w:ind w:firstLine="420"/>
        <w:jc w:val="center"/>
        <w:rPr>
          <w:rFonts w:ascii="宋体" w:hAnsi="宋体"/>
          <w:sz w:val="20"/>
          <w:lang w:val="zh-CN"/>
        </w:rPr>
      </w:pPr>
      <w:r>
        <w:rPr>
          <w:rFonts w:ascii="宋体" w:hAnsi="宋体"/>
          <w:sz w:val="20"/>
          <w:lang w:val="zh-CN"/>
        </w:rPr>
        <w:t>立杆对接接头布置</w:t>
      </w:r>
    </w:p>
    <w:p w:rsidR="00E7704A">
      <w:pPr>
        <w:pStyle w:val="Normal0"/>
        <w:spacing w:line="360" w:lineRule="auto"/>
        <w:jc w:val="center"/>
        <w:rPr>
          <w:rFonts w:ascii="宋体" w:hAnsi="宋体"/>
          <w:sz w:val="20"/>
          <w:lang w:val="zh-CN"/>
        </w:rPr>
      </w:pPr>
      <w:r>
        <w:rPr>
          <w:rFonts w:ascii="宋体" w:hAnsi="宋体"/>
          <w:sz w:val="20"/>
          <w:lang w:val="zh-CN"/>
        </w:rPr>
        <w:pict>
          <v:shape id="_x0000_i1033" type="#_x0000_t75" style="width:413.25pt;height:205.5pt">
            <v:imagedata r:id="rId13" o:title=""/>
          </v:shape>
        </w:pict>
      </w:r>
    </w:p>
    <w:p w:rsidR="00E7704A">
      <w:pPr>
        <w:pStyle w:val="Normal0"/>
        <w:spacing w:line="360" w:lineRule="auto"/>
        <w:ind w:firstLine="420"/>
        <w:jc w:val="center"/>
        <w:rPr>
          <w:rFonts w:ascii="宋体" w:hAnsi="宋体"/>
          <w:sz w:val="20"/>
          <w:lang w:val="zh-CN"/>
        </w:rPr>
      </w:pPr>
      <w:r>
        <w:rPr>
          <w:rFonts w:ascii="宋体" w:hAnsi="宋体"/>
          <w:sz w:val="20"/>
          <w:lang w:val="zh-CN"/>
        </w:rPr>
        <w:t>纵、横向扫地杆构造</w:t>
      </w:r>
    </w:p>
    <w:p w:rsidR="00E7704A">
      <w:pPr>
        <w:pStyle w:val="Normal0"/>
        <w:spacing w:line="360" w:lineRule="auto"/>
        <w:ind w:firstLine="480"/>
        <w:jc w:val="left"/>
        <w:rPr>
          <w:rFonts w:eastAsia="Times New Roman"/>
          <w:color w:val="000000"/>
          <w:sz w:val="24"/>
        </w:rPr>
      </w:pPr>
    </w:p>
    <w:p w:rsidR="00E7704A">
      <w:pPr>
        <w:pStyle w:val="Normal0"/>
        <w:numPr>
          <w:ilvl w:val="0"/>
          <w:numId w:val="9"/>
        </w:numPr>
        <w:spacing w:line="360" w:lineRule="auto"/>
        <w:jc w:val="left"/>
        <w:rPr>
          <w:rFonts w:ascii="宋体" w:hAnsi="宋体"/>
          <w:sz w:val="24"/>
          <w:lang w:val="zh-CN"/>
        </w:rPr>
      </w:pPr>
      <w:r>
        <w:rPr>
          <w:rFonts w:ascii="宋体" w:hAnsi="宋体"/>
          <w:sz w:val="24"/>
          <w:lang w:val="zh-CN"/>
        </w:rPr>
        <w:t>纵、横向水平杆</w:t>
      </w:r>
    </w:p>
    <w:p w:rsidR="00E7704A">
      <w:pPr>
        <w:pStyle w:val="Normal0"/>
        <w:numPr>
          <w:ilvl w:val="0"/>
          <w:numId w:val="13"/>
        </w:numPr>
        <w:spacing w:line="360" w:lineRule="auto"/>
        <w:rPr>
          <w:rFonts w:ascii="宋体" w:hAnsi="宋体"/>
          <w:sz w:val="24"/>
          <w:lang w:val="zh-CN"/>
        </w:rPr>
      </w:pPr>
      <w:r>
        <w:rPr>
          <w:rFonts w:ascii="宋体" w:hAnsi="宋体"/>
          <w:sz w:val="24"/>
          <w:lang w:val="zh-CN"/>
        </w:rPr>
        <w:t>纵向水平杆设置在立杆内侧，其长度不小于</w:t>
      </w:r>
      <w:r>
        <w:rPr>
          <w:rFonts w:eastAsia="Times New Roman" w:hint="eastAsia"/>
          <w:sz w:val="24"/>
        </w:rPr>
        <w:t>3</w:t>
      </w:r>
      <w:r>
        <w:rPr>
          <w:rFonts w:ascii="宋体" w:hAnsi="宋体"/>
          <w:sz w:val="24"/>
          <w:lang w:val="zh-CN"/>
        </w:rPr>
        <w:t>跨。纵向水平杆接长宜采用对接扣件连接，也可采用搭接。要求如下：</w:t>
      </w:r>
    </w:p>
    <w:p w:rsidR="00E7704A">
      <w:pPr>
        <w:pStyle w:val="Normal0"/>
        <w:spacing w:line="360" w:lineRule="auto"/>
        <w:ind w:firstLine="480"/>
        <w:rPr>
          <w:rFonts w:ascii="宋体" w:hAnsi="宋体"/>
          <w:sz w:val="24"/>
          <w:lang w:val="zh-CN"/>
        </w:rPr>
        <w:sectPr>
          <w:type w:val="nextPage"/>
          <w:pgSz w:w="11906" w:h="16838"/>
          <w:pgMar w:top="1440" w:right="1800" w:bottom="1440" w:left="1800" w:header="851" w:footer="992" w:gutter="0"/>
          <w:pgNumType w:start="14"/>
          <w:cols w:space="425"/>
          <w:titlePg w:val="0"/>
          <w:docGrid w:type="lines" w:linePitch="312"/>
        </w:sectPr>
      </w:pPr>
      <w:r>
        <w:rPr>
          <w:rFonts w:ascii="宋体" w:hAnsi="宋体"/>
          <w:sz w:val="24"/>
          <w:lang w:val="zh-CN"/>
        </w:rPr>
        <w:t>当采用对接时，对接扣件应该交错布置，两根相邻纵向水平杆接头不宜设置在同步或同跨；不同步或不同跨两相邻接头在水平方向错开距离不应小于</w:t>
      </w:r>
      <w:r>
        <w:rPr>
          <w:rFonts w:eastAsia="Times New Roman" w:hint="eastAsia"/>
          <w:sz w:val="24"/>
        </w:rPr>
        <w:t>500mm</w:t>
      </w:r>
      <w:r>
        <w:rPr>
          <w:rFonts w:ascii="宋体" w:hAnsi="宋体"/>
          <w:sz w:val="24"/>
          <w:lang w:val="zh-CN"/>
        </w:rPr>
        <w:t>；各接头中心至最近主节点的距离不宜大于纵距的</w:t>
      </w:r>
      <w:r>
        <w:rPr>
          <w:rFonts w:eastAsia="Times New Roman" w:hint="eastAsia"/>
          <w:sz w:val="24"/>
        </w:rPr>
        <w:t>1/3</w:t>
      </w:r>
      <w:r>
        <w:rPr>
          <w:rFonts w:ascii="宋体" w:hAnsi="宋体"/>
          <w:sz w:val="24"/>
          <w:lang w:val="zh-CN"/>
        </w:rPr>
        <w:t>。</w:t>
      </w:r>
    </w:p>
    <w:p w:rsidR="00E7704A">
      <w:pPr>
        <w:pStyle w:val="Normal0"/>
        <w:spacing w:line="360" w:lineRule="auto"/>
        <w:ind w:firstLine="480"/>
        <w:rPr>
          <w:rFonts w:ascii="宋体" w:hAnsi="宋体"/>
          <w:sz w:val="24"/>
          <w:lang w:val="zh-CN"/>
        </w:rPr>
      </w:pPr>
      <w:r>
        <w:rPr>
          <w:rFonts w:ascii="宋体" w:hAnsi="宋体"/>
          <w:sz w:val="24"/>
          <w:lang w:val="zh-CN"/>
        </w:rPr>
        <w:t>当采用搭接时，搭接长度不应小于</w:t>
      </w:r>
      <w:r>
        <w:rPr>
          <w:rFonts w:eastAsia="Times New Roman" w:hint="eastAsia"/>
          <w:sz w:val="24"/>
        </w:rPr>
        <w:t>1m</w:t>
      </w:r>
      <w:r>
        <w:rPr>
          <w:rFonts w:ascii="宋体" w:hAnsi="宋体"/>
          <w:sz w:val="24"/>
          <w:lang w:val="zh-CN"/>
        </w:rPr>
        <w:t>，应等间距设置</w:t>
      </w:r>
      <w:r>
        <w:rPr>
          <w:rFonts w:eastAsia="Times New Roman" w:hint="eastAsia"/>
          <w:sz w:val="24"/>
        </w:rPr>
        <w:t>3</w:t>
      </w:r>
      <w:r>
        <w:rPr>
          <w:rFonts w:ascii="宋体" w:hAnsi="宋体"/>
          <w:sz w:val="24"/>
          <w:lang w:val="zh-CN"/>
        </w:rPr>
        <w:t>个旋转扣件固定，端部扣件盖板边缘至搭接纵向水平杆杆端的距离不应小于</w:t>
      </w:r>
      <w:r>
        <w:rPr>
          <w:rFonts w:eastAsia="Times New Roman" w:hint="eastAsia"/>
          <w:sz w:val="24"/>
        </w:rPr>
        <w:t>100mm</w:t>
      </w:r>
      <w:r>
        <w:rPr>
          <w:rFonts w:ascii="宋体" w:hAnsi="宋体"/>
          <w:sz w:val="24"/>
          <w:lang w:val="zh-CN"/>
        </w:rPr>
        <w:t>。</w:t>
      </w:r>
    </w:p>
    <w:p w:rsidR="00E7704A">
      <w:pPr>
        <w:pStyle w:val="Normal0"/>
        <w:numPr>
          <w:ilvl w:val="0"/>
          <w:numId w:val="13"/>
        </w:numPr>
        <w:spacing w:line="360" w:lineRule="auto"/>
        <w:rPr>
          <w:rFonts w:ascii="宋体" w:hAnsi="宋体"/>
          <w:sz w:val="24"/>
          <w:lang w:val="zh-CN"/>
        </w:rPr>
      </w:pPr>
      <w:r>
        <w:rPr>
          <w:rFonts w:ascii="宋体" w:hAnsi="宋体"/>
          <w:sz w:val="24"/>
          <w:lang w:val="zh-CN"/>
        </w:rPr>
        <w:t>立杆与纵向水平杆交点处设置横向水平杆，两端固定在立杆上，以形成空间结构整体受力。</w:t>
      </w:r>
    </w:p>
    <w:p w:rsidR="00E7704A">
      <w:pPr>
        <w:pStyle w:val="Normal0"/>
        <w:spacing w:line="360" w:lineRule="auto"/>
        <w:jc w:val="center"/>
        <w:rPr>
          <w:sz w:val="24"/>
        </w:rPr>
      </w:pPr>
      <w:r>
        <w:rPr>
          <w:sz w:val="24"/>
        </w:rPr>
        <w:pict>
          <v:shape id="_x0000_i1034" type="#_x0000_t75" style="width:410.25pt;height:214.5pt">
            <v:imagedata r:id="rId14" o:title=""/>
          </v:shape>
        </w:pict>
      </w:r>
    </w:p>
    <w:p w:rsidR="00E7704A">
      <w:pPr>
        <w:pStyle w:val="Normal0"/>
        <w:spacing w:line="360" w:lineRule="auto"/>
        <w:ind w:firstLine="420"/>
        <w:jc w:val="center"/>
        <w:rPr>
          <w:rFonts w:ascii="宋体" w:hAnsi="宋体"/>
          <w:sz w:val="20"/>
          <w:lang w:val="zh-CN"/>
        </w:rPr>
      </w:pPr>
      <w:r>
        <w:rPr>
          <w:rFonts w:ascii="宋体" w:hAnsi="宋体"/>
          <w:sz w:val="20"/>
          <w:lang w:val="zh-CN"/>
        </w:rPr>
        <w:t>纵向水平杆对接接头布置</w:t>
      </w:r>
    </w:p>
    <w:p w:rsidR="00E7704A">
      <w:pPr>
        <w:pStyle w:val="Normal0"/>
        <w:numPr>
          <w:ilvl w:val="0"/>
          <w:numId w:val="9"/>
        </w:numPr>
        <w:spacing w:line="360" w:lineRule="auto"/>
        <w:jc w:val="left"/>
        <w:rPr>
          <w:rFonts w:ascii="宋体" w:hAnsi="宋体"/>
          <w:sz w:val="24"/>
          <w:lang w:val="zh-CN"/>
        </w:rPr>
      </w:pPr>
      <w:r>
        <w:rPr>
          <w:rFonts w:ascii="宋体" w:hAnsi="宋体"/>
          <w:sz w:val="24"/>
          <w:lang w:val="zh-CN"/>
        </w:rPr>
        <w:t>剪刀撑设置</w:t>
      </w:r>
    </w:p>
    <w:p w:rsidR="00E7704A">
      <w:pPr>
        <w:pStyle w:val="Normal0"/>
        <w:numPr>
          <w:ilvl w:val="0"/>
          <w:numId w:val="14"/>
        </w:numPr>
        <w:spacing w:line="360" w:lineRule="auto"/>
        <w:rPr>
          <w:rFonts w:ascii="宋体" w:hAnsi="宋体"/>
          <w:sz w:val="24"/>
          <w:lang w:val="zh-CN"/>
        </w:rPr>
      </w:pPr>
      <w:r>
        <w:rPr>
          <w:rFonts w:ascii="宋体" w:hAnsi="宋体"/>
          <w:sz w:val="24"/>
          <w:lang w:val="zh-CN"/>
        </w:rPr>
        <w:t>脚手架外侧立面整个长度和高度上连续设置剪刀撑；</w:t>
      </w:r>
    </w:p>
    <w:p w:rsidR="00E7704A">
      <w:pPr>
        <w:pStyle w:val="Normal0"/>
        <w:numPr>
          <w:ilvl w:val="0"/>
          <w:numId w:val="14"/>
        </w:numPr>
        <w:spacing w:line="360" w:lineRule="auto"/>
        <w:rPr>
          <w:rFonts w:ascii="宋体" w:hAnsi="宋体"/>
          <w:sz w:val="24"/>
          <w:lang w:val="zh-CN"/>
        </w:rPr>
      </w:pPr>
      <w:r>
        <w:rPr>
          <w:rFonts w:ascii="宋体" w:hAnsi="宋体"/>
          <w:sz w:val="24"/>
          <w:lang w:val="zh-CN"/>
        </w:rPr>
        <w:t>每道剪刀撑宽度不应</w:t>
      </w:r>
      <w:r>
        <w:rPr>
          <w:rFonts w:ascii="宋体" w:hAnsi="宋体"/>
          <w:sz w:val="24"/>
          <w:lang w:val="zh-CN"/>
        </w:rPr>
        <w:t>小于</w:t>
      </w:r>
      <w:r>
        <w:rPr>
          <w:rFonts w:eastAsia="Times New Roman" w:hint="eastAsia"/>
          <w:sz w:val="24"/>
        </w:rPr>
        <w:t>4</w:t>
      </w:r>
      <w:r>
        <w:rPr>
          <w:rFonts w:ascii="宋体" w:hAnsi="宋体"/>
          <w:sz w:val="24"/>
          <w:lang w:val="zh-CN"/>
        </w:rPr>
        <w:t>跨，且不应小于</w:t>
      </w:r>
      <w:r>
        <w:rPr>
          <w:rFonts w:eastAsia="Times New Roman" w:hint="eastAsia"/>
          <w:sz w:val="24"/>
        </w:rPr>
        <w:t>6m</w:t>
      </w:r>
      <w:r>
        <w:rPr>
          <w:rFonts w:ascii="宋体" w:hAnsi="宋体"/>
          <w:sz w:val="24"/>
          <w:lang w:val="zh-CN"/>
        </w:rPr>
        <w:t>，斜杆与地面的倾角宜在</w:t>
      </w:r>
      <w:r>
        <w:rPr>
          <w:rFonts w:eastAsia="Times New Roman" w:hint="eastAsia"/>
          <w:sz w:val="24"/>
        </w:rPr>
        <w:t>45°~60°</w:t>
      </w:r>
      <w:r>
        <w:rPr>
          <w:rFonts w:ascii="宋体" w:hAnsi="宋体"/>
          <w:sz w:val="24"/>
          <w:lang w:val="zh-CN"/>
        </w:rPr>
        <w:t>之间。</w:t>
      </w:r>
    </w:p>
    <w:p w:rsidR="00E7704A">
      <w:pPr>
        <w:pStyle w:val="Normal0"/>
        <w:numPr>
          <w:ilvl w:val="0"/>
          <w:numId w:val="14"/>
        </w:numPr>
        <w:spacing w:line="360" w:lineRule="auto"/>
        <w:rPr>
          <w:rFonts w:ascii="宋体" w:hAnsi="宋体"/>
          <w:sz w:val="24"/>
          <w:lang w:val="zh-CN"/>
        </w:rPr>
      </w:pPr>
      <w:r>
        <w:rPr>
          <w:rFonts w:ascii="宋体" w:hAnsi="宋体"/>
          <w:sz w:val="24"/>
          <w:lang w:val="zh-CN"/>
        </w:rPr>
        <w:t>剪刀撑斜杆的接长应采用搭接或对接，采用搭接连接时，搭接长度不小于</w:t>
      </w:r>
      <w:r>
        <w:rPr>
          <w:rFonts w:eastAsia="Times New Roman" w:hint="eastAsia"/>
          <w:sz w:val="24"/>
        </w:rPr>
        <w:t>1m</w:t>
      </w:r>
      <w:r>
        <w:rPr>
          <w:rFonts w:ascii="宋体" w:hAnsi="宋体"/>
          <w:sz w:val="24"/>
          <w:lang w:val="zh-CN"/>
        </w:rPr>
        <w:t>，应采用不少于</w:t>
      </w:r>
      <w:r>
        <w:rPr>
          <w:rFonts w:eastAsia="Times New Roman" w:hint="eastAsia"/>
          <w:sz w:val="24"/>
        </w:rPr>
        <w:t>2</w:t>
      </w:r>
      <w:r>
        <w:rPr>
          <w:rFonts w:ascii="宋体" w:hAnsi="宋体"/>
          <w:sz w:val="24"/>
          <w:lang w:val="zh-CN"/>
        </w:rPr>
        <w:t>个旋转扣件固定，端部扣件盖板的边缘至杆端距离不小于</w:t>
      </w:r>
      <w:r>
        <w:rPr>
          <w:rFonts w:eastAsia="Times New Roman" w:hint="eastAsia"/>
          <w:sz w:val="24"/>
        </w:rPr>
        <w:t>100mm</w:t>
      </w:r>
      <w:r>
        <w:rPr>
          <w:rFonts w:ascii="宋体" w:hAnsi="宋体"/>
          <w:sz w:val="24"/>
          <w:lang w:val="zh-CN"/>
        </w:rPr>
        <w:t>。</w:t>
      </w:r>
    </w:p>
    <w:p w:rsidR="00E7704A">
      <w:pPr>
        <w:pStyle w:val="Normal0"/>
        <w:spacing w:line="360" w:lineRule="auto"/>
        <w:jc w:val="center"/>
        <w:rPr>
          <w:sz w:val="24"/>
        </w:rPr>
      </w:pPr>
      <w:r>
        <w:rPr>
          <w:sz w:val="24"/>
        </w:rPr>
        <w:pict>
          <v:shape id="_x0000_i1035" type="#_x0000_t75" style="width:402.75pt;height:135.75pt">
            <v:imagedata r:id="rId15" o:title=""/>
          </v:shape>
        </w:pict>
      </w:r>
    </w:p>
    <w:p w:rsidR="00E7704A">
      <w:pPr>
        <w:pStyle w:val="Normal0"/>
        <w:spacing w:line="360" w:lineRule="auto"/>
        <w:ind w:firstLine="420"/>
        <w:jc w:val="center"/>
        <w:rPr>
          <w:rFonts w:ascii="宋体" w:hAnsi="宋体"/>
          <w:sz w:val="20"/>
          <w:lang w:val="zh-CN"/>
        </w:rPr>
        <w:sectPr>
          <w:type w:val="nextPage"/>
          <w:pgSz w:w="11906" w:h="16838"/>
          <w:pgMar w:top="1440" w:right="1800" w:bottom="1440" w:left="1800" w:header="851" w:footer="992" w:gutter="0"/>
          <w:pgNumType w:start="15"/>
          <w:cols w:space="425"/>
          <w:titlePg w:val="0"/>
          <w:docGrid w:type="lines" w:linePitch="312"/>
        </w:sectPr>
      </w:pPr>
      <w:r>
        <w:rPr>
          <w:rFonts w:ascii="宋体" w:hAnsi="宋体"/>
          <w:sz w:val="20"/>
          <w:lang w:val="zh-CN"/>
        </w:rPr>
        <w:t>剪刀撑（立杆）搭接构造</w:t>
      </w:r>
    </w:p>
    <w:p w:rsidR="00E7704A">
      <w:pPr>
        <w:pStyle w:val="Normal0"/>
        <w:numPr>
          <w:ilvl w:val="0"/>
          <w:numId w:val="14"/>
        </w:numPr>
        <w:spacing w:line="360" w:lineRule="auto"/>
        <w:rPr>
          <w:rFonts w:ascii="Arial" w:hAnsi="Arial"/>
          <w:b/>
          <w:sz w:val="18"/>
        </w:rPr>
      </w:pPr>
      <w:r>
        <w:rPr>
          <w:rFonts w:ascii="宋体" w:hAnsi="宋体"/>
          <w:sz w:val="24"/>
          <w:lang w:val="zh-CN"/>
        </w:rPr>
        <w:t>剪刀撑斜杆应用旋转扣件固定在与之相交的横向水平杆的伸出端或立杆上，旋转扣件中心线离主节点的距离不宜大于</w:t>
      </w:r>
      <w:r>
        <w:rPr>
          <w:rFonts w:eastAsia="Times New Roman" w:hint="eastAsia"/>
          <w:sz w:val="24"/>
        </w:rPr>
        <w:t>150mm</w:t>
      </w:r>
      <w:r>
        <w:rPr>
          <w:rFonts w:ascii="宋体" w:hAnsi="宋体"/>
          <w:sz w:val="24"/>
          <w:lang w:val="zh-CN"/>
        </w:rPr>
        <w:t>。</w:t>
      </w:r>
    </w:p>
    <w:p w:rsidR="00E7704A">
      <w:pPr>
        <w:pStyle w:val="Normal0"/>
        <w:numPr>
          <w:ilvl w:val="0"/>
          <w:numId w:val="9"/>
        </w:numPr>
        <w:spacing w:line="360" w:lineRule="auto"/>
        <w:jc w:val="left"/>
        <w:rPr>
          <w:rFonts w:ascii="宋体" w:hAnsi="宋体"/>
          <w:sz w:val="24"/>
          <w:lang w:val="zh-CN"/>
        </w:rPr>
      </w:pPr>
      <w:r>
        <w:rPr>
          <w:rFonts w:ascii="宋体" w:hAnsi="宋体"/>
          <w:sz w:val="24"/>
          <w:lang w:val="zh-CN"/>
        </w:rPr>
        <w:t>脚手板、脚手片的铺设要求</w:t>
      </w:r>
    </w:p>
    <w:p w:rsidR="00E7704A">
      <w:pPr>
        <w:pStyle w:val="Normal0"/>
        <w:numPr>
          <w:ilvl w:val="0"/>
          <w:numId w:val="15"/>
        </w:numPr>
        <w:spacing w:line="360" w:lineRule="auto"/>
        <w:rPr>
          <w:rFonts w:ascii="宋体" w:hAnsi="宋体"/>
          <w:sz w:val="24"/>
          <w:lang w:val="zh-CN"/>
        </w:rPr>
      </w:pPr>
      <w:r>
        <w:rPr>
          <w:rFonts w:ascii="宋体" w:hAnsi="宋体"/>
          <w:sz w:val="24"/>
          <w:lang w:val="zh-CN"/>
        </w:rPr>
        <w:t>脚手架里排立杆与结构层之间均应铺设脚手板，内外立杆间应满铺脚手板，无探头板。将脚手板两端与水平杆可靠固定，严防倾翻。</w:t>
      </w:r>
    </w:p>
    <w:p w:rsidR="00E7704A">
      <w:pPr>
        <w:pStyle w:val="Normal0"/>
        <w:numPr>
          <w:ilvl w:val="0"/>
          <w:numId w:val="15"/>
        </w:numPr>
        <w:spacing w:line="360" w:lineRule="auto"/>
        <w:rPr>
          <w:rFonts w:ascii="宋体" w:hAnsi="宋体"/>
          <w:sz w:val="24"/>
          <w:lang w:val="zh-CN"/>
        </w:rPr>
      </w:pPr>
      <w:r>
        <w:rPr>
          <w:rFonts w:ascii="宋体" w:hAnsi="宋体"/>
          <w:sz w:val="24"/>
          <w:lang w:val="zh-CN"/>
        </w:rPr>
        <w:t>满铺层脚手片必须垂直墙面横向铺设，满铺到位，不留空位，不能满铺处必须采取有效的防护措施。</w:t>
      </w:r>
    </w:p>
    <w:p w:rsidR="00E7704A">
      <w:pPr>
        <w:pStyle w:val="Normal0"/>
        <w:numPr>
          <w:ilvl w:val="0"/>
          <w:numId w:val="15"/>
        </w:numPr>
        <w:spacing w:line="360" w:lineRule="auto"/>
        <w:rPr>
          <w:rFonts w:ascii="宋体" w:hAnsi="宋体"/>
          <w:sz w:val="24"/>
          <w:lang w:val="zh-CN"/>
        </w:rPr>
      </w:pPr>
      <w:r>
        <w:rPr>
          <w:rFonts w:ascii="宋体" w:hAnsi="宋体"/>
          <w:sz w:val="24"/>
          <w:lang w:val="zh-CN"/>
        </w:rPr>
        <w:t>脚手片须用</w:t>
      </w:r>
      <w:r>
        <w:rPr>
          <w:rFonts w:eastAsia="Times New Roman" w:hint="eastAsia"/>
          <w:sz w:val="24"/>
        </w:rPr>
        <w:t>12-14#</w:t>
      </w:r>
      <w:r>
        <w:rPr>
          <w:rFonts w:ascii="宋体" w:hAnsi="宋体"/>
          <w:sz w:val="24"/>
          <w:lang w:val="zh-CN"/>
        </w:rPr>
        <w:t>铅丝双股并联绑扎，不少于</w:t>
      </w:r>
      <w:r>
        <w:rPr>
          <w:rFonts w:eastAsia="Times New Roman" w:hint="eastAsia"/>
          <w:sz w:val="24"/>
        </w:rPr>
        <w:t>4</w:t>
      </w:r>
      <w:r>
        <w:rPr>
          <w:rFonts w:ascii="宋体" w:hAnsi="宋体"/>
          <w:sz w:val="24"/>
          <w:lang w:val="zh-CN"/>
        </w:rPr>
        <w:t>点，要求绑扎牢固，交接处平整，铺设时要选用完好无损的脚手片，发现有破损的要及时更换。</w:t>
      </w:r>
    </w:p>
    <w:p w:rsidR="00E7704A">
      <w:pPr>
        <w:pStyle w:val="Normal0"/>
        <w:spacing w:line="360" w:lineRule="auto"/>
        <w:jc w:val="center"/>
        <w:rPr>
          <w:sz w:val="24"/>
        </w:rPr>
      </w:pPr>
      <w:r>
        <w:rPr>
          <w:sz w:val="24"/>
        </w:rPr>
        <w:pict>
          <v:shape id="_x0000_i1036" type="#_x0000_t75" style="width:410.25pt;height:106.5pt">
            <v:imagedata r:id="rId16" o:title=""/>
          </v:shape>
        </w:pict>
      </w:r>
    </w:p>
    <w:p w:rsidR="00E7704A">
      <w:pPr>
        <w:pStyle w:val="Normal0"/>
        <w:spacing w:line="360" w:lineRule="auto"/>
        <w:ind w:firstLine="420"/>
        <w:jc w:val="center"/>
        <w:rPr>
          <w:rFonts w:ascii="宋体" w:hAnsi="宋体"/>
          <w:sz w:val="20"/>
          <w:lang w:val="zh-CN"/>
        </w:rPr>
      </w:pPr>
      <w:r>
        <w:rPr>
          <w:rFonts w:ascii="宋体" w:hAnsi="宋体"/>
          <w:sz w:val="20"/>
          <w:lang w:val="zh-CN"/>
        </w:rPr>
        <w:t>脚手板对接</w:t>
      </w:r>
      <w:r>
        <w:rPr>
          <w:rFonts w:eastAsia="Times New Roman" w:hint="eastAsia"/>
          <w:sz w:val="20"/>
        </w:rPr>
        <w:t xml:space="preserve">                                                                                         </w:t>
      </w:r>
      <w:r>
        <w:rPr>
          <w:rFonts w:ascii="宋体" w:hAnsi="宋体"/>
          <w:sz w:val="20"/>
          <w:lang w:val="zh-CN"/>
        </w:rPr>
        <w:t>脚手板搭接</w:t>
      </w:r>
    </w:p>
    <w:p w:rsidR="00E7704A">
      <w:pPr>
        <w:pStyle w:val="Normal0"/>
        <w:spacing w:line="360" w:lineRule="auto"/>
        <w:ind w:firstLine="420"/>
        <w:jc w:val="center"/>
        <w:rPr>
          <w:rFonts w:ascii="宋体" w:hAnsi="宋体"/>
          <w:sz w:val="20"/>
          <w:lang w:val="zh-CN"/>
        </w:rPr>
      </w:pPr>
      <w:r>
        <w:rPr>
          <w:rFonts w:ascii="宋体" w:hAnsi="宋体"/>
          <w:sz w:val="20"/>
          <w:lang w:val="zh-CN"/>
        </w:rPr>
        <w:t>脚手板对接、搭接构造</w:t>
      </w:r>
    </w:p>
    <w:p w:rsidR="00E7704A">
      <w:pPr>
        <w:pStyle w:val="Normal0"/>
        <w:numPr>
          <w:ilvl w:val="0"/>
          <w:numId w:val="15"/>
        </w:numPr>
        <w:spacing w:line="360" w:lineRule="auto"/>
        <w:rPr>
          <w:rFonts w:ascii="宋体" w:hAnsi="宋体"/>
          <w:sz w:val="24"/>
          <w:lang w:val="zh-CN"/>
        </w:rPr>
      </w:pPr>
      <w:r>
        <w:rPr>
          <w:rFonts w:ascii="宋体" w:hAnsi="宋体"/>
          <w:sz w:val="24"/>
          <w:lang w:val="zh-CN"/>
        </w:rPr>
        <w:t>在拐角、斜道平台口处的脚手板，应与横向水平杆可靠连接，防止滑动；</w:t>
      </w:r>
    </w:p>
    <w:p w:rsidR="00E7704A">
      <w:pPr>
        <w:pStyle w:val="Normal0"/>
        <w:numPr>
          <w:ilvl w:val="0"/>
          <w:numId w:val="9"/>
        </w:numPr>
        <w:spacing w:line="360" w:lineRule="auto"/>
        <w:jc w:val="left"/>
        <w:rPr>
          <w:rFonts w:ascii="宋体" w:hAnsi="宋体"/>
          <w:sz w:val="24"/>
          <w:lang w:val="zh-CN"/>
        </w:rPr>
      </w:pPr>
      <w:r>
        <w:rPr>
          <w:rFonts w:ascii="宋体" w:hAnsi="宋体"/>
          <w:sz w:val="24"/>
          <w:lang w:val="zh-CN"/>
        </w:rPr>
        <w:t>防护栏杆</w:t>
      </w:r>
    </w:p>
    <w:p w:rsidR="00E7704A">
      <w:pPr>
        <w:pStyle w:val="Normal0"/>
        <w:numPr>
          <w:ilvl w:val="0"/>
          <w:numId w:val="15"/>
        </w:numPr>
        <w:spacing w:line="360" w:lineRule="auto"/>
        <w:rPr>
          <w:rFonts w:ascii="宋体" w:hAnsi="宋体"/>
          <w:sz w:val="24"/>
          <w:lang w:val="zh-CN"/>
        </w:rPr>
      </w:pPr>
      <w:r>
        <w:rPr>
          <w:rFonts w:ascii="宋体" w:hAnsi="宋体"/>
          <w:sz w:val="24"/>
          <w:lang w:val="zh-CN"/>
        </w:rPr>
        <w:t>脚手架外侧使用建设主管部门认证的合格绿色密目式安全网封闭，且将安全网固定在脚手架外立杆内侧。</w:t>
      </w:r>
    </w:p>
    <w:p w:rsidR="00E7704A">
      <w:pPr>
        <w:pStyle w:val="Normal0"/>
        <w:numPr>
          <w:ilvl w:val="0"/>
          <w:numId w:val="15"/>
        </w:numPr>
        <w:spacing w:line="360" w:lineRule="auto"/>
        <w:rPr>
          <w:rFonts w:ascii="宋体" w:hAnsi="宋体"/>
          <w:sz w:val="24"/>
          <w:lang w:val="zh-CN"/>
        </w:rPr>
      </w:pPr>
      <w:r>
        <w:rPr>
          <w:rFonts w:ascii="宋体" w:hAnsi="宋体"/>
          <w:sz w:val="24"/>
          <w:lang w:val="zh-CN"/>
        </w:rPr>
        <w:t>选用</w:t>
      </w:r>
      <w:r>
        <w:rPr>
          <w:rFonts w:eastAsia="Times New Roman" w:hint="eastAsia"/>
          <w:sz w:val="24"/>
        </w:rPr>
        <w:t>18#</w:t>
      </w:r>
      <w:r>
        <w:rPr>
          <w:rFonts w:ascii="宋体" w:hAnsi="宋体"/>
          <w:sz w:val="24"/>
          <w:lang w:val="zh-CN"/>
        </w:rPr>
        <w:t>铅丝张挂安全网，要求严密、平整。</w:t>
      </w:r>
    </w:p>
    <w:p w:rsidR="00E7704A">
      <w:pPr>
        <w:pStyle w:val="Normal0"/>
        <w:numPr>
          <w:ilvl w:val="0"/>
          <w:numId w:val="15"/>
        </w:numPr>
        <w:spacing w:line="360" w:lineRule="auto"/>
        <w:rPr>
          <w:rFonts w:eastAsia="Times New Roman"/>
          <w:sz w:val="24"/>
        </w:rPr>
      </w:pPr>
      <w:r>
        <w:rPr>
          <w:rFonts w:ascii="宋体" w:hAnsi="宋体"/>
          <w:sz w:val="24"/>
          <w:lang w:val="zh-CN"/>
        </w:rPr>
        <w:t>脚手架外侧施工作业层必须在</w:t>
      </w:r>
      <w:r>
        <w:rPr>
          <w:rFonts w:eastAsia="Times New Roman" w:hint="eastAsia"/>
          <w:sz w:val="24"/>
        </w:rPr>
        <w:t>0.6m</w:t>
      </w:r>
      <w:r>
        <w:rPr>
          <w:rFonts w:ascii="宋体" w:hAnsi="宋体"/>
          <w:sz w:val="24"/>
          <w:lang w:val="zh-CN"/>
        </w:rPr>
        <w:t>、</w:t>
      </w:r>
      <w:r>
        <w:rPr>
          <w:rFonts w:eastAsia="Times New Roman" w:hint="eastAsia"/>
          <w:sz w:val="24"/>
        </w:rPr>
        <w:t>1.2m</w:t>
      </w:r>
      <w:r>
        <w:rPr>
          <w:rFonts w:ascii="宋体" w:hAnsi="宋体"/>
          <w:sz w:val="24"/>
          <w:lang w:val="zh-CN"/>
        </w:rPr>
        <w:t>高位置设置</w:t>
      </w:r>
      <w:r>
        <w:rPr>
          <w:rFonts w:eastAsia="Times New Roman" w:hint="eastAsia"/>
          <w:sz w:val="24"/>
        </w:rPr>
        <w:t>2</w:t>
      </w:r>
      <w:r>
        <w:rPr>
          <w:rFonts w:ascii="宋体" w:hAnsi="宋体"/>
          <w:sz w:val="24"/>
          <w:lang w:val="zh-CN"/>
        </w:rPr>
        <w:t>道防护栏杆和</w:t>
      </w:r>
      <w:r>
        <w:rPr>
          <w:rFonts w:eastAsia="Times New Roman" w:hint="eastAsia"/>
          <w:sz w:val="24"/>
        </w:rPr>
        <w:t>18cm</w:t>
      </w:r>
      <w:r>
        <w:rPr>
          <w:rFonts w:ascii="宋体" w:hAnsi="宋体"/>
          <w:sz w:val="24"/>
          <w:lang w:val="zh-CN"/>
        </w:rPr>
        <w:t>高挡脚板，</w:t>
      </w:r>
      <w:r>
        <w:rPr>
          <w:rFonts w:ascii="宋体" w:hAnsi="宋体"/>
          <w:sz w:val="24"/>
          <w:lang w:val="zh-CN"/>
        </w:rPr>
        <w:t>栏杆和挡脚板均应搭设在外立杆的内侧。</w:t>
      </w:r>
      <w:r>
        <w:rPr>
          <w:rFonts w:eastAsia="Times New Roman" w:hint="eastAsia"/>
          <w:sz w:val="24"/>
        </w:rPr>
        <w:t xml:space="preserve"> </w:t>
      </w:r>
    </w:p>
    <w:p w:rsidR="00E7704A">
      <w:pPr>
        <w:pStyle w:val="Normal0"/>
        <w:numPr>
          <w:ilvl w:val="0"/>
          <w:numId w:val="15"/>
        </w:numPr>
        <w:spacing w:line="360" w:lineRule="auto"/>
        <w:rPr>
          <w:rFonts w:ascii="宋体" w:hAnsi="宋体"/>
          <w:sz w:val="24"/>
          <w:lang w:val="zh-CN"/>
        </w:rPr>
      </w:pPr>
      <w:r>
        <w:rPr>
          <w:rFonts w:ascii="宋体" w:hAnsi="宋体"/>
          <w:sz w:val="24"/>
          <w:lang w:val="zh-CN"/>
        </w:rPr>
        <w:t>脚手架内侧形成临边的</w:t>
      </w:r>
      <w:r>
        <w:rPr>
          <w:rFonts w:eastAsia="Times New Roman" w:hint="eastAsia"/>
          <w:sz w:val="24"/>
        </w:rPr>
        <w:t>(</w:t>
      </w:r>
      <w:r>
        <w:rPr>
          <w:rFonts w:ascii="宋体" w:hAnsi="宋体"/>
          <w:sz w:val="24"/>
          <w:lang w:val="zh-CN"/>
        </w:rPr>
        <w:t>如遇大开间门窗洞等</w:t>
      </w:r>
      <w:r>
        <w:rPr>
          <w:rFonts w:eastAsia="Times New Roman" w:hint="eastAsia"/>
          <w:sz w:val="24"/>
        </w:rPr>
        <w:t>)</w:t>
      </w:r>
      <w:r>
        <w:rPr>
          <w:rFonts w:ascii="宋体" w:hAnsi="宋体"/>
          <w:sz w:val="24"/>
          <w:lang w:val="zh-CN"/>
        </w:rPr>
        <w:t>，在脚手架内侧在</w:t>
      </w:r>
      <w:r>
        <w:rPr>
          <w:rFonts w:eastAsia="Times New Roman" w:hint="eastAsia"/>
          <w:sz w:val="24"/>
        </w:rPr>
        <w:t>0.6m</w:t>
      </w:r>
      <w:r>
        <w:rPr>
          <w:rFonts w:ascii="宋体" w:hAnsi="宋体"/>
          <w:sz w:val="24"/>
          <w:lang w:val="zh-CN"/>
        </w:rPr>
        <w:t>、</w:t>
      </w:r>
      <w:r>
        <w:rPr>
          <w:rFonts w:eastAsia="Times New Roman" w:hint="eastAsia"/>
          <w:sz w:val="24"/>
        </w:rPr>
        <w:t>1.2m</w:t>
      </w:r>
      <w:r>
        <w:rPr>
          <w:rFonts w:ascii="宋体" w:hAnsi="宋体"/>
          <w:sz w:val="24"/>
          <w:lang w:val="zh-CN"/>
        </w:rPr>
        <w:t>高位置设置</w:t>
      </w:r>
      <w:r>
        <w:rPr>
          <w:rFonts w:eastAsia="Times New Roman" w:hint="eastAsia"/>
          <w:sz w:val="24"/>
        </w:rPr>
        <w:t>2</w:t>
      </w:r>
      <w:r>
        <w:rPr>
          <w:rFonts w:ascii="宋体" w:hAnsi="宋体"/>
          <w:sz w:val="24"/>
          <w:lang w:val="zh-CN"/>
        </w:rPr>
        <w:t>道防护栏杆和</w:t>
      </w:r>
      <w:r>
        <w:rPr>
          <w:rFonts w:eastAsia="Times New Roman" w:hint="eastAsia"/>
          <w:sz w:val="24"/>
        </w:rPr>
        <w:t>18cm</w:t>
      </w:r>
      <w:r>
        <w:rPr>
          <w:rFonts w:ascii="宋体" w:hAnsi="宋体"/>
          <w:sz w:val="24"/>
          <w:lang w:val="zh-CN"/>
        </w:rPr>
        <w:t>高挡脚板。</w:t>
      </w:r>
    </w:p>
    <w:p w:rsidR="00E7704A">
      <w:pPr>
        <w:pStyle w:val="Normal0"/>
        <w:jc w:val="left"/>
        <w:rPr>
          <w:rFonts w:ascii="Arial" w:hAnsi="Arial"/>
          <w:b/>
          <w:i/>
          <w:color w:val="0000FF"/>
          <w:sz w:val="18"/>
        </w:rPr>
      </w:pPr>
    </w:p>
    <w:p w:rsidR="00E7704A">
      <w:pPr>
        <w:pStyle w:val="Normal0"/>
        <w:numPr>
          <w:ilvl w:val="0"/>
          <w:numId w:val="9"/>
        </w:numPr>
        <w:spacing w:line="360" w:lineRule="auto"/>
        <w:jc w:val="left"/>
        <w:rPr>
          <w:rFonts w:ascii="宋体" w:hAnsi="宋体"/>
          <w:sz w:val="24"/>
          <w:lang w:val="zh-CN"/>
        </w:rPr>
      </w:pPr>
      <w:r>
        <w:rPr>
          <w:rFonts w:ascii="宋体" w:hAnsi="宋体"/>
          <w:sz w:val="24"/>
          <w:lang w:val="zh-CN"/>
        </w:rPr>
        <w:t>门洞</w:t>
      </w:r>
    </w:p>
    <w:p w:rsidR="00E7704A">
      <w:pPr>
        <w:pStyle w:val="Normal0"/>
        <w:numPr>
          <w:ilvl w:val="0"/>
          <w:numId w:val="16"/>
        </w:numPr>
        <w:spacing w:line="360" w:lineRule="auto"/>
        <w:jc w:val="left"/>
        <w:rPr>
          <w:rFonts w:ascii="宋体" w:hAnsi="宋体"/>
          <w:sz w:val="24"/>
          <w:lang w:val="zh-CN"/>
        </w:rPr>
        <w:sectPr>
          <w:type w:val="nextPage"/>
          <w:pgSz w:w="11906" w:h="16838"/>
          <w:pgMar w:top="1440" w:right="1800" w:bottom="1440" w:left="1800" w:header="851" w:footer="992" w:gutter="0"/>
          <w:pgNumType w:start="16"/>
          <w:cols w:space="425"/>
          <w:titlePg w:val="0"/>
          <w:docGrid w:type="lines" w:linePitch="312"/>
        </w:sectPr>
      </w:pPr>
      <w:r>
        <w:rPr>
          <w:rFonts w:ascii="宋体" w:hAnsi="宋体"/>
          <w:sz w:val="24"/>
          <w:lang w:val="zh-CN"/>
        </w:rPr>
        <w:t>单、双排脚手架门洞宜采用上升斜杆、平行弦杆桁架结构型式</w:t>
      </w:r>
      <w:r>
        <w:rPr>
          <w:rFonts w:ascii="宋体" w:hAnsi="宋体"/>
          <w:sz w:val="24"/>
          <w:lang w:val="zh-CN"/>
        </w:rPr>
        <w:t>(</w:t>
      </w:r>
      <w:r>
        <w:rPr>
          <w:rFonts w:ascii="宋体" w:hAnsi="宋体"/>
          <w:sz w:val="24"/>
          <w:lang w:val="zh-CN"/>
        </w:rPr>
        <w:t>见下图</w:t>
      </w:r>
      <w:r>
        <w:rPr>
          <w:rFonts w:ascii="宋体" w:hAnsi="宋体"/>
          <w:sz w:val="24"/>
          <w:lang w:val="zh-CN"/>
        </w:rPr>
        <w:t>)</w:t>
      </w:r>
      <w:r>
        <w:rPr>
          <w:rFonts w:ascii="宋体" w:hAnsi="宋体"/>
          <w:sz w:val="24"/>
          <w:lang w:val="zh-CN"/>
        </w:rPr>
        <w:t>，斜杆与地面的倾角</w:t>
      </w:r>
      <w:r>
        <w:rPr>
          <w:rFonts w:ascii="宋体" w:hAnsi="宋体"/>
          <w:sz w:val="24"/>
          <w:lang w:val="zh-CN"/>
        </w:rPr>
        <w:t>α</w:t>
      </w:r>
      <w:r>
        <w:rPr>
          <w:rFonts w:ascii="宋体" w:hAnsi="宋体"/>
          <w:sz w:val="24"/>
          <w:lang w:val="zh-CN"/>
        </w:rPr>
        <w:t>应在</w:t>
      </w:r>
      <w:r>
        <w:rPr>
          <w:rFonts w:ascii="宋体" w:hAnsi="宋体"/>
          <w:sz w:val="24"/>
          <w:lang w:val="zh-CN"/>
        </w:rPr>
        <w:t>45°~60°</w:t>
      </w:r>
      <w:r>
        <w:rPr>
          <w:rFonts w:ascii="宋体" w:hAnsi="宋体"/>
          <w:sz w:val="24"/>
          <w:lang w:val="zh-CN"/>
        </w:rPr>
        <w:t>之间。门洞桁架的型式宜按下列要求确定：</w:t>
      </w:r>
    </w:p>
    <w:p w:rsidR="00E7704A">
      <w:pPr>
        <w:pStyle w:val="Normal0"/>
        <w:numPr>
          <w:ilvl w:val="0"/>
          <w:numId w:val="17"/>
        </w:numPr>
        <w:spacing w:line="360" w:lineRule="auto"/>
        <w:jc w:val="left"/>
        <w:rPr>
          <w:rFonts w:ascii="宋体" w:hAnsi="宋体"/>
          <w:sz w:val="24"/>
          <w:lang w:val="zh-CN"/>
        </w:rPr>
      </w:pPr>
      <w:r>
        <w:rPr>
          <w:rFonts w:ascii="宋体" w:hAnsi="宋体"/>
          <w:sz w:val="24"/>
          <w:lang w:val="zh-CN"/>
        </w:rPr>
        <w:t>当步距</w:t>
      </w:r>
      <w:r>
        <w:rPr>
          <w:rFonts w:ascii="宋体" w:hAnsi="宋体"/>
          <w:sz w:val="24"/>
          <w:lang w:val="zh-CN"/>
        </w:rPr>
        <w:t>(h)</w:t>
      </w:r>
      <w:r>
        <w:rPr>
          <w:rFonts w:ascii="宋体" w:hAnsi="宋体"/>
          <w:sz w:val="24"/>
          <w:lang w:val="zh-CN"/>
        </w:rPr>
        <w:t>小于纵距</w:t>
      </w:r>
      <w:r>
        <w:rPr>
          <w:rFonts w:ascii="宋体" w:hAnsi="宋体"/>
          <w:sz w:val="24"/>
          <w:lang w:val="zh-CN"/>
        </w:rPr>
        <w:t>(l</w:t>
      </w:r>
      <w:r>
        <w:rPr>
          <w:rFonts w:ascii="宋体" w:hAnsi="宋体"/>
          <w:sz w:val="24"/>
          <w:vertAlign w:val="subscript"/>
          <w:lang w:val="zh-CN"/>
        </w:rPr>
        <w:t>a</w:t>
      </w:r>
      <w:r>
        <w:rPr>
          <w:rFonts w:ascii="宋体" w:hAnsi="宋体"/>
          <w:sz w:val="24"/>
          <w:lang w:val="zh-CN"/>
        </w:rPr>
        <w:t>)</w:t>
      </w:r>
      <w:r>
        <w:rPr>
          <w:rFonts w:ascii="宋体" w:hAnsi="宋体"/>
          <w:sz w:val="24"/>
          <w:lang w:val="zh-CN"/>
        </w:rPr>
        <w:t>时，应采用</w:t>
      </w:r>
      <w:r>
        <w:rPr>
          <w:rFonts w:ascii="宋体" w:hAnsi="宋体"/>
          <w:sz w:val="24"/>
          <w:lang w:val="zh-CN"/>
        </w:rPr>
        <w:t>A</w:t>
      </w:r>
      <w:r>
        <w:rPr>
          <w:rFonts w:ascii="宋体" w:hAnsi="宋体"/>
          <w:sz w:val="24"/>
          <w:lang w:val="zh-CN"/>
        </w:rPr>
        <w:t>型；</w:t>
      </w:r>
    </w:p>
    <w:p w:rsidR="00E7704A">
      <w:pPr>
        <w:pStyle w:val="Normal0"/>
        <w:numPr>
          <w:ilvl w:val="0"/>
          <w:numId w:val="17"/>
        </w:numPr>
        <w:spacing w:line="360" w:lineRule="auto"/>
        <w:jc w:val="left"/>
        <w:rPr>
          <w:rFonts w:ascii="宋体" w:hAnsi="宋体"/>
          <w:sz w:val="24"/>
          <w:lang w:val="zh-CN"/>
        </w:rPr>
      </w:pPr>
      <w:r>
        <w:rPr>
          <w:rFonts w:ascii="宋体" w:hAnsi="宋体"/>
          <w:sz w:val="24"/>
          <w:lang w:val="zh-CN"/>
        </w:rPr>
        <w:t>当步距</w:t>
      </w:r>
      <w:r>
        <w:rPr>
          <w:rFonts w:ascii="宋体" w:hAnsi="宋体"/>
          <w:sz w:val="24"/>
          <w:lang w:val="zh-CN"/>
        </w:rPr>
        <w:t>(h)</w:t>
      </w:r>
      <w:r>
        <w:rPr>
          <w:rFonts w:ascii="宋体" w:hAnsi="宋体"/>
          <w:sz w:val="24"/>
          <w:lang w:val="zh-CN"/>
        </w:rPr>
        <w:t>大于纵距</w:t>
      </w:r>
      <w:r>
        <w:rPr>
          <w:rFonts w:ascii="宋体" w:hAnsi="宋体"/>
          <w:sz w:val="24"/>
          <w:lang w:val="zh-CN"/>
        </w:rPr>
        <w:t>(l</w:t>
      </w:r>
      <w:r>
        <w:rPr>
          <w:rFonts w:ascii="宋体" w:hAnsi="宋体"/>
          <w:sz w:val="24"/>
          <w:vertAlign w:val="subscript"/>
          <w:lang w:val="zh-CN"/>
        </w:rPr>
        <w:t>a</w:t>
      </w:r>
      <w:r>
        <w:rPr>
          <w:rFonts w:ascii="宋体" w:hAnsi="宋体"/>
          <w:sz w:val="24"/>
          <w:lang w:val="zh-CN"/>
        </w:rPr>
        <w:t>)</w:t>
      </w:r>
      <w:r>
        <w:rPr>
          <w:rFonts w:ascii="宋体" w:hAnsi="宋体"/>
          <w:sz w:val="24"/>
          <w:lang w:val="zh-CN"/>
        </w:rPr>
        <w:t>时，应采用</w:t>
      </w:r>
      <w:r>
        <w:rPr>
          <w:rFonts w:ascii="宋体" w:hAnsi="宋体"/>
          <w:sz w:val="24"/>
          <w:lang w:val="zh-CN"/>
        </w:rPr>
        <w:t>B</w:t>
      </w:r>
      <w:r>
        <w:rPr>
          <w:rFonts w:ascii="宋体" w:hAnsi="宋体"/>
          <w:sz w:val="24"/>
          <w:lang w:val="zh-CN"/>
        </w:rPr>
        <w:t>型，并应符合下列规定：</w:t>
      </w:r>
    </w:p>
    <w:p w:rsidR="00E7704A">
      <w:pPr>
        <w:pStyle w:val="Normal0"/>
        <w:spacing w:line="360" w:lineRule="auto"/>
        <w:ind w:firstLine="180"/>
        <w:jc w:val="left"/>
        <w:rPr>
          <w:rFonts w:ascii="宋体" w:hAnsi="宋体"/>
          <w:sz w:val="24"/>
          <w:lang w:val="zh-CN"/>
        </w:rPr>
      </w:pPr>
      <w:r>
        <w:rPr>
          <w:rFonts w:ascii="宋体" w:hAnsi="宋体"/>
          <w:sz w:val="24"/>
          <w:lang w:val="zh-CN"/>
        </w:rPr>
        <w:t xml:space="preserve">    </w:t>
      </w:r>
      <w:r>
        <w:rPr>
          <w:rFonts w:ascii="宋体" w:hAnsi="宋体"/>
          <w:sz w:val="24"/>
          <w:lang w:val="zh-CN"/>
        </w:rPr>
        <w:t>当</w:t>
      </w:r>
      <w:r>
        <w:rPr>
          <w:rFonts w:ascii="宋体" w:hAnsi="宋体"/>
          <w:sz w:val="24"/>
          <w:lang w:val="zh-CN"/>
        </w:rPr>
        <w:t>h=1.8m</w:t>
      </w:r>
      <w:r>
        <w:rPr>
          <w:rFonts w:ascii="宋体" w:hAnsi="宋体"/>
          <w:sz w:val="24"/>
          <w:lang w:val="zh-CN"/>
        </w:rPr>
        <w:t>时，纵距不应大于</w:t>
      </w:r>
      <w:r>
        <w:rPr>
          <w:rFonts w:ascii="宋体" w:hAnsi="宋体"/>
          <w:sz w:val="24"/>
          <w:lang w:val="zh-CN"/>
        </w:rPr>
        <w:t>1.5m</w:t>
      </w:r>
      <w:r>
        <w:rPr>
          <w:rFonts w:ascii="宋体" w:hAnsi="宋体"/>
          <w:sz w:val="24"/>
          <w:lang w:val="zh-CN"/>
        </w:rPr>
        <w:t>；当</w:t>
      </w:r>
      <w:r>
        <w:rPr>
          <w:rFonts w:ascii="宋体" w:hAnsi="宋体"/>
          <w:sz w:val="24"/>
          <w:lang w:val="zh-CN"/>
        </w:rPr>
        <w:t>h=2.0m</w:t>
      </w:r>
      <w:r>
        <w:rPr>
          <w:rFonts w:ascii="宋体" w:hAnsi="宋体"/>
          <w:sz w:val="24"/>
          <w:lang w:val="zh-CN"/>
        </w:rPr>
        <w:t>时，纵距不应大于</w:t>
      </w:r>
      <w:r>
        <w:rPr>
          <w:rFonts w:ascii="宋体" w:hAnsi="宋体"/>
          <w:sz w:val="24"/>
          <w:lang w:val="zh-CN"/>
        </w:rPr>
        <w:t>1.2m</w:t>
      </w:r>
      <w:r>
        <w:rPr>
          <w:rFonts w:ascii="宋体" w:hAnsi="宋体"/>
          <w:sz w:val="24"/>
          <w:lang w:val="zh-CN"/>
        </w:rPr>
        <w:t>。</w:t>
      </w:r>
    </w:p>
    <w:p w:rsidR="00E7704A">
      <w:pPr>
        <w:pStyle w:val="Normal0"/>
        <w:numPr>
          <w:ilvl w:val="0"/>
          <w:numId w:val="16"/>
        </w:numPr>
        <w:spacing w:line="360" w:lineRule="auto"/>
        <w:jc w:val="left"/>
        <w:rPr>
          <w:rFonts w:ascii="宋体" w:hAnsi="宋体"/>
          <w:sz w:val="24"/>
          <w:lang w:val="zh-CN"/>
        </w:rPr>
      </w:pPr>
      <w:r>
        <w:rPr>
          <w:rFonts w:ascii="宋体" w:hAnsi="宋体"/>
          <w:sz w:val="24"/>
          <w:lang w:val="zh-CN"/>
        </w:rPr>
        <w:t>单、双排脚手架门洞桁架的构造应符合下列规定：</w:t>
      </w:r>
    </w:p>
    <w:p w:rsidR="00E7704A">
      <w:pPr>
        <w:pStyle w:val="Normal0"/>
        <w:numPr>
          <w:ilvl w:val="0"/>
          <w:numId w:val="17"/>
        </w:numPr>
        <w:spacing w:line="360" w:lineRule="auto"/>
        <w:jc w:val="left"/>
        <w:rPr>
          <w:rFonts w:ascii="宋体" w:hAnsi="宋体"/>
          <w:sz w:val="24"/>
          <w:lang w:val="zh-CN"/>
        </w:rPr>
      </w:pPr>
      <w:r>
        <w:rPr>
          <w:rFonts w:ascii="宋体" w:hAnsi="宋体"/>
          <w:sz w:val="24"/>
          <w:lang w:val="zh-CN"/>
        </w:rPr>
        <w:t>单排脚手架门洞处，应在平面桁架</w:t>
      </w:r>
      <w:r>
        <w:rPr>
          <w:rFonts w:ascii="宋体" w:hAnsi="宋体"/>
          <w:sz w:val="24"/>
          <w:lang w:val="zh-CN"/>
        </w:rPr>
        <w:t>(</w:t>
      </w:r>
      <w:r>
        <w:rPr>
          <w:rFonts w:ascii="宋体" w:hAnsi="宋体"/>
          <w:sz w:val="24"/>
          <w:lang w:val="zh-CN"/>
        </w:rPr>
        <w:t>见下图中</w:t>
      </w:r>
      <w:r>
        <w:rPr>
          <w:rFonts w:ascii="宋体" w:hAnsi="宋体"/>
          <w:sz w:val="24"/>
          <w:lang w:val="zh-CN"/>
        </w:rPr>
        <w:t>ABCD)</w:t>
      </w:r>
      <w:r>
        <w:rPr>
          <w:rFonts w:ascii="宋体" w:hAnsi="宋体"/>
          <w:sz w:val="24"/>
          <w:lang w:val="zh-CN"/>
        </w:rPr>
        <w:t>的每一节间设置一根斜腹杆；双排脚手架门洞处的空间桁架，除下弦平面外，应在其余</w:t>
      </w:r>
      <w:r>
        <w:rPr>
          <w:rFonts w:ascii="宋体" w:hAnsi="宋体"/>
          <w:sz w:val="24"/>
          <w:lang w:val="zh-CN"/>
        </w:rPr>
        <w:t>5</w:t>
      </w:r>
      <w:r>
        <w:rPr>
          <w:rFonts w:ascii="宋体" w:hAnsi="宋体"/>
          <w:sz w:val="24"/>
          <w:lang w:val="zh-CN"/>
        </w:rPr>
        <w:t>个平面内的图示节间设置一根斜腹杆</w:t>
      </w:r>
      <w:r>
        <w:rPr>
          <w:rFonts w:ascii="宋体" w:hAnsi="宋体"/>
          <w:sz w:val="24"/>
          <w:lang w:val="zh-CN"/>
        </w:rPr>
        <w:t>(</w:t>
      </w:r>
      <w:r>
        <w:rPr>
          <w:rFonts w:ascii="宋体" w:hAnsi="宋体"/>
          <w:sz w:val="24"/>
          <w:lang w:val="zh-CN"/>
        </w:rPr>
        <w:t>见下图中</w:t>
      </w:r>
      <w:r>
        <w:rPr>
          <w:rFonts w:ascii="宋体" w:hAnsi="宋体"/>
          <w:sz w:val="24"/>
          <w:lang w:val="zh-CN"/>
        </w:rPr>
        <w:t>1</w:t>
      </w:r>
      <w:r>
        <w:rPr>
          <w:rFonts w:ascii="宋体" w:hAnsi="宋体"/>
          <w:sz w:val="24"/>
          <w:lang w:val="zh-CN"/>
        </w:rPr>
        <w:t>－</w:t>
      </w:r>
      <w:r>
        <w:rPr>
          <w:rFonts w:ascii="宋体" w:hAnsi="宋体"/>
          <w:sz w:val="24"/>
          <w:lang w:val="zh-CN"/>
        </w:rPr>
        <w:t>1</w:t>
      </w:r>
      <w:r>
        <w:rPr>
          <w:rFonts w:ascii="宋体" w:hAnsi="宋体"/>
          <w:sz w:val="24"/>
          <w:lang w:val="zh-CN"/>
        </w:rPr>
        <w:t>、</w:t>
      </w:r>
      <w:r>
        <w:rPr>
          <w:rFonts w:ascii="宋体" w:hAnsi="宋体"/>
          <w:sz w:val="24"/>
          <w:lang w:val="zh-CN"/>
        </w:rPr>
        <w:t>2</w:t>
      </w:r>
      <w:r>
        <w:rPr>
          <w:rFonts w:ascii="宋体" w:hAnsi="宋体"/>
          <w:sz w:val="24"/>
          <w:lang w:val="zh-CN"/>
        </w:rPr>
        <w:t>－</w:t>
      </w:r>
      <w:r>
        <w:rPr>
          <w:rFonts w:ascii="宋体" w:hAnsi="宋体"/>
          <w:sz w:val="24"/>
          <w:lang w:val="zh-CN"/>
        </w:rPr>
        <w:t>2</w:t>
      </w:r>
      <w:r>
        <w:rPr>
          <w:rFonts w:ascii="宋体" w:hAnsi="宋体"/>
          <w:sz w:val="24"/>
          <w:lang w:val="zh-CN"/>
        </w:rPr>
        <w:t>、</w:t>
      </w:r>
      <w:r>
        <w:rPr>
          <w:rFonts w:ascii="宋体" w:hAnsi="宋体"/>
          <w:sz w:val="24"/>
          <w:lang w:val="zh-CN"/>
        </w:rPr>
        <w:t>3</w:t>
      </w:r>
      <w:r>
        <w:rPr>
          <w:rFonts w:ascii="宋体" w:hAnsi="宋体"/>
          <w:sz w:val="24"/>
          <w:lang w:val="zh-CN"/>
        </w:rPr>
        <w:t>－</w:t>
      </w:r>
      <w:r>
        <w:rPr>
          <w:rFonts w:ascii="宋体" w:hAnsi="宋体"/>
          <w:sz w:val="24"/>
          <w:lang w:val="zh-CN"/>
        </w:rPr>
        <w:t>3</w:t>
      </w:r>
      <w:r>
        <w:rPr>
          <w:rFonts w:ascii="宋体" w:hAnsi="宋体"/>
          <w:sz w:val="24"/>
          <w:lang w:val="zh-CN"/>
        </w:rPr>
        <w:t>剖面</w:t>
      </w:r>
      <w:r>
        <w:rPr>
          <w:rFonts w:ascii="宋体" w:hAnsi="宋体"/>
          <w:sz w:val="24"/>
          <w:lang w:val="zh-CN"/>
        </w:rPr>
        <w:t>)</w:t>
      </w:r>
    </w:p>
    <w:p w:rsidR="00E7704A">
      <w:pPr>
        <w:pStyle w:val="Normal0"/>
        <w:numPr>
          <w:ilvl w:val="0"/>
          <w:numId w:val="17"/>
        </w:numPr>
        <w:spacing w:line="360" w:lineRule="auto"/>
        <w:jc w:val="left"/>
        <w:rPr>
          <w:rFonts w:ascii="宋体" w:hAnsi="宋体"/>
          <w:sz w:val="24"/>
          <w:lang w:val="zh-CN"/>
        </w:rPr>
      </w:pPr>
      <w:r>
        <w:rPr>
          <w:rFonts w:ascii="宋体" w:hAnsi="宋体"/>
          <w:sz w:val="24"/>
          <w:lang w:val="zh-CN"/>
        </w:rPr>
        <w:t>斜腹杆宜采用旋转扣件固定在与之相交的横向水平杆的伸出端上，旋转扣件中心线至主节点的距离不宜大于</w:t>
      </w:r>
      <w:r>
        <w:rPr>
          <w:rFonts w:ascii="宋体" w:hAnsi="宋体"/>
          <w:sz w:val="24"/>
          <w:lang w:val="zh-CN"/>
        </w:rPr>
        <w:t>150mm</w:t>
      </w:r>
      <w:r>
        <w:rPr>
          <w:rFonts w:ascii="宋体" w:hAnsi="宋体"/>
          <w:sz w:val="24"/>
          <w:lang w:val="zh-CN"/>
        </w:rPr>
        <w:t>。当斜腹杆在</w:t>
      </w:r>
      <w:r>
        <w:rPr>
          <w:rFonts w:ascii="宋体" w:hAnsi="宋体"/>
          <w:sz w:val="24"/>
          <w:lang w:val="zh-CN"/>
        </w:rPr>
        <w:t>1</w:t>
      </w:r>
      <w:r>
        <w:rPr>
          <w:rFonts w:ascii="宋体" w:hAnsi="宋体"/>
          <w:sz w:val="24"/>
          <w:lang w:val="zh-CN"/>
        </w:rPr>
        <w:t>跨内跨越</w:t>
      </w:r>
      <w:r>
        <w:rPr>
          <w:rFonts w:ascii="宋体" w:hAnsi="宋体"/>
          <w:sz w:val="24"/>
          <w:lang w:val="zh-CN"/>
        </w:rPr>
        <w:t>2</w:t>
      </w:r>
      <w:r>
        <w:rPr>
          <w:rFonts w:ascii="宋体" w:hAnsi="宋体"/>
          <w:sz w:val="24"/>
          <w:lang w:val="zh-CN"/>
        </w:rPr>
        <w:t>个步距</w:t>
      </w:r>
      <w:r>
        <w:rPr>
          <w:rFonts w:ascii="宋体" w:hAnsi="宋体"/>
          <w:sz w:val="24"/>
          <w:lang w:val="zh-CN"/>
        </w:rPr>
        <w:t>(</w:t>
      </w:r>
      <w:r>
        <w:rPr>
          <w:rFonts w:ascii="宋体" w:hAnsi="宋体"/>
          <w:sz w:val="24"/>
          <w:lang w:val="zh-CN"/>
        </w:rPr>
        <w:t>下图</w:t>
      </w:r>
      <w:r>
        <w:rPr>
          <w:rFonts w:ascii="宋体" w:hAnsi="宋体"/>
          <w:sz w:val="24"/>
          <w:lang w:val="zh-CN"/>
        </w:rPr>
        <w:t>A</w:t>
      </w:r>
      <w:r>
        <w:rPr>
          <w:rFonts w:ascii="宋体" w:hAnsi="宋体"/>
          <w:sz w:val="24"/>
          <w:lang w:val="zh-CN"/>
        </w:rPr>
        <w:t>型</w:t>
      </w:r>
      <w:r>
        <w:rPr>
          <w:rFonts w:ascii="宋体" w:hAnsi="宋体"/>
          <w:sz w:val="24"/>
          <w:lang w:val="zh-CN"/>
        </w:rPr>
        <w:t>)</w:t>
      </w:r>
      <w:r>
        <w:rPr>
          <w:rFonts w:ascii="宋体" w:hAnsi="宋体"/>
          <w:sz w:val="24"/>
          <w:lang w:val="zh-CN"/>
        </w:rPr>
        <w:t>时，宜在相交的纵向水平杆处，增</w:t>
      </w:r>
      <w:r>
        <w:rPr>
          <w:rFonts w:ascii="宋体" w:hAnsi="宋体"/>
          <w:sz w:val="24"/>
          <w:lang w:val="zh-CN"/>
        </w:rPr>
        <w:t>设一根横向水平杆，将斜腹杆固定在其伸出端上</w:t>
      </w:r>
    </w:p>
    <w:p w:rsidR="00E7704A">
      <w:pPr>
        <w:pStyle w:val="Normal0"/>
        <w:spacing w:line="360" w:lineRule="auto"/>
        <w:ind w:firstLine="180"/>
        <w:jc w:val="center"/>
        <w:rPr>
          <w:sz w:val="24"/>
        </w:rPr>
      </w:pPr>
      <w:r>
        <w:rPr>
          <w:sz w:val="24"/>
        </w:rPr>
        <w:pict>
          <v:shape id="_x0000_i1037" type="#_x0000_t75" style="width:327.75pt;height:252.75pt">
            <v:imagedata r:id="rId17" o:title=""/>
          </v:shape>
        </w:pict>
      </w:r>
    </w:p>
    <w:p w:rsidR="00E7704A">
      <w:pPr>
        <w:pStyle w:val="Normal0"/>
        <w:spacing w:line="360" w:lineRule="auto"/>
        <w:ind w:firstLine="180"/>
        <w:jc w:val="center"/>
        <w:rPr>
          <w:rFonts w:eastAsia="Times New Roman"/>
          <w:color w:val="000000"/>
          <w:sz w:val="20"/>
        </w:rPr>
      </w:pPr>
      <w:r>
        <w:rPr>
          <w:rFonts w:eastAsia="Times New Roman" w:hint="eastAsia"/>
          <w:color w:val="000000"/>
          <w:sz w:val="20"/>
        </w:rPr>
        <w:t xml:space="preserve">     </w:t>
      </w:r>
    </w:p>
    <w:p w:rsidR="00E7704A">
      <w:pPr>
        <w:pStyle w:val="Normal0"/>
        <w:spacing w:line="360" w:lineRule="auto"/>
        <w:ind w:firstLine="180"/>
        <w:jc w:val="center"/>
        <w:rPr>
          <w:rFonts w:ascii="宋体" w:hAnsi="宋体"/>
          <w:color w:val="000000"/>
          <w:sz w:val="20"/>
        </w:rPr>
      </w:pPr>
      <w:r>
        <w:rPr>
          <w:rFonts w:ascii="宋体" w:hAnsi="宋体"/>
          <w:color w:val="000000"/>
          <w:sz w:val="20"/>
        </w:rPr>
        <w:t xml:space="preserve"> (a)</w:t>
      </w:r>
      <w:r>
        <w:rPr>
          <w:rFonts w:ascii="宋体" w:hAnsi="宋体"/>
          <w:color w:val="000000"/>
          <w:sz w:val="20"/>
        </w:rPr>
        <w:t>挑空一根立杆</w:t>
      </w:r>
      <w:r>
        <w:rPr>
          <w:rFonts w:ascii="宋体" w:hAnsi="宋体"/>
          <w:color w:val="000000"/>
          <w:sz w:val="20"/>
        </w:rPr>
        <w:t>A</w:t>
      </w:r>
      <w:r>
        <w:rPr>
          <w:rFonts w:ascii="宋体" w:hAnsi="宋体"/>
          <w:color w:val="000000"/>
          <w:sz w:val="20"/>
        </w:rPr>
        <w:t>型</w:t>
      </w:r>
      <w:r>
        <w:rPr>
          <w:rFonts w:ascii="宋体" w:hAnsi="宋体"/>
          <w:color w:val="000000"/>
          <w:sz w:val="20"/>
        </w:rPr>
        <w:t xml:space="preserve">               (b)</w:t>
      </w:r>
      <w:r>
        <w:rPr>
          <w:rFonts w:ascii="宋体" w:hAnsi="宋体"/>
          <w:color w:val="000000"/>
          <w:sz w:val="20"/>
        </w:rPr>
        <w:t>挑空二根立杆</w:t>
      </w:r>
      <w:r>
        <w:rPr>
          <w:rFonts w:ascii="宋体" w:hAnsi="宋体"/>
          <w:color w:val="000000"/>
          <w:sz w:val="20"/>
        </w:rPr>
        <w:t>A</w:t>
      </w:r>
      <w:r>
        <w:rPr>
          <w:rFonts w:ascii="宋体" w:hAnsi="宋体"/>
          <w:color w:val="000000"/>
          <w:sz w:val="20"/>
        </w:rPr>
        <w:t>型</w:t>
      </w:r>
      <w:r>
        <w:rPr>
          <w:rFonts w:ascii="宋体" w:hAnsi="宋体"/>
          <w:color w:val="000000"/>
          <w:sz w:val="20"/>
        </w:rPr>
        <w:t xml:space="preserve">  </w:t>
      </w:r>
    </w:p>
    <w:p w:rsidR="00E7704A">
      <w:pPr>
        <w:pStyle w:val="Normal0"/>
        <w:spacing w:line="360" w:lineRule="auto"/>
        <w:ind w:firstLine="180"/>
        <w:jc w:val="center"/>
        <w:rPr>
          <w:rFonts w:ascii="Arial" w:hAnsi="Arial"/>
          <w:b/>
          <w:color w:val="FF0000"/>
          <w:sz w:val="18"/>
        </w:rPr>
        <w:sectPr>
          <w:type w:val="nextPage"/>
          <w:pgSz w:w="11906" w:h="16838"/>
          <w:pgMar w:top="1440" w:right="1800" w:bottom="1440" w:left="1800" w:header="851" w:footer="992" w:gutter="0"/>
          <w:pgNumType w:start="17"/>
          <w:cols w:space="425"/>
          <w:titlePg w:val="0"/>
          <w:docGrid w:type="lines" w:linePitch="312"/>
        </w:sectPr>
      </w:pPr>
    </w:p>
    <w:p w:rsidR="00E7704A">
      <w:pPr>
        <w:pStyle w:val="Normal0"/>
        <w:spacing w:line="360" w:lineRule="auto"/>
        <w:ind w:firstLine="180"/>
        <w:jc w:val="center"/>
        <w:rPr>
          <w:rFonts w:ascii="Arial" w:hAnsi="Arial"/>
          <w:b/>
          <w:color w:val="FF0000"/>
          <w:sz w:val="18"/>
        </w:rPr>
      </w:pPr>
      <w:r>
        <w:rPr>
          <w:rFonts w:ascii="Arial" w:hAnsi="Arial"/>
          <w:b/>
          <w:color w:val="FF0000"/>
          <w:sz w:val="18"/>
        </w:rPr>
        <w:pict>
          <v:shape id="_x0000_i1038" type="#_x0000_t75" style="width:333pt;height:276.75pt">
            <v:imagedata r:id="rId18" o:title=""/>
          </v:shape>
        </w:pict>
      </w:r>
    </w:p>
    <w:p w:rsidR="00E7704A">
      <w:pPr>
        <w:pStyle w:val="Normal0"/>
        <w:spacing w:line="360" w:lineRule="auto"/>
        <w:ind w:firstLine="180"/>
        <w:jc w:val="center"/>
        <w:rPr>
          <w:rFonts w:ascii="宋体" w:hAnsi="宋体"/>
          <w:color w:val="000000"/>
          <w:sz w:val="20"/>
        </w:rPr>
      </w:pPr>
      <w:r>
        <w:rPr>
          <w:rFonts w:ascii="宋体" w:hAnsi="宋体"/>
          <w:color w:val="000000"/>
          <w:sz w:val="20"/>
        </w:rPr>
        <w:t xml:space="preserve">  (c)</w:t>
      </w:r>
      <w:r>
        <w:rPr>
          <w:rFonts w:ascii="宋体" w:hAnsi="宋体"/>
          <w:color w:val="000000"/>
          <w:sz w:val="20"/>
        </w:rPr>
        <w:t>挑空一根立杆</w:t>
      </w:r>
      <w:r>
        <w:rPr>
          <w:rFonts w:ascii="宋体" w:hAnsi="宋体"/>
          <w:color w:val="000000"/>
          <w:sz w:val="20"/>
        </w:rPr>
        <w:t>B</w:t>
      </w:r>
      <w:r>
        <w:rPr>
          <w:rFonts w:ascii="宋体" w:hAnsi="宋体"/>
          <w:color w:val="000000"/>
          <w:sz w:val="20"/>
        </w:rPr>
        <w:t>型</w:t>
      </w:r>
      <w:r>
        <w:rPr>
          <w:rFonts w:ascii="宋体" w:hAnsi="宋体"/>
          <w:color w:val="000000"/>
          <w:sz w:val="20"/>
        </w:rPr>
        <w:t xml:space="preserve">            (d)</w:t>
      </w:r>
      <w:r>
        <w:rPr>
          <w:rFonts w:ascii="宋体" w:hAnsi="宋体"/>
          <w:color w:val="000000"/>
          <w:sz w:val="20"/>
        </w:rPr>
        <w:t>挑空二根立杆</w:t>
      </w:r>
      <w:r>
        <w:rPr>
          <w:rFonts w:ascii="宋体" w:hAnsi="宋体"/>
          <w:color w:val="000000"/>
          <w:sz w:val="20"/>
        </w:rPr>
        <w:t>B</w:t>
      </w:r>
      <w:r>
        <w:rPr>
          <w:rFonts w:ascii="宋体" w:hAnsi="宋体"/>
          <w:color w:val="000000"/>
          <w:sz w:val="20"/>
        </w:rPr>
        <w:t>型</w:t>
      </w:r>
      <w:r>
        <w:rPr>
          <w:rFonts w:ascii="宋体" w:hAnsi="宋体"/>
          <w:color w:val="000000"/>
          <w:sz w:val="20"/>
        </w:rPr>
        <w:t xml:space="preserve">                       </w:t>
      </w:r>
    </w:p>
    <w:p w:rsidR="00E7704A">
      <w:pPr>
        <w:pStyle w:val="Normal0"/>
        <w:spacing w:line="360" w:lineRule="auto"/>
        <w:jc w:val="center"/>
        <w:rPr>
          <w:rFonts w:ascii="宋体" w:hAnsi="宋体"/>
          <w:color w:val="000000"/>
          <w:sz w:val="20"/>
        </w:rPr>
      </w:pPr>
      <w:r>
        <w:rPr>
          <w:rFonts w:ascii="宋体" w:hAnsi="宋体"/>
          <w:color w:val="000000"/>
          <w:sz w:val="20"/>
        </w:rPr>
        <w:t xml:space="preserve"> </w:t>
      </w:r>
      <w:r>
        <w:rPr>
          <w:rFonts w:ascii="宋体" w:hAnsi="宋体"/>
          <w:color w:val="000000"/>
          <w:sz w:val="20"/>
        </w:rPr>
        <w:t>门洞处上升斜杆、平行弦杆桁架</w:t>
      </w:r>
    </w:p>
    <w:p w:rsidR="00E7704A">
      <w:pPr>
        <w:pStyle w:val="Normal0"/>
        <w:spacing w:line="360" w:lineRule="auto"/>
        <w:jc w:val="center"/>
        <w:rPr>
          <w:rFonts w:ascii="宋体" w:hAnsi="宋体"/>
          <w:color w:val="000000"/>
          <w:sz w:val="20"/>
        </w:rPr>
      </w:pPr>
      <w:r>
        <w:rPr>
          <w:rFonts w:ascii="宋体" w:hAnsi="宋体"/>
          <w:color w:val="000000"/>
          <w:sz w:val="20"/>
        </w:rPr>
        <w:t>1―</w:t>
      </w:r>
      <w:r>
        <w:rPr>
          <w:rFonts w:ascii="宋体" w:hAnsi="宋体"/>
          <w:color w:val="000000"/>
          <w:sz w:val="20"/>
        </w:rPr>
        <w:t>防滑扣件；</w:t>
      </w:r>
      <w:r>
        <w:rPr>
          <w:rFonts w:ascii="宋体" w:hAnsi="宋体"/>
          <w:color w:val="000000"/>
          <w:sz w:val="20"/>
        </w:rPr>
        <w:t>2―</w:t>
      </w:r>
      <w:r>
        <w:rPr>
          <w:rFonts w:ascii="宋体" w:hAnsi="宋体"/>
          <w:color w:val="000000"/>
          <w:sz w:val="20"/>
        </w:rPr>
        <w:t>增设的横向水平杆；</w:t>
      </w:r>
      <w:r>
        <w:rPr>
          <w:rFonts w:ascii="宋体" w:hAnsi="宋体"/>
          <w:color w:val="000000"/>
          <w:sz w:val="20"/>
        </w:rPr>
        <w:t>3―</w:t>
      </w:r>
      <w:r>
        <w:rPr>
          <w:rFonts w:ascii="宋体" w:hAnsi="宋体"/>
          <w:color w:val="000000"/>
          <w:sz w:val="20"/>
        </w:rPr>
        <w:t>副立杆；</w:t>
      </w:r>
      <w:r>
        <w:rPr>
          <w:rFonts w:ascii="宋体" w:hAnsi="宋体"/>
          <w:color w:val="000000"/>
          <w:sz w:val="20"/>
        </w:rPr>
        <w:t>4―</w:t>
      </w:r>
      <w:r>
        <w:rPr>
          <w:rFonts w:ascii="宋体" w:hAnsi="宋体"/>
          <w:color w:val="000000"/>
          <w:sz w:val="20"/>
        </w:rPr>
        <w:t>主立杆</w:t>
      </w:r>
    </w:p>
    <w:p w:rsidR="00E7704A">
      <w:pPr>
        <w:pStyle w:val="Normal0"/>
        <w:numPr>
          <w:ilvl w:val="0"/>
          <w:numId w:val="17"/>
        </w:numPr>
        <w:spacing w:line="360" w:lineRule="auto"/>
        <w:jc w:val="left"/>
        <w:rPr>
          <w:rFonts w:ascii="宋体" w:hAnsi="宋体"/>
          <w:sz w:val="24"/>
          <w:lang w:val="zh-CN"/>
        </w:rPr>
      </w:pPr>
      <w:r>
        <w:rPr>
          <w:rFonts w:ascii="宋体" w:hAnsi="宋体"/>
          <w:sz w:val="24"/>
          <w:lang w:val="zh-CN"/>
        </w:rPr>
        <w:t>斜腹杆宜采用通长杆件，当必须接长使用时，宜采用对接扣件连接，也可采用搭接，搭接构造应符合《建筑施工扣件式钢管脚手架安全技术规范》</w:t>
      </w:r>
      <w:r>
        <w:rPr>
          <w:rFonts w:ascii="宋体" w:hAnsi="宋体"/>
          <w:sz w:val="24"/>
          <w:lang w:val="zh-CN"/>
        </w:rPr>
        <w:t>JGJ130-2011</w:t>
      </w:r>
      <w:r>
        <w:rPr>
          <w:rFonts w:ascii="宋体" w:hAnsi="宋体"/>
          <w:sz w:val="24"/>
          <w:lang w:val="zh-CN"/>
        </w:rPr>
        <w:t>第</w:t>
      </w:r>
      <w:r>
        <w:rPr>
          <w:rFonts w:ascii="宋体" w:hAnsi="宋体"/>
          <w:sz w:val="24"/>
          <w:lang w:val="zh-CN"/>
        </w:rPr>
        <w:t>6.3.6</w:t>
      </w:r>
      <w:r>
        <w:rPr>
          <w:rFonts w:ascii="宋体" w:hAnsi="宋体"/>
          <w:sz w:val="24"/>
          <w:lang w:val="zh-CN"/>
        </w:rPr>
        <w:t>条第</w:t>
      </w:r>
      <w:r>
        <w:rPr>
          <w:rFonts w:ascii="宋体" w:hAnsi="宋体"/>
          <w:sz w:val="24"/>
          <w:lang w:val="zh-CN"/>
        </w:rPr>
        <w:t xml:space="preserve">2 </w:t>
      </w:r>
      <w:r>
        <w:rPr>
          <w:rFonts w:ascii="宋体" w:hAnsi="宋体"/>
          <w:sz w:val="24"/>
          <w:lang w:val="zh-CN"/>
        </w:rPr>
        <w:t>款的规定。</w:t>
      </w:r>
    </w:p>
    <w:p w:rsidR="00E7704A">
      <w:pPr>
        <w:pStyle w:val="Normal0"/>
        <w:numPr>
          <w:ilvl w:val="0"/>
          <w:numId w:val="17"/>
        </w:numPr>
        <w:spacing w:line="360" w:lineRule="auto"/>
        <w:jc w:val="left"/>
        <w:rPr>
          <w:rFonts w:ascii="宋体" w:hAnsi="宋体"/>
          <w:sz w:val="24"/>
          <w:lang w:val="zh-CN"/>
        </w:rPr>
      </w:pPr>
      <w:r>
        <w:rPr>
          <w:rFonts w:ascii="宋体" w:hAnsi="宋体"/>
          <w:sz w:val="24"/>
          <w:lang w:val="zh-CN"/>
        </w:rPr>
        <w:t>门洞桁架下的两侧立杆应为双管立杆，副立杆高度应高于门洞口</w:t>
      </w:r>
      <w:r>
        <w:rPr>
          <w:rFonts w:ascii="宋体" w:hAnsi="宋体"/>
          <w:sz w:val="24"/>
          <w:lang w:val="zh-CN"/>
        </w:rPr>
        <w:t>1~2</w:t>
      </w:r>
      <w:r>
        <w:rPr>
          <w:rFonts w:ascii="宋体" w:hAnsi="宋体"/>
          <w:sz w:val="24"/>
          <w:lang w:val="zh-CN"/>
        </w:rPr>
        <w:t>步。</w:t>
      </w:r>
    </w:p>
    <w:p w:rsidR="00E7704A">
      <w:pPr>
        <w:pStyle w:val="Normal0"/>
        <w:numPr>
          <w:ilvl w:val="0"/>
          <w:numId w:val="17"/>
        </w:numPr>
        <w:spacing w:line="360" w:lineRule="auto"/>
        <w:jc w:val="left"/>
        <w:rPr>
          <w:rFonts w:ascii="宋体" w:hAnsi="宋体"/>
          <w:sz w:val="24"/>
          <w:lang w:val="zh-CN"/>
        </w:rPr>
      </w:pPr>
      <w:r>
        <w:rPr>
          <w:rFonts w:ascii="宋体" w:hAnsi="宋体"/>
          <w:sz w:val="24"/>
          <w:lang w:val="zh-CN"/>
        </w:rPr>
        <w:t>门洞桁架中伸出上下弦杆的杆件端头，均应增设一个防滑扣件（见上图），该扣件宜紧靠主节点处的扣件。</w:t>
      </w:r>
    </w:p>
    <w:p w:rsidR="00E7704A">
      <w:pPr>
        <w:pStyle w:val="Normal0"/>
        <w:spacing w:line="360" w:lineRule="auto"/>
        <w:ind w:firstLine="180"/>
        <w:jc w:val="center"/>
        <w:rPr>
          <w:rFonts w:ascii="ËÎÌå" w:eastAsia="ËÎÌå" w:hAnsi="ËÎÌå"/>
          <w:color w:val="000000"/>
          <w:sz w:val="24"/>
          <w:lang w:val="zh-CN"/>
        </w:rPr>
        <w:sectPr>
          <w:type w:val="nextPage"/>
          <w:pgSz w:w="11906" w:h="16838"/>
          <w:pgMar w:top="1440" w:right="1800" w:bottom="1440" w:left="1800" w:header="851" w:footer="992" w:gutter="0"/>
          <w:pgNumType w:start="18"/>
          <w:cols w:space="425"/>
          <w:titlePg w:val="0"/>
          <w:docGrid w:type="lines" w:linePitch="312"/>
        </w:sectPr>
      </w:pPr>
    </w:p>
    <w:p w:rsidR="00E7704A">
      <w:pPr>
        <w:pStyle w:val="Normal0"/>
        <w:spacing w:line="360" w:lineRule="auto"/>
        <w:jc w:val="center"/>
        <w:rPr>
          <w:rFonts w:ascii="ËÎÌå" w:eastAsia="ËÎÌå" w:hAnsi="ËÎÌå"/>
          <w:color w:val="000000"/>
          <w:sz w:val="24"/>
          <w:lang w:val="zh-CN"/>
        </w:rPr>
      </w:pPr>
      <w:r>
        <w:rPr>
          <w:rFonts w:ascii="ËÎÌå" w:eastAsia="ËÎÌå" w:hAnsi="ËÎÌå"/>
          <w:color w:val="000000"/>
          <w:sz w:val="24"/>
          <w:lang w:val="zh-CN"/>
        </w:rPr>
        <w:pict>
          <v:shape id="_x0000_i1039" type="#_x0000_t75" style="width:416.25pt;height:3in">
            <v:imagedata r:id="rId19" o:title=""/>
          </v:shape>
        </w:pict>
      </w:r>
    </w:p>
    <w:p w:rsidR="00E7704A">
      <w:pPr>
        <w:pStyle w:val="Normal0"/>
        <w:spacing w:line="360" w:lineRule="auto"/>
        <w:jc w:val="center"/>
        <w:rPr>
          <w:rFonts w:ascii="宋体" w:hAnsi="宋体"/>
          <w:sz w:val="20"/>
        </w:rPr>
      </w:pPr>
      <w:r>
        <w:rPr>
          <w:rFonts w:ascii="宋体" w:hAnsi="宋体"/>
          <w:sz w:val="20"/>
        </w:rPr>
        <w:t xml:space="preserve"> </w:t>
      </w:r>
      <w:r>
        <w:rPr>
          <w:rFonts w:ascii="宋体" w:hAnsi="宋体"/>
          <w:sz w:val="20"/>
        </w:rPr>
        <w:t>单排脚手架过窗洞构造</w:t>
      </w:r>
    </w:p>
    <w:p w:rsidR="00E7704A">
      <w:pPr>
        <w:pStyle w:val="Normal0"/>
        <w:spacing w:line="360" w:lineRule="auto"/>
        <w:jc w:val="center"/>
        <w:rPr>
          <w:rFonts w:ascii="宋体" w:hAnsi="宋体"/>
          <w:sz w:val="20"/>
        </w:rPr>
      </w:pPr>
      <w:r>
        <w:rPr>
          <w:rFonts w:ascii="宋体" w:hAnsi="宋体"/>
          <w:sz w:val="20"/>
        </w:rPr>
        <w:t>1</w:t>
      </w:r>
      <w:r>
        <w:rPr>
          <w:rFonts w:ascii="宋体" w:hAnsi="宋体"/>
          <w:sz w:val="20"/>
        </w:rPr>
        <w:t>－增设的纵向水平杆</w:t>
      </w:r>
    </w:p>
    <w:p w:rsidR="00E7704A">
      <w:pPr>
        <w:pStyle w:val="Normal0"/>
        <w:numPr>
          <w:ilvl w:val="0"/>
          <w:numId w:val="16"/>
        </w:numPr>
        <w:spacing w:line="360" w:lineRule="auto"/>
        <w:jc w:val="left"/>
        <w:rPr>
          <w:rFonts w:ascii="Arial" w:hAnsi="Arial"/>
          <w:b/>
          <w:sz w:val="18"/>
        </w:rPr>
      </w:pPr>
      <w:r>
        <w:rPr>
          <w:rFonts w:ascii="宋体" w:hAnsi="宋体"/>
          <w:sz w:val="24"/>
          <w:lang w:val="zh-CN"/>
        </w:rPr>
        <w:t>单排脚手架过窗洞时应增设立杆或增设一根纵向水平杆（见上图）。</w:t>
      </w:r>
    </w:p>
    <w:p w:rsidR="00E7704A">
      <w:pPr>
        <w:pStyle w:val="Normal0"/>
        <w:numPr>
          <w:ilvl w:val="0"/>
          <w:numId w:val="9"/>
        </w:numPr>
        <w:spacing w:line="360" w:lineRule="auto"/>
        <w:jc w:val="left"/>
        <w:rPr>
          <w:rFonts w:ascii="宋体" w:hAnsi="宋体"/>
          <w:sz w:val="24"/>
          <w:lang w:val="zh-CN"/>
        </w:rPr>
      </w:pPr>
      <w:r>
        <w:rPr>
          <w:rFonts w:ascii="宋体" w:hAnsi="宋体"/>
          <w:sz w:val="24"/>
          <w:lang w:val="zh-CN"/>
        </w:rPr>
        <w:t>连墙件</w:t>
      </w:r>
    </w:p>
    <w:p w:rsidR="00E7704A">
      <w:pPr>
        <w:pStyle w:val="Normal0"/>
        <w:numPr>
          <w:ilvl w:val="0"/>
          <w:numId w:val="18"/>
        </w:numPr>
        <w:spacing w:line="360" w:lineRule="auto"/>
        <w:rPr>
          <w:rFonts w:ascii="宋体" w:hAnsi="宋体"/>
          <w:sz w:val="24"/>
          <w:lang w:val="zh-CN"/>
        </w:rPr>
      </w:pPr>
      <w:r>
        <w:rPr>
          <w:rFonts w:ascii="宋体" w:hAnsi="宋体"/>
          <w:sz w:val="24"/>
          <w:lang w:val="zh-CN"/>
        </w:rPr>
        <w:t>脚手架与建筑物按计算书中连墙件布置要求设拉结</w:t>
      </w:r>
      <w:r>
        <w:rPr>
          <w:rFonts w:ascii="宋体" w:hAnsi="宋体"/>
          <w:sz w:val="24"/>
          <w:lang w:val="zh-CN"/>
        </w:rPr>
        <w:t>点。拉结点在转角范围内和顶部处加密。</w:t>
      </w:r>
    </w:p>
    <w:p w:rsidR="00E7704A">
      <w:pPr>
        <w:pStyle w:val="Normal0"/>
        <w:numPr>
          <w:ilvl w:val="0"/>
          <w:numId w:val="18"/>
        </w:numPr>
        <w:spacing w:line="360" w:lineRule="auto"/>
        <w:rPr>
          <w:rFonts w:ascii="宋体" w:hAnsi="宋体"/>
          <w:sz w:val="24"/>
          <w:lang w:val="zh-CN"/>
        </w:rPr>
      </w:pPr>
      <w:r>
        <w:rPr>
          <w:rFonts w:ascii="宋体" w:hAnsi="宋体"/>
          <w:sz w:val="24"/>
          <w:lang w:val="zh-CN"/>
        </w:rPr>
        <w:t>连墙件中的连墙杆应呈水平设置，当不能水平设置时，应向脚手架一端下斜连接；</w:t>
      </w:r>
    </w:p>
    <w:p w:rsidR="00E7704A">
      <w:pPr>
        <w:pStyle w:val="Normal0"/>
        <w:numPr>
          <w:ilvl w:val="0"/>
          <w:numId w:val="18"/>
        </w:numPr>
        <w:spacing w:line="360" w:lineRule="auto"/>
        <w:rPr>
          <w:rFonts w:ascii="宋体" w:hAnsi="宋体"/>
          <w:sz w:val="24"/>
          <w:lang w:val="zh-CN"/>
        </w:rPr>
      </w:pPr>
      <w:r>
        <w:rPr>
          <w:rFonts w:ascii="宋体" w:hAnsi="宋体"/>
          <w:sz w:val="24"/>
          <w:lang w:val="zh-CN"/>
        </w:rPr>
        <w:t>连墙件应从底层第一步纵向水平杆处开始设置，当该处设置有困难时，应采用其它可靠措施固定；</w:t>
      </w:r>
    </w:p>
    <w:p w:rsidR="00E7704A">
      <w:pPr>
        <w:pStyle w:val="Normal0"/>
        <w:numPr>
          <w:ilvl w:val="0"/>
          <w:numId w:val="18"/>
        </w:numPr>
        <w:spacing w:line="360" w:lineRule="auto"/>
        <w:rPr>
          <w:rFonts w:ascii="宋体" w:hAnsi="宋体"/>
          <w:sz w:val="24"/>
          <w:lang w:val="zh-CN"/>
        </w:rPr>
      </w:pPr>
      <w:r>
        <w:rPr>
          <w:rFonts w:ascii="宋体" w:hAnsi="宋体"/>
          <w:sz w:val="24"/>
          <w:lang w:val="zh-CN"/>
        </w:rPr>
        <w:t>拉结点应保证牢固，防止其移动变形，且尽量设置在外架纵横向水平杆接点处。宜靠近主节点设置，偏离主节点的距离不应大于</w:t>
      </w:r>
      <w:r>
        <w:rPr>
          <w:rFonts w:eastAsia="Times New Roman" w:hint="eastAsia"/>
          <w:sz w:val="24"/>
        </w:rPr>
        <w:t>300mm</w:t>
      </w:r>
      <w:r>
        <w:rPr>
          <w:rFonts w:ascii="宋体" w:hAnsi="宋体"/>
          <w:sz w:val="24"/>
          <w:lang w:val="zh-CN"/>
        </w:rPr>
        <w:t>；</w:t>
      </w:r>
    </w:p>
    <w:p w:rsidR="00E7704A">
      <w:pPr>
        <w:pStyle w:val="Normal0"/>
        <w:numPr>
          <w:ilvl w:val="0"/>
          <w:numId w:val="18"/>
        </w:numPr>
        <w:spacing w:line="360" w:lineRule="auto"/>
        <w:rPr>
          <w:rFonts w:ascii="宋体" w:hAnsi="宋体"/>
          <w:sz w:val="24"/>
          <w:lang w:val="zh-CN"/>
        </w:rPr>
      </w:pPr>
      <w:r>
        <w:rPr>
          <w:rFonts w:ascii="宋体" w:hAnsi="宋体"/>
          <w:sz w:val="24"/>
          <w:lang w:val="zh-CN"/>
        </w:rPr>
        <w:t>外墙装饰阶段拉结点，也须满足上述要求，确因施工需要除去原拉结点时，必须重新补设可靠，有效的临时拉结点，以确保外架安全可靠；</w:t>
      </w:r>
    </w:p>
    <w:p w:rsidR="00E7704A">
      <w:pPr>
        <w:pStyle w:val="Normal0"/>
        <w:numPr>
          <w:ilvl w:val="0"/>
          <w:numId w:val="18"/>
        </w:numPr>
        <w:spacing w:line="360" w:lineRule="auto"/>
        <w:rPr>
          <w:rFonts w:ascii="宋体" w:hAnsi="宋体"/>
          <w:sz w:val="24"/>
          <w:lang w:val="zh-CN"/>
        </w:rPr>
      </w:pPr>
      <w:r>
        <w:rPr>
          <w:rFonts w:ascii="宋体" w:hAnsi="宋体"/>
          <w:sz w:val="24"/>
          <w:lang w:val="zh-CN"/>
        </w:rPr>
        <w:t>当脚手架下部暂不能设连墙件时应采取防倾覆措施。当搭设抛撑时，抛撑应采用通长杆件并用旋转扣件固定在脚脚手架上，与地面的倾角应在</w:t>
      </w:r>
      <w:r>
        <w:rPr>
          <w:rFonts w:eastAsia="Times New Roman" w:hint="eastAsia"/>
          <w:sz w:val="24"/>
        </w:rPr>
        <w:t>45°</w:t>
      </w:r>
      <w:r>
        <w:rPr>
          <w:rFonts w:ascii="宋体" w:hAnsi="宋体"/>
          <w:sz w:val="24"/>
          <w:lang w:val="zh-CN"/>
        </w:rPr>
        <w:t>～</w:t>
      </w:r>
      <w:r>
        <w:rPr>
          <w:rFonts w:eastAsia="Times New Roman" w:hint="eastAsia"/>
          <w:sz w:val="24"/>
        </w:rPr>
        <w:t>60°</w:t>
      </w:r>
      <w:r>
        <w:rPr>
          <w:rFonts w:ascii="宋体" w:hAnsi="宋体"/>
          <w:sz w:val="24"/>
          <w:lang w:val="zh-CN"/>
        </w:rPr>
        <w:t>之间；连接点中心至主节点的距离不应大于</w:t>
      </w:r>
      <w:r>
        <w:rPr>
          <w:rFonts w:eastAsia="Times New Roman" w:hint="eastAsia"/>
          <w:sz w:val="24"/>
        </w:rPr>
        <w:t>300mm</w:t>
      </w:r>
      <w:r>
        <w:rPr>
          <w:rFonts w:ascii="宋体" w:hAnsi="宋体"/>
          <w:sz w:val="24"/>
          <w:lang w:val="zh-CN"/>
        </w:rPr>
        <w:t>。抛撑应在连墙件搭设后方可拆除。</w:t>
      </w:r>
    </w:p>
    <w:p w:rsidR="00E7704A">
      <w:pPr>
        <w:pStyle w:val="Normal0"/>
        <w:numPr>
          <w:ilvl w:val="0"/>
          <w:numId w:val="18"/>
        </w:numPr>
        <w:spacing w:line="360" w:lineRule="auto"/>
        <w:rPr>
          <w:rFonts w:ascii="宋体" w:hAnsi="宋体"/>
          <w:sz w:val="24"/>
          <w:lang w:val="zh-CN"/>
        </w:rPr>
        <w:sectPr>
          <w:type w:val="nextPage"/>
          <w:pgSz w:w="11906" w:h="16838"/>
          <w:pgMar w:top="1440" w:right="1800" w:bottom="1440" w:left="1800" w:header="851" w:footer="992" w:gutter="0"/>
          <w:pgNumType w:start="19"/>
          <w:cols w:space="425"/>
          <w:titlePg w:val="0"/>
          <w:docGrid w:type="lines" w:linePitch="312"/>
        </w:sectPr>
      </w:pPr>
      <w:r>
        <w:rPr>
          <w:rFonts w:ascii="宋体" w:hAnsi="宋体"/>
          <w:sz w:val="24"/>
          <w:lang w:val="zh-CN"/>
        </w:rPr>
        <w:t>连墙件构造示意图：</w:t>
      </w:r>
    </w:p>
    <w:p w:rsidR="00E7704A">
      <w:pPr>
        <w:pStyle w:val="Normal0"/>
        <w:spacing w:line="360" w:lineRule="auto"/>
        <w:jc w:val="center"/>
        <w:rPr>
          <w:sz w:val="24"/>
        </w:rPr>
      </w:pPr>
      <w:r>
        <w:rPr>
          <w:sz w:val="24"/>
        </w:rPr>
        <w:pict>
          <v:shape id="_x0000_i1040" type="#_x0000_t75" style="width:375pt;height:359.25pt">
            <v:imagedata r:id="rId20" o:title=""/>
          </v:shape>
        </w:pict>
      </w:r>
    </w:p>
    <w:p w:rsidR="00E7704A">
      <w:pPr>
        <w:pStyle w:val="Normal0"/>
        <w:spacing w:line="360" w:lineRule="auto"/>
        <w:ind w:firstLine="420"/>
        <w:jc w:val="center"/>
        <w:rPr>
          <w:rFonts w:ascii="宋体" w:hAnsi="宋体"/>
          <w:sz w:val="20"/>
        </w:rPr>
      </w:pPr>
      <w:r>
        <w:rPr>
          <w:rFonts w:ascii="宋体" w:hAnsi="宋体"/>
          <w:sz w:val="20"/>
        </w:rPr>
        <w:t>1-</w:t>
      </w:r>
      <w:r>
        <w:rPr>
          <w:rFonts w:ascii="宋体" w:hAnsi="宋体"/>
          <w:sz w:val="20"/>
        </w:rPr>
        <w:t>垫木；</w:t>
      </w:r>
      <w:r>
        <w:rPr>
          <w:rFonts w:ascii="宋体" w:hAnsi="宋体"/>
          <w:sz w:val="20"/>
        </w:rPr>
        <w:t>2-</w:t>
      </w:r>
      <w:r>
        <w:rPr>
          <w:rFonts w:ascii="宋体" w:hAnsi="宋体"/>
          <w:sz w:val="20"/>
        </w:rPr>
        <w:t>短钢管；</w:t>
      </w:r>
      <w:r>
        <w:rPr>
          <w:rFonts w:ascii="宋体" w:hAnsi="宋体"/>
          <w:sz w:val="20"/>
        </w:rPr>
        <w:t>3-</w:t>
      </w:r>
      <w:r>
        <w:rPr>
          <w:rFonts w:ascii="宋体" w:hAnsi="宋体"/>
          <w:sz w:val="20"/>
        </w:rPr>
        <w:t>直角扣件；</w:t>
      </w:r>
      <w:r>
        <w:rPr>
          <w:rFonts w:ascii="宋体" w:hAnsi="宋体"/>
          <w:sz w:val="20"/>
        </w:rPr>
        <w:t>4-</w:t>
      </w:r>
      <w:r>
        <w:rPr>
          <w:rFonts w:ascii="宋体" w:hAnsi="宋体"/>
          <w:sz w:val="20"/>
        </w:rPr>
        <w:t>横向水平杆；</w:t>
      </w:r>
      <w:r>
        <w:rPr>
          <w:rFonts w:ascii="宋体" w:hAnsi="宋体"/>
          <w:sz w:val="20"/>
        </w:rPr>
        <w:t>5-</w:t>
      </w:r>
      <w:r>
        <w:rPr>
          <w:rFonts w:ascii="宋体" w:hAnsi="宋体"/>
          <w:sz w:val="20"/>
        </w:rPr>
        <w:t>附加钢管</w:t>
      </w:r>
    </w:p>
    <w:p w:rsidR="00E7704A">
      <w:pPr>
        <w:pStyle w:val="Normal0"/>
        <w:spacing w:line="360" w:lineRule="auto"/>
        <w:ind w:firstLine="420"/>
        <w:jc w:val="center"/>
        <w:rPr>
          <w:rFonts w:ascii="宋体" w:hAnsi="宋体"/>
          <w:sz w:val="20"/>
        </w:rPr>
      </w:pPr>
      <w:r>
        <w:rPr>
          <w:rFonts w:ascii="宋体" w:hAnsi="宋体"/>
          <w:sz w:val="20"/>
        </w:rPr>
        <w:t>脚手架刚性连墙件构造示意图</w:t>
      </w:r>
    </w:p>
    <w:p w:rsidR="00E7704A">
      <w:pPr>
        <w:pStyle w:val="Normal0"/>
        <w:numPr>
          <w:ilvl w:val="0"/>
          <w:numId w:val="9"/>
        </w:numPr>
        <w:spacing w:line="360" w:lineRule="auto"/>
        <w:jc w:val="left"/>
        <w:rPr>
          <w:rFonts w:ascii="宋体" w:hAnsi="宋体"/>
          <w:sz w:val="24"/>
          <w:lang w:val="zh-CN"/>
        </w:rPr>
      </w:pPr>
      <w:r>
        <w:rPr>
          <w:rFonts w:ascii="宋体" w:hAnsi="宋体"/>
          <w:sz w:val="24"/>
          <w:lang w:val="zh-CN"/>
        </w:rPr>
        <w:t>架体内封闭</w:t>
      </w:r>
    </w:p>
    <w:p w:rsidR="00E7704A">
      <w:pPr>
        <w:pStyle w:val="Normal0"/>
        <w:numPr>
          <w:ilvl w:val="0"/>
          <w:numId w:val="19"/>
        </w:numPr>
        <w:spacing w:line="360" w:lineRule="auto"/>
        <w:rPr>
          <w:rFonts w:ascii="宋体" w:hAnsi="宋体"/>
          <w:sz w:val="24"/>
          <w:lang w:val="zh-CN"/>
        </w:rPr>
      </w:pPr>
      <w:r>
        <w:rPr>
          <w:rFonts w:ascii="宋体" w:hAnsi="宋体"/>
          <w:sz w:val="24"/>
          <w:lang w:val="zh-CN"/>
        </w:rPr>
        <w:t>脚手架的架体内立杆距墙体净距最多为</w:t>
      </w:r>
      <w:r>
        <w:rPr>
          <w:rFonts w:eastAsia="Times New Roman" w:hint="eastAsia"/>
          <w:sz w:val="24"/>
        </w:rPr>
        <w:t>200mm</w:t>
      </w:r>
      <w:r>
        <w:rPr>
          <w:rFonts w:ascii="宋体" w:hAnsi="宋体"/>
          <w:sz w:val="24"/>
          <w:lang w:val="zh-CN"/>
        </w:rPr>
        <w:t>，如因结构设计的限制大于</w:t>
      </w:r>
      <w:r>
        <w:rPr>
          <w:rFonts w:eastAsia="Times New Roman" w:hint="eastAsia"/>
          <w:sz w:val="24"/>
        </w:rPr>
        <w:t>200mm</w:t>
      </w:r>
      <w:r>
        <w:rPr>
          <w:rFonts w:ascii="宋体" w:hAnsi="宋体"/>
          <w:sz w:val="24"/>
          <w:lang w:val="zh-CN"/>
        </w:rPr>
        <w:t>的必须铺设站人板，站人板设置平整牢固。</w:t>
      </w:r>
    </w:p>
    <w:p w:rsidR="00E7704A">
      <w:pPr>
        <w:pStyle w:val="Normal0"/>
        <w:numPr>
          <w:ilvl w:val="0"/>
          <w:numId w:val="19"/>
        </w:numPr>
        <w:spacing w:line="360" w:lineRule="auto"/>
        <w:rPr>
          <w:rFonts w:ascii="宋体" w:hAnsi="宋体"/>
          <w:sz w:val="24"/>
          <w:lang w:val="zh-CN"/>
        </w:rPr>
      </w:pPr>
      <w:r>
        <w:rPr>
          <w:rFonts w:ascii="宋体" w:hAnsi="宋体"/>
          <w:sz w:val="24"/>
          <w:lang w:val="zh-CN"/>
        </w:rPr>
        <w:t>脚手架施工层内立杆与建筑物之间应采用脚手片或木板进行封闭。</w:t>
      </w:r>
    </w:p>
    <w:p w:rsidR="00E7704A">
      <w:pPr>
        <w:pStyle w:val="Normal0"/>
        <w:numPr>
          <w:ilvl w:val="0"/>
          <w:numId w:val="19"/>
        </w:numPr>
        <w:spacing w:line="360" w:lineRule="auto"/>
        <w:rPr>
          <w:rFonts w:ascii="宋体" w:hAnsi="宋体"/>
          <w:sz w:val="24"/>
          <w:lang w:val="zh-CN"/>
        </w:rPr>
      </w:pPr>
      <w:r>
        <w:rPr>
          <w:rFonts w:ascii="宋体" w:hAnsi="宋体"/>
          <w:sz w:val="24"/>
          <w:lang w:val="zh-CN"/>
        </w:rPr>
        <w:t>施工层以下脚手架每隔</w:t>
      </w:r>
      <w:r>
        <w:rPr>
          <w:rFonts w:eastAsia="Times New Roman" w:hint="eastAsia"/>
          <w:sz w:val="24"/>
        </w:rPr>
        <w:t>10m</w:t>
      </w:r>
      <w:r>
        <w:rPr>
          <w:rFonts w:ascii="宋体" w:hAnsi="宋体"/>
          <w:sz w:val="24"/>
          <w:lang w:val="zh-CN"/>
        </w:rPr>
        <w:t>以及底部用双层网兜进行封闭。</w:t>
      </w:r>
    </w:p>
    <w:p w:rsidR="00E7704A">
      <w:pPr>
        <w:pStyle w:val="Normal0"/>
        <w:numPr>
          <w:ilvl w:val="0"/>
          <w:numId w:val="19"/>
        </w:numPr>
        <w:spacing w:line="360" w:lineRule="auto"/>
        <w:rPr>
          <w:rFonts w:ascii="ËÎÌå" w:eastAsia="ËÎÌå" w:hAnsi="ËÎÌå"/>
          <w:sz w:val="24"/>
          <w:lang w:val="zh-CN"/>
        </w:rPr>
      </w:pPr>
      <w:r>
        <w:rPr>
          <w:rFonts w:ascii="宋体" w:hAnsi="宋体"/>
          <w:sz w:val="24"/>
          <w:lang w:val="zh-CN"/>
        </w:rPr>
        <w:t>作业层下，需在每层楼板位置的外架上铺一层钢板网作楼层的临边防护。</w:t>
      </w:r>
    </w:p>
    <w:p w:rsidR="00E7704A">
      <w:pPr>
        <w:pStyle w:val="2"/>
        <w:rPr>
          <w:rFonts w:hint="default"/>
        </w:rPr>
      </w:pPr>
      <w:bookmarkStart w:id="12" w:name="_Toc19151"/>
      <w:r>
        <w:t>检查验收</w:t>
      </w:r>
      <w:bookmarkEnd w:id="12"/>
    </w:p>
    <w:p w:rsidR="00E7704A">
      <w:pPr>
        <w:pStyle w:val="Normal0"/>
        <w:numPr>
          <w:ilvl w:val="0"/>
          <w:numId w:val="20"/>
        </w:numPr>
        <w:spacing w:line="360" w:lineRule="auto"/>
        <w:rPr>
          <w:rFonts w:ascii="宋体" w:hAnsi="宋体"/>
          <w:color w:val="000000"/>
          <w:sz w:val="24"/>
          <w:lang w:val="zh-CN"/>
        </w:rPr>
      </w:pPr>
      <w:r>
        <w:rPr>
          <w:rFonts w:ascii="宋体" w:hAnsi="宋体"/>
          <w:color w:val="000000"/>
          <w:sz w:val="24"/>
          <w:lang w:val="zh-CN"/>
        </w:rPr>
        <w:t>脚手架搭设前，对进入现场的各种构配件应按下列规定进行检查验收，不合格的应及时清除出场</w:t>
      </w:r>
    </w:p>
    <w:p w:rsidR="00E7704A">
      <w:pPr>
        <w:pStyle w:val="Normal0"/>
        <w:numPr>
          <w:ilvl w:val="0"/>
          <w:numId w:val="21"/>
        </w:numPr>
        <w:spacing w:line="360" w:lineRule="auto"/>
        <w:rPr>
          <w:rFonts w:ascii="宋体" w:hAnsi="宋体"/>
          <w:color w:val="000000"/>
          <w:sz w:val="24"/>
          <w:lang w:val="zh-CN"/>
        </w:rPr>
        <w:sectPr>
          <w:type w:val="nextPage"/>
          <w:pgSz w:w="11906" w:h="16838"/>
          <w:pgMar w:top="1440" w:right="1800" w:bottom="1440" w:left="1800" w:header="851" w:footer="992" w:gutter="0"/>
          <w:pgNumType w:start="20"/>
          <w:cols w:space="425"/>
          <w:titlePg w:val="0"/>
          <w:docGrid w:type="lines" w:linePitch="312"/>
        </w:sectPr>
      </w:pPr>
      <w:r>
        <w:rPr>
          <w:rFonts w:ascii="宋体" w:hAnsi="宋体"/>
          <w:color w:val="000000"/>
          <w:sz w:val="24"/>
          <w:lang w:val="zh-CN"/>
        </w:rPr>
        <w:t>构配件应有相应的产品标识及产品质量合格证；</w:t>
      </w:r>
    </w:p>
    <w:p w:rsidR="00E7704A">
      <w:pPr>
        <w:pStyle w:val="Normal0"/>
        <w:numPr>
          <w:ilvl w:val="0"/>
          <w:numId w:val="21"/>
        </w:numPr>
        <w:spacing w:line="360" w:lineRule="auto"/>
        <w:rPr>
          <w:rFonts w:ascii="宋体" w:hAnsi="宋体"/>
          <w:color w:val="000000"/>
          <w:sz w:val="24"/>
          <w:lang w:val="zh-CN"/>
        </w:rPr>
      </w:pPr>
      <w:r>
        <w:rPr>
          <w:rFonts w:ascii="宋体" w:hAnsi="宋体"/>
          <w:color w:val="000000"/>
          <w:sz w:val="24"/>
          <w:lang w:val="zh-CN"/>
        </w:rPr>
        <w:t>构配件应有相应的产品主要技术参数及产品使用说明书；</w:t>
      </w:r>
    </w:p>
    <w:p w:rsidR="00E7704A">
      <w:pPr>
        <w:pStyle w:val="Normal0"/>
        <w:numPr>
          <w:ilvl w:val="0"/>
          <w:numId w:val="21"/>
        </w:numPr>
        <w:spacing w:line="360" w:lineRule="auto"/>
        <w:rPr>
          <w:rFonts w:ascii="宋体" w:hAnsi="宋体"/>
          <w:color w:val="000000"/>
          <w:sz w:val="24"/>
          <w:lang w:val="zh-CN"/>
        </w:rPr>
      </w:pPr>
      <w:r>
        <w:rPr>
          <w:rFonts w:ascii="宋体" w:hAnsi="宋体"/>
          <w:color w:val="000000"/>
          <w:sz w:val="24"/>
          <w:lang w:val="zh-CN"/>
        </w:rPr>
        <w:t>当对构配件质量有疑问时，应进行质量抽检和实验。</w:t>
      </w:r>
    </w:p>
    <w:p w:rsidR="00E7704A">
      <w:pPr>
        <w:pStyle w:val="Normal0"/>
        <w:numPr>
          <w:ilvl w:val="0"/>
          <w:numId w:val="20"/>
        </w:numPr>
        <w:spacing w:line="360" w:lineRule="auto"/>
        <w:rPr>
          <w:rFonts w:ascii="宋体" w:hAnsi="宋体"/>
          <w:color w:val="000000"/>
          <w:sz w:val="24"/>
          <w:lang w:val="zh-CN"/>
        </w:rPr>
      </w:pPr>
      <w:r>
        <w:rPr>
          <w:rFonts w:ascii="宋体" w:hAnsi="宋体"/>
          <w:color w:val="000000"/>
          <w:sz w:val="24"/>
          <w:lang w:val="zh-CN"/>
        </w:rPr>
        <w:t>脚手架下列阶段进行检查与验收，应按规定对脚手架工程的质量进行检查，经检查合格后方可交付使用</w:t>
      </w:r>
    </w:p>
    <w:p w:rsidR="00E7704A">
      <w:pPr>
        <w:pStyle w:val="Normal0"/>
        <w:numPr>
          <w:ilvl w:val="0"/>
          <w:numId w:val="21"/>
        </w:numPr>
        <w:spacing w:line="360" w:lineRule="auto"/>
        <w:rPr>
          <w:rFonts w:ascii="宋体" w:hAnsi="宋体"/>
          <w:color w:val="000000"/>
          <w:sz w:val="24"/>
          <w:lang w:val="zh-CN"/>
        </w:rPr>
      </w:pPr>
      <w:r>
        <w:rPr>
          <w:rFonts w:ascii="宋体" w:hAnsi="宋体"/>
          <w:color w:val="000000"/>
          <w:sz w:val="24"/>
          <w:lang w:val="zh-CN"/>
        </w:rPr>
        <w:t>基础完工后及脚手架搭设前；</w:t>
      </w:r>
    </w:p>
    <w:p w:rsidR="00E7704A">
      <w:pPr>
        <w:pStyle w:val="Normal0"/>
        <w:numPr>
          <w:ilvl w:val="0"/>
          <w:numId w:val="21"/>
        </w:numPr>
        <w:spacing w:line="360" w:lineRule="auto"/>
        <w:rPr>
          <w:rFonts w:ascii="宋体" w:hAnsi="宋体"/>
          <w:color w:val="000000"/>
          <w:sz w:val="24"/>
          <w:lang w:val="zh-CN"/>
        </w:rPr>
      </w:pPr>
      <w:r>
        <w:rPr>
          <w:rFonts w:ascii="宋体" w:hAnsi="宋体"/>
          <w:color w:val="000000"/>
          <w:sz w:val="24"/>
          <w:lang w:val="zh-CN"/>
        </w:rPr>
        <w:t>作业层上施加荷载前；</w:t>
      </w:r>
    </w:p>
    <w:p w:rsidR="00E7704A">
      <w:pPr>
        <w:pStyle w:val="Normal0"/>
        <w:numPr>
          <w:ilvl w:val="0"/>
          <w:numId w:val="21"/>
        </w:numPr>
        <w:spacing w:line="360" w:lineRule="auto"/>
        <w:rPr>
          <w:rFonts w:ascii="宋体" w:hAnsi="宋体"/>
          <w:color w:val="000000"/>
          <w:sz w:val="24"/>
          <w:lang w:val="zh-CN"/>
        </w:rPr>
      </w:pPr>
      <w:r>
        <w:rPr>
          <w:rFonts w:ascii="宋体" w:hAnsi="宋体"/>
          <w:color w:val="000000"/>
          <w:sz w:val="24"/>
          <w:lang w:val="zh-CN"/>
        </w:rPr>
        <w:t>每搭设完两层后；</w:t>
      </w:r>
    </w:p>
    <w:p w:rsidR="00E7704A">
      <w:pPr>
        <w:pStyle w:val="Normal0"/>
        <w:numPr>
          <w:ilvl w:val="0"/>
          <w:numId w:val="21"/>
        </w:numPr>
        <w:spacing w:line="360" w:lineRule="auto"/>
        <w:rPr>
          <w:rFonts w:ascii="宋体" w:hAnsi="宋体"/>
          <w:color w:val="000000"/>
          <w:sz w:val="24"/>
          <w:lang w:val="zh-CN"/>
        </w:rPr>
      </w:pPr>
      <w:r>
        <w:rPr>
          <w:rFonts w:ascii="宋体" w:hAnsi="宋体"/>
          <w:color w:val="000000"/>
          <w:sz w:val="24"/>
          <w:lang w:val="zh-CN"/>
        </w:rPr>
        <w:t>达到设计高度后；</w:t>
      </w:r>
    </w:p>
    <w:p w:rsidR="00E7704A">
      <w:pPr>
        <w:pStyle w:val="Normal0"/>
        <w:numPr>
          <w:ilvl w:val="0"/>
          <w:numId w:val="21"/>
        </w:numPr>
        <w:spacing w:line="360" w:lineRule="auto"/>
        <w:rPr>
          <w:rFonts w:ascii="宋体" w:hAnsi="宋体"/>
          <w:color w:val="000000"/>
          <w:sz w:val="24"/>
          <w:lang w:val="zh-CN"/>
        </w:rPr>
      </w:pPr>
      <w:r>
        <w:rPr>
          <w:rFonts w:ascii="宋体" w:hAnsi="宋体"/>
          <w:color w:val="000000"/>
          <w:sz w:val="24"/>
          <w:lang w:val="zh-CN"/>
        </w:rPr>
        <w:t>遇有六级强风及以上风或大雨后；冻结地区解冻后；</w:t>
      </w:r>
    </w:p>
    <w:p w:rsidR="00E7704A">
      <w:pPr>
        <w:pStyle w:val="Normal0"/>
        <w:numPr>
          <w:ilvl w:val="0"/>
          <w:numId w:val="21"/>
        </w:numPr>
        <w:spacing w:line="360" w:lineRule="auto"/>
        <w:rPr>
          <w:rFonts w:ascii="宋体" w:hAnsi="宋体"/>
          <w:color w:val="000000"/>
          <w:sz w:val="24"/>
          <w:lang w:val="zh-CN"/>
        </w:rPr>
      </w:pPr>
      <w:r>
        <w:rPr>
          <w:rFonts w:ascii="宋体" w:hAnsi="宋体"/>
          <w:color w:val="000000"/>
          <w:sz w:val="24"/>
          <w:lang w:val="zh-CN"/>
        </w:rPr>
        <w:t>停用超过一个月。</w:t>
      </w:r>
    </w:p>
    <w:p w:rsidR="00E7704A">
      <w:pPr>
        <w:pStyle w:val="Normal0"/>
        <w:numPr>
          <w:ilvl w:val="0"/>
          <w:numId w:val="20"/>
        </w:numPr>
        <w:spacing w:line="360" w:lineRule="auto"/>
        <w:rPr>
          <w:rFonts w:ascii="宋体" w:hAnsi="宋体"/>
          <w:color w:val="000000"/>
          <w:sz w:val="24"/>
          <w:lang w:val="zh-CN"/>
        </w:rPr>
      </w:pPr>
      <w:r>
        <w:rPr>
          <w:rFonts w:ascii="宋体" w:hAnsi="宋体"/>
          <w:color w:val="000000"/>
          <w:sz w:val="24"/>
          <w:lang w:val="zh-CN"/>
        </w:rPr>
        <w:t>验收时应具备下列文件</w:t>
      </w:r>
    </w:p>
    <w:p w:rsidR="00E7704A">
      <w:pPr>
        <w:pStyle w:val="Normal0"/>
        <w:numPr>
          <w:ilvl w:val="0"/>
          <w:numId w:val="22"/>
        </w:numPr>
        <w:spacing w:line="360" w:lineRule="auto"/>
        <w:rPr>
          <w:rFonts w:ascii="宋体" w:hAnsi="宋体"/>
          <w:color w:val="000000"/>
          <w:sz w:val="24"/>
          <w:lang w:val="zh-CN"/>
        </w:rPr>
      </w:pPr>
      <w:r>
        <w:rPr>
          <w:rFonts w:ascii="宋体" w:hAnsi="宋体"/>
          <w:color w:val="000000"/>
          <w:sz w:val="24"/>
          <w:lang w:val="zh-CN"/>
        </w:rPr>
        <w:t>根据编制依据相关文件规范、标准要求所形成的施工组织设计文件；</w:t>
      </w:r>
    </w:p>
    <w:p w:rsidR="00E7704A">
      <w:pPr>
        <w:pStyle w:val="Normal0"/>
        <w:numPr>
          <w:ilvl w:val="0"/>
          <w:numId w:val="22"/>
        </w:numPr>
        <w:spacing w:line="360" w:lineRule="auto"/>
        <w:rPr>
          <w:rFonts w:ascii="宋体" w:hAnsi="宋体"/>
          <w:color w:val="000000"/>
          <w:sz w:val="24"/>
          <w:lang w:val="zh-CN"/>
        </w:rPr>
      </w:pPr>
      <w:r>
        <w:rPr>
          <w:rFonts w:ascii="宋体" w:hAnsi="宋体"/>
          <w:color w:val="000000"/>
          <w:sz w:val="24"/>
          <w:lang w:val="zh-CN"/>
        </w:rPr>
        <w:t>专项施工方案及变更文件；</w:t>
      </w:r>
    </w:p>
    <w:p w:rsidR="00E7704A">
      <w:pPr>
        <w:pStyle w:val="Normal0"/>
        <w:numPr>
          <w:ilvl w:val="0"/>
          <w:numId w:val="22"/>
        </w:numPr>
        <w:spacing w:line="360" w:lineRule="auto"/>
        <w:rPr>
          <w:rFonts w:ascii="宋体" w:hAnsi="宋体"/>
          <w:color w:val="000000"/>
          <w:sz w:val="24"/>
          <w:lang w:val="zh-CN"/>
        </w:rPr>
      </w:pPr>
      <w:r>
        <w:rPr>
          <w:rFonts w:ascii="宋体" w:hAnsi="宋体"/>
          <w:color w:val="000000"/>
          <w:sz w:val="24"/>
          <w:lang w:val="zh-CN"/>
        </w:rPr>
        <w:t>安全技术交底文件；</w:t>
      </w:r>
    </w:p>
    <w:p w:rsidR="00E7704A">
      <w:pPr>
        <w:pStyle w:val="Normal0"/>
        <w:numPr>
          <w:ilvl w:val="0"/>
          <w:numId w:val="22"/>
        </w:numPr>
        <w:spacing w:line="360" w:lineRule="auto"/>
        <w:rPr>
          <w:rFonts w:ascii="宋体" w:hAnsi="宋体"/>
          <w:color w:val="000000"/>
          <w:sz w:val="24"/>
          <w:lang w:val="zh-CN"/>
        </w:rPr>
      </w:pPr>
      <w:r>
        <w:rPr>
          <w:rFonts w:ascii="宋体" w:hAnsi="宋体"/>
          <w:color w:val="000000"/>
          <w:sz w:val="24"/>
          <w:lang w:val="zh-CN"/>
        </w:rPr>
        <w:t>脚手架构配件的出厂合格证或质量分类合格标志；</w:t>
      </w:r>
    </w:p>
    <w:p w:rsidR="00E7704A">
      <w:pPr>
        <w:pStyle w:val="Normal0"/>
        <w:numPr>
          <w:ilvl w:val="0"/>
          <w:numId w:val="22"/>
        </w:numPr>
        <w:spacing w:line="360" w:lineRule="auto"/>
        <w:rPr>
          <w:rFonts w:ascii="宋体" w:hAnsi="宋体"/>
          <w:color w:val="000000"/>
          <w:sz w:val="24"/>
          <w:lang w:val="zh-CN"/>
        </w:rPr>
      </w:pPr>
      <w:r>
        <w:rPr>
          <w:rFonts w:ascii="宋体" w:hAnsi="宋体"/>
          <w:color w:val="000000"/>
          <w:sz w:val="24"/>
          <w:lang w:val="zh-CN"/>
        </w:rPr>
        <w:t>脚手架工程的施工记录及质量检查记录；</w:t>
      </w:r>
    </w:p>
    <w:p w:rsidR="00E7704A">
      <w:pPr>
        <w:pStyle w:val="Normal0"/>
        <w:numPr>
          <w:ilvl w:val="0"/>
          <w:numId w:val="22"/>
        </w:numPr>
        <w:spacing w:line="360" w:lineRule="auto"/>
        <w:rPr>
          <w:rFonts w:ascii="宋体" w:hAnsi="宋体"/>
          <w:color w:val="000000"/>
          <w:sz w:val="24"/>
          <w:lang w:val="zh-CN"/>
        </w:rPr>
      </w:pPr>
      <w:r>
        <w:rPr>
          <w:rFonts w:ascii="宋体" w:hAnsi="宋体"/>
          <w:color w:val="000000"/>
          <w:sz w:val="24"/>
          <w:lang w:val="zh-CN"/>
        </w:rPr>
        <w:t>脚手架搭设过程中出现的重要问题及处理记录；</w:t>
      </w:r>
    </w:p>
    <w:p w:rsidR="00E7704A">
      <w:pPr>
        <w:pStyle w:val="Normal0"/>
        <w:numPr>
          <w:ilvl w:val="0"/>
          <w:numId w:val="22"/>
        </w:numPr>
        <w:spacing w:line="360" w:lineRule="auto"/>
        <w:rPr>
          <w:rFonts w:ascii="宋体" w:hAnsi="宋体"/>
          <w:color w:val="000000"/>
          <w:sz w:val="24"/>
          <w:lang w:val="zh-CN"/>
        </w:rPr>
      </w:pPr>
      <w:r>
        <w:rPr>
          <w:rFonts w:ascii="宋体" w:hAnsi="宋体"/>
          <w:color w:val="000000"/>
          <w:sz w:val="24"/>
          <w:lang w:val="zh-CN"/>
        </w:rPr>
        <w:t>脚手架工程的施工验收报告。</w:t>
      </w:r>
    </w:p>
    <w:p w:rsidR="00E7704A">
      <w:pPr>
        <w:pStyle w:val="Normal0"/>
        <w:numPr>
          <w:ilvl w:val="0"/>
          <w:numId w:val="20"/>
        </w:numPr>
        <w:spacing w:line="360" w:lineRule="auto"/>
        <w:rPr>
          <w:rFonts w:ascii="宋体" w:hAnsi="宋体"/>
          <w:color w:val="000000"/>
          <w:sz w:val="24"/>
          <w:lang w:val="zh-CN"/>
        </w:rPr>
      </w:pPr>
      <w:r>
        <w:rPr>
          <w:rFonts w:ascii="宋体" w:hAnsi="宋体"/>
          <w:color w:val="000000"/>
          <w:sz w:val="24"/>
          <w:lang w:val="zh-CN"/>
        </w:rPr>
        <w:t>架子搭设和组装完毕，使用前必须由项目经理、技术负责人、项目安全负责人、架子班长等人员组成验收小组，进行验收，并填写验收单。</w:t>
      </w:r>
    </w:p>
    <w:p w:rsidR="00E7704A">
      <w:pPr>
        <w:pStyle w:val="Normal0"/>
        <w:numPr>
          <w:ilvl w:val="0"/>
          <w:numId w:val="20"/>
        </w:numPr>
        <w:spacing w:line="360" w:lineRule="auto"/>
        <w:rPr>
          <w:rFonts w:ascii="宋体" w:hAnsi="宋体"/>
          <w:color w:val="000000"/>
          <w:sz w:val="24"/>
          <w:lang w:val="zh-CN"/>
        </w:rPr>
      </w:pPr>
      <w:r>
        <w:rPr>
          <w:rFonts w:ascii="宋体" w:hAnsi="宋体"/>
          <w:color w:val="000000"/>
          <w:sz w:val="24"/>
          <w:lang w:val="zh-CN"/>
        </w:rPr>
        <w:t>脚手架工程的验收，除查验有关文件外，还应进行现场检查，检查应着重以下各项，并记入施工验收报告。</w:t>
      </w:r>
    </w:p>
    <w:p w:rsidR="00E7704A">
      <w:pPr>
        <w:pStyle w:val="Normal0"/>
        <w:numPr>
          <w:ilvl w:val="0"/>
          <w:numId w:val="21"/>
        </w:numPr>
        <w:spacing w:line="360" w:lineRule="auto"/>
        <w:jc w:val="left"/>
        <w:rPr>
          <w:rFonts w:ascii="宋体" w:hAnsi="宋体"/>
          <w:color w:val="000000"/>
          <w:sz w:val="24"/>
          <w:lang w:val="zh-CN"/>
        </w:rPr>
      </w:pPr>
      <w:r>
        <w:rPr>
          <w:rFonts w:ascii="宋体" w:hAnsi="宋体"/>
          <w:color w:val="000000"/>
          <w:sz w:val="24"/>
          <w:lang w:val="zh-CN"/>
        </w:rPr>
        <w:t>构配件和加固件是否齐全，质量是否合格，连接和挂扣是否紧固可靠，钢丝绳是否松动、断股等；</w:t>
      </w:r>
    </w:p>
    <w:p w:rsidR="00E7704A">
      <w:pPr>
        <w:pStyle w:val="Normal0"/>
        <w:numPr>
          <w:ilvl w:val="0"/>
          <w:numId w:val="21"/>
        </w:numPr>
        <w:spacing w:line="360" w:lineRule="auto"/>
        <w:jc w:val="left"/>
        <w:rPr>
          <w:rFonts w:ascii="宋体" w:hAnsi="宋体" w:cs="宋体"/>
          <w:b/>
          <w:sz w:val="18"/>
        </w:rPr>
      </w:pPr>
      <w:r>
        <w:rPr>
          <w:rFonts w:ascii="宋体" w:hAnsi="宋体" w:cs="宋体" w:hint="eastAsia"/>
          <w:sz w:val="24"/>
          <w:lang w:val="zh-CN"/>
        </w:rPr>
        <w:t>安全网的张挂及扶手的设置是否齐全；</w:t>
      </w:r>
    </w:p>
    <w:p w:rsidR="00E7704A">
      <w:pPr>
        <w:pStyle w:val="Normal0"/>
        <w:numPr>
          <w:ilvl w:val="0"/>
          <w:numId w:val="21"/>
        </w:numPr>
        <w:spacing w:line="360" w:lineRule="auto"/>
        <w:jc w:val="left"/>
        <w:rPr>
          <w:rFonts w:ascii="宋体" w:hAnsi="宋体" w:cs="宋体"/>
          <w:b/>
          <w:sz w:val="18"/>
        </w:rPr>
      </w:pPr>
      <w:r>
        <w:rPr>
          <w:rFonts w:ascii="宋体" w:hAnsi="宋体" w:cs="宋体" w:hint="eastAsia"/>
          <w:sz w:val="24"/>
          <w:lang w:val="zh-CN"/>
        </w:rPr>
        <w:t>地基是否积水，底座是否松动；</w:t>
      </w:r>
    </w:p>
    <w:p w:rsidR="00E7704A">
      <w:pPr>
        <w:pStyle w:val="Normal0"/>
        <w:numPr>
          <w:ilvl w:val="0"/>
          <w:numId w:val="21"/>
        </w:numPr>
        <w:spacing w:line="360" w:lineRule="auto"/>
        <w:jc w:val="left"/>
        <w:rPr>
          <w:rFonts w:ascii="宋体" w:hAnsi="宋体"/>
          <w:color w:val="000000"/>
          <w:sz w:val="24"/>
          <w:lang w:val="zh-CN"/>
        </w:rPr>
      </w:pPr>
      <w:r>
        <w:rPr>
          <w:rFonts w:ascii="宋体" w:hAnsi="宋体"/>
          <w:color w:val="000000"/>
          <w:sz w:val="24"/>
          <w:lang w:val="zh-CN"/>
        </w:rPr>
        <w:t>杆件的设置和连接，连墙件、支撑、门洞桁架等的构造是否符合要求；立杆是否悬空；</w:t>
      </w:r>
    </w:p>
    <w:p w:rsidR="00E7704A">
      <w:pPr>
        <w:pStyle w:val="Normal0"/>
        <w:numPr>
          <w:ilvl w:val="0"/>
          <w:numId w:val="21"/>
        </w:numPr>
        <w:spacing w:line="360" w:lineRule="auto"/>
        <w:jc w:val="left"/>
        <w:rPr>
          <w:rFonts w:ascii="宋体" w:hAnsi="宋体"/>
          <w:color w:val="000000"/>
          <w:sz w:val="24"/>
          <w:lang w:val="zh-CN"/>
        </w:rPr>
        <w:sectPr>
          <w:type w:val="nextPage"/>
          <w:pgSz w:w="11906" w:h="16838"/>
          <w:pgMar w:top="1440" w:right="1800" w:bottom="1440" w:left="1800" w:header="851" w:footer="992" w:gutter="0"/>
          <w:pgNumType w:start="21"/>
          <w:cols w:space="425"/>
          <w:titlePg w:val="0"/>
          <w:docGrid w:type="lines" w:linePitch="312"/>
        </w:sectPr>
      </w:pPr>
      <w:r>
        <w:rPr>
          <w:rFonts w:ascii="宋体" w:hAnsi="宋体"/>
          <w:color w:val="000000"/>
          <w:sz w:val="24"/>
          <w:lang w:val="zh-CN"/>
        </w:rPr>
        <w:t>垂直度、水平度及立杆的沉降是否合格；</w:t>
      </w:r>
    </w:p>
    <w:p w:rsidR="00E7704A">
      <w:pPr>
        <w:pStyle w:val="Normal0"/>
        <w:numPr>
          <w:ilvl w:val="0"/>
          <w:numId w:val="21"/>
        </w:numPr>
        <w:spacing w:line="360" w:lineRule="auto"/>
        <w:jc w:val="left"/>
        <w:rPr>
          <w:rFonts w:ascii="宋体" w:hAnsi="宋体"/>
          <w:color w:val="000000"/>
          <w:sz w:val="24"/>
          <w:lang w:val="zh-CN"/>
        </w:rPr>
      </w:pPr>
      <w:r>
        <w:rPr>
          <w:rFonts w:ascii="宋体" w:hAnsi="宋体"/>
          <w:color w:val="000000"/>
          <w:sz w:val="24"/>
          <w:lang w:val="zh-CN"/>
        </w:rPr>
        <w:t>搭设脚手架时，应有保证</w:t>
      </w:r>
      <w:r>
        <w:rPr>
          <w:rFonts w:ascii="宋体" w:hAnsi="宋体"/>
          <w:color w:val="000000"/>
          <w:sz w:val="24"/>
          <w:lang w:val="zh-CN"/>
        </w:rPr>
        <w:t>安全上下的爬梯或斜道，严禁攀登架体上下。</w:t>
      </w:r>
    </w:p>
    <w:p w:rsidR="00E7704A">
      <w:pPr>
        <w:pStyle w:val="Normal0"/>
        <w:numPr>
          <w:ilvl w:val="0"/>
          <w:numId w:val="21"/>
        </w:numPr>
        <w:spacing w:line="360" w:lineRule="auto"/>
        <w:jc w:val="left"/>
        <w:rPr>
          <w:rFonts w:ascii="宋体" w:hAnsi="宋体"/>
          <w:color w:val="000000"/>
          <w:sz w:val="24"/>
          <w:lang w:val="zh-CN"/>
        </w:rPr>
      </w:pPr>
      <w:r>
        <w:rPr>
          <w:rFonts w:ascii="宋体" w:hAnsi="宋体"/>
          <w:color w:val="000000"/>
          <w:sz w:val="24"/>
          <w:lang w:val="zh-CN"/>
        </w:rPr>
        <w:t>扣件螺栓是否松动；</w:t>
      </w:r>
    </w:p>
    <w:p w:rsidR="00E7704A">
      <w:pPr>
        <w:pStyle w:val="Normal0"/>
        <w:numPr>
          <w:ilvl w:val="0"/>
          <w:numId w:val="21"/>
        </w:numPr>
        <w:spacing w:line="360" w:lineRule="auto"/>
        <w:jc w:val="left"/>
        <w:rPr>
          <w:rFonts w:ascii="宋体" w:hAnsi="宋体"/>
          <w:color w:val="000000"/>
          <w:sz w:val="24"/>
          <w:lang w:val="zh-CN"/>
        </w:rPr>
      </w:pPr>
      <w:r>
        <w:rPr>
          <w:rFonts w:ascii="宋体" w:hAnsi="宋体"/>
          <w:color w:val="000000"/>
          <w:sz w:val="24"/>
          <w:lang w:val="zh-CN"/>
        </w:rPr>
        <w:t>架体是否超载；</w:t>
      </w:r>
    </w:p>
    <w:p w:rsidR="00E7704A">
      <w:pPr>
        <w:pStyle w:val="Normal0"/>
        <w:jc w:val="left"/>
        <w:rPr>
          <w:rFonts w:ascii="Arial" w:hAnsi="Arial"/>
          <w:b/>
          <w:color w:val="FF0000"/>
          <w:sz w:val="18"/>
        </w:rPr>
      </w:pPr>
    </w:p>
    <w:p w:rsidR="00E7704A">
      <w:pPr>
        <w:pStyle w:val="Normal0"/>
        <w:numPr>
          <w:ilvl w:val="0"/>
          <w:numId w:val="20"/>
        </w:numPr>
        <w:spacing w:line="360" w:lineRule="auto"/>
        <w:rPr>
          <w:rFonts w:ascii="宋体" w:hAnsi="宋体"/>
          <w:color w:val="000000"/>
          <w:sz w:val="24"/>
          <w:lang w:val="zh-CN"/>
        </w:rPr>
      </w:pPr>
      <w:r>
        <w:rPr>
          <w:rFonts w:ascii="宋体" w:hAnsi="宋体"/>
          <w:color w:val="000000"/>
          <w:sz w:val="24"/>
          <w:lang w:val="zh-CN"/>
        </w:rPr>
        <w:t>脚手架检查验收严格按照《建筑施工安全检查标准》</w:t>
      </w:r>
      <w:r>
        <w:rPr>
          <w:rFonts w:eastAsia="Times New Roman" w:hint="eastAsia"/>
          <w:color w:val="000000"/>
          <w:sz w:val="24"/>
        </w:rPr>
        <w:t>JGJ59</w:t>
      </w:r>
      <w:r>
        <w:rPr>
          <w:rFonts w:ascii="宋体" w:hAnsi="宋体"/>
          <w:color w:val="000000"/>
          <w:sz w:val="24"/>
          <w:lang w:val="zh-CN"/>
        </w:rPr>
        <w:t>的检查评分表进行。</w:t>
      </w:r>
    </w:p>
    <w:p w:rsidR="00E7704A">
      <w:pPr>
        <w:pStyle w:val="Normal0"/>
        <w:numPr>
          <w:ilvl w:val="0"/>
          <w:numId w:val="20"/>
        </w:numPr>
        <w:spacing w:line="360" w:lineRule="auto"/>
        <w:rPr>
          <w:rFonts w:ascii="宋体" w:hAnsi="宋体"/>
          <w:color w:val="000000"/>
          <w:sz w:val="24"/>
          <w:lang w:val="zh-CN"/>
        </w:rPr>
      </w:pPr>
      <w:r>
        <w:rPr>
          <w:rFonts w:ascii="宋体" w:hAnsi="宋体"/>
          <w:color w:val="000000"/>
          <w:sz w:val="24"/>
          <w:lang w:val="zh-CN"/>
        </w:rPr>
        <w:t>脚手架使用期间的检查</w:t>
      </w:r>
    </w:p>
    <w:p w:rsidR="00E7704A">
      <w:pPr>
        <w:pStyle w:val="Normal0"/>
        <w:numPr>
          <w:ilvl w:val="0"/>
          <w:numId w:val="23"/>
        </w:numPr>
        <w:spacing w:line="360" w:lineRule="auto"/>
        <w:rPr>
          <w:rFonts w:ascii="宋体" w:hAnsi="宋体"/>
          <w:color w:val="000000"/>
          <w:sz w:val="24"/>
          <w:lang w:val="zh-CN"/>
        </w:rPr>
      </w:pPr>
      <w:r>
        <w:rPr>
          <w:rFonts w:ascii="宋体" w:hAnsi="宋体"/>
          <w:color w:val="000000"/>
          <w:sz w:val="24"/>
          <w:lang w:val="zh-CN"/>
        </w:rPr>
        <w:t>脚手架使用期间必须设专人经常检查，当其从安全维护架转换为装饰施工时，必须及时进行检查，符合要求后，必须经过项目技术负责人（项目经理）签字批准，才能使用。</w:t>
      </w:r>
    </w:p>
    <w:p w:rsidR="00E7704A">
      <w:pPr>
        <w:pStyle w:val="Normal0"/>
        <w:numPr>
          <w:ilvl w:val="0"/>
          <w:numId w:val="23"/>
        </w:numPr>
        <w:spacing w:line="360" w:lineRule="auto"/>
        <w:rPr>
          <w:rFonts w:ascii="宋体" w:hAnsi="宋体"/>
          <w:color w:val="000000"/>
          <w:sz w:val="24"/>
          <w:lang w:val="zh-CN"/>
        </w:rPr>
      </w:pPr>
      <w:r>
        <w:rPr>
          <w:rFonts w:ascii="宋体" w:hAnsi="宋体"/>
          <w:color w:val="000000"/>
          <w:sz w:val="24"/>
          <w:lang w:val="zh-CN"/>
        </w:rPr>
        <w:t>检查后不合格部位必须及时修复或更换，符合规定后，方准许继续使用。</w:t>
      </w:r>
    </w:p>
    <w:p w:rsidR="00E7704A">
      <w:pPr>
        <w:pStyle w:val="Normal0"/>
        <w:numPr>
          <w:ilvl w:val="0"/>
          <w:numId w:val="20"/>
        </w:numPr>
        <w:spacing w:line="360" w:lineRule="auto"/>
        <w:rPr>
          <w:rFonts w:eastAsia="Times New Roman"/>
          <w:sz w:val="24"/>
        </w:rPr>
      </w:pPr>
      <w:r>
        <w:rPr>
          <w:rFonts w:ascii="宋体" w:hAnsi="宋体"/>
          <w:color w:val="000000"/>
          <w:sz w:val="24"/>
          <w:lang w:val="zh-CN"/>
        </w:rPr>
        <w:t>脚手架必须验收检查合格后办妥脚手架验收手续，在脚手架醒目处挂上脚手架验收合格牌后，方可投入使用。</w:t>
      </w:r>
    </w:p>
    <w:p w:rsidR="00E7704A">
      <w:pPr>
        <w:pStyle w:val="Normal0"/>
        <w:spacing w:line="360" w:lineRule="auto"/>
        <w:rPr>
          <w:rFonts w:ascii="宋体" w:hAnsi="宋体"/>
          <w:color w:val="000000"/>
          <w:sz w:val="24"/>
          <w:lang w:val="zh-CN"/>
        </w:rPr>
      </w:pPr>
    </w:p>
    <w:p w:rsidR="00E7704A">
      <w:pPr>
        <w:pStyle w:val="Normal0"/>
        <w:spacing w:line="360" w:lineRule="auto"/>
        <w:rPr>
          <w:rFonts w:ascii="宋体" w:hAnsi="宋体"/>
          <w:color w:val="000000"/>
          <w:sz w:val="24"/>
          <w:lang w:val="zh-CN"/>
        </w:rPr>
      </w:pPr>
    </w:p>
    <w:p w:rsidR="00E7704A">
      <w:pPr>
        <w:pStyle w:val="Normal0"/>
        <w:spacing w:line="360" w:lineRule="auto"/>
        <w:rPr>
          <w:rFonts w:ascii="宋体" w:hAnsi="宋体"/>
          <w:color w:val="000000"/>
          <w:sz w:val="24"/>
          <w:lang w:val="zh-CN"/>
        </w:rPr>
      </w:pPr>
    </w:p>
    <w:p w:rsidR="00E7704A">
      <w:pPr>
        <w:pStyle w:val="Normal0"/>
        <w:spacing w:line="360" w:lineRule="auto"/>
        <w:rPr>
          <w:rFonts w:ascii="宋体" w:hAnsi="宋体"/>
          <w:color w:val="000000"/>
          <w:sz w:val="24"/>
          <w:lang w:val="zh-CN"/>
        </w:rPr>
      </w:pPr>
    </w:p>
    <w:p w:rsidR="00E7704A">
      <w:pPr>
        <w:pStyle w:val="Normal0"/>
        <w:spacing w:line="360" w:lineRule="auto"/>
        <w:rPr>
          <w:rFonts w:ascii="宋体" w:hAnsi="宋体"/>
          <w:color w:val="000000"/>
          <w:sz w:val="24"/>
          <w:lang w:val="zh-CN"/>
        </w:rPr>
      </w:pPr>
    </w:p>
    <w:p w:rsidR="00E7704A">
      <w:pPr>
        <w:pStyle w:val="Normal0"/>
        <w:spacing w:line="360" w:lineRule="auto"/>
        <w:rPr>
          <w:rFonts w:ascii="宋体" w:hAnsi="宋体"/>
          <w:color w:val="000000"/>
          <w:sz w:val="24"/>
          <w:lang w:val="zh-CN"/>
        </w:rPr>
      </w:pPr>
    </w:p>
    <w:p w:rsidR="00E7704A">
      <w:pPr>
        <w:pStyle w:val="Normal0"/>
        <w:spacing w:line="360" w:lineRule="auto"/>
        <w:rPr>
          <w:rFonts w:ascii="宋体" w:hAnsi="宋体"/>
          <w:color w:val="000000"/>
          <w:sz w:val="24"/>
          <w:lang w:val="zh-CN"/>
        </w:rPr>
      </w:pPr>
    </w:p>
    <w:p w:rsidR="00E7704A">
      <w:pPr>
        <w:pStyle w:val="Normal0"/>
        <w:spacing w:line="360" w:lineRule="auto"/>
        <w:rPr>
          <w:rFonts w:ascii="宋体" w:hAnsi="宋体"/>
          <w:color w:val="000000"/>
          <w:sz w:val="24"/>
          <w:lang w:val="zh-CN"/>
        </w:rPr>
      </w:pPr>
    </w:p>
    <w:p w:rsidR="00E7704A">
      <w:pPr>
        <w:pStyle w:val="Normal0"/>
        <w:spacing w:line="360" w:lineRule="auto"/>
        <w:rPr>
          <w:rFonts w:ascii="宋体" w:hAnsi="宋体"/>
          <w:color w:val="000000"/>
          <w:sz w:val="24"/>
          <w:lang w:val="zh-CN"/>
        </w:rPr>
      </w:pPr>
    </w:p>
    <w:p w:rsidR="00E7704A">
      <w:pPr>
        <w:pStyle w:val="Normal0"/>
        <w:spacing w:line="360" w:lineRule="auto"/>
        <w:rPr>
          <w:rFonts w:ascii="宋体" w:hAnsi="宋体"/>
          <w:color w:val="000000"/>
          <w:sz w:val="24"/>
          <w:lang w:val="zh-CN"/>
        </w:rPr>
      </w:pPr>
    </w:p>
    <w:p w:rsidR="00E7704A">
      <w:pPr>
        <w:pStyle w:val="10"/>
        <w:rPr>
          <w:rFonts w:ascii="Times New Roman" w:eastAsia="Times New Roman" w:hAnsi="Times New Roman" w:hint="default"/>
          <w:sz w:val="24"/>
          <w:lang w:val="zh-CN"/>
        </w:rPr>
      </w:pPr>
      <w:bookmarkStart w:id="13" w:name="_Toc22742"/>
      <w:r>
        <w:t>施工安全保证措施</w:t>
      </w:r>
      <w:bookmarkEnd w:id="13"/>
    </w:p>
    <w:p w:rsidR="00E7704A">
      <w:pPr>
        <w:pStyle w:val="2"/>
        <w:rPr>
          <w:rFonts w:hint="default"/>
        </w:rPr>
      </w:pPr>
      <w:bookmarkStart w:id="14" w:name="_Toc14747"/>
      <w:r>
        <w:t>组织保障</w:t>
      </w:r>
      <w:bookmarkEnd w:id="14"/>
    </w:p>
    <w:p w:rsidR="00E7704A">
      <w:pPr>
        <w:pStyle w:val="Normal0"/>
        <w:spacing w:line="360" w:lineRule="auto"/>
        <w:ind w:firstLine="480"/>
        <w:rPr>
          <w:rFonts w:ascii="宋体" w:hAnsi="宋体"/>
          <w:sz w:val="24"/>
          <w:lang w:val="zh-CN"/>
        </w:rPr>
        <w:sectPr>
          <w:type w:val="nextPage"/>
          <w:pgSz w:w="11906" w:h="16838"/>
          <w:pgMar w:top="1440" w:right="1800" w:bottom="1440" w:left="1800" w:header="851" w:footer="992" w:gutter="0"/>
          <w:pgNumType w:start="22"/>
          <w:cols w:space="425"/>
          <w:titlePg w:val="0"/>
          <w:docGrid w:type="lines" w:linePitch="312"/>
        </w:sectPr>
      </w:pPr>
      <w:r>
        <w:rPr>
          <w:rFonts w:ascii="宋体" w:hAnsi="宋体"/>
          <w:sz w:val="24"/>
          <w:lang w:val="zh-CN"/>
        </w:rPr>
        <w:t>1</w:t>
      </w:r>
      <w:r>
        <w:rPr>
          <w:rFonts w:ascii="宋体" w:hAnsi="宋体"/>
          <w:sz w:val="24"/>
          <w:lang w:val="zh-CN"/>
        </w:rPr>
        <w:t>、安全保证体系</w:t>
      </w:r>
    </w:p>
    <w:p w:rsidR="00E7704A">
      <w:pPr>
        <w:pStyle w:val="Normal0"/>
        <w:spacing w:line="360" w:lineRule="auto"/>
        <w:ind w:firstLine="420"/>
        <w:rPr>
          <w:rFonts w:ascii="宋体" w:hAnsi="宋体"/>
          <w:sz w:val="24"/>
          <w:lang w:val="zh-CN"/>
        </w:rPr>
      </w:pPr>
      <w:r>
        <w:rPr>
          <w:rFonts w:ascii="宋体" w:hAnsi="宋体"/>
          <w:sz w:val="24"/>
          <w:lang w:val="zh-CN"/>
        </w:rPr>
        <w:pict>
          <v:shape id="_x0000_i1041" type="#_x0000_t75" style="width:416.25pt;height:591.75pt">
            <v:imagedata r:id="rId21" o:title=""/>
          </v:shape>
        </w:pict>
      </w:r>
    </w:p>
    <w:p w:rsidR="00E7704A">
      <w:pPr>
        <w:pStyle w:val="Normal0"/>
        <w:spacing w:line="360" w:lineRule="auto"/>
        <w:ind w:firstLine="480"/>
        <w:rPr>
          <w:rFonts w:ascii="宋体" w:hAnsi="宋体"/>
          <w:sz w:val="24"/>
          <w:lang w:val="zh-CN"/>
        </w:rPr>
      </w:pPr>
    </w:p>
    <w:p w:rsidR="00E7704A">
      <w:pPr>
        <w:pStyle w:val="Normal0"/>
        <w:spacing w:line="360" w:lineRule="auto"/>
        <w:ind w:firstLine="480"/>
        <w:rPr>
          <w:rFonts w:ascii="宋体" w:hAnsi="宋体"/>
          <w:sz w:val="24"/>
          <w:lang w:val="zh-CN"/>
        </w:rPr>
      </w:pPr>
    </w:p>
    <w:p w:rsidR="00E7704A">
      <w:pPr>
        <w:pStyle w:val="Normal0"/>
        <w:spacing w:line="360" w:lineRule="auto"/>
        <w:ind w:firstLine="480"/>
        <w:rPr>
          <w:rFonts w:ascii="宋体" w:hAnsi="宋体"/>
          <w:sz w:val="24"/>
          <w:lang w:val="zh-CN"/>
        </w:rPr>
      </w:pPr>
    </w:p>
    <w:p w:rsidR="00E7704A">
      <w:pPr>
        <w:pStyle w:val="Normal0"/>
        <w:spacing w:line="360" w:lineRule="auto"/>
        <w:ind w:firstLine="480"/>
        <w:rPr>
          <w:rFonts w:ascii="宋体" w:hAnsi="宋体"/>
          <w:sz w:val="24"/>
          <w:lang w:val="zh-CN"/>
        </w:rPr>
        <w:sectPr>
          <w:type w:val="nextPage"/>
          <w:pgSz w:w="11906" w:h="16838"/>
          <w:pgMar w:top="1440" w:right="1800" w:bottom="1440" w:left="1800" w:header="851" w:footer="992" w:gutter="0"/>
          <w:pgNumType w:start="23"/>
          <w:cols w:space="425"/>
          <w:titlePg w:val="0"/>
          <w:docGrid w:type="lines" w:linePitch="312"/>
        </w:sectPr>
      </w:pPr>
    </w:p>
    <w:p w:rsidR="00E7704A">
      <w:pPr>
        <w:pStyle w:val="Normal0"/>
        <w:spacing w:line="360" w:lineRule="auto"/>
        <w:ind w:firstLine="480"/>
        <w:rPr>
          <w:rFonts w:ascii="宋体" w:hAnsi="宋体"/>
          <w:sz w:val="24"/>
          <w:lang w:val="zh-CN"/>
        </w:rPr>
      </w:pPr>
      <w:r>
        <w:rPr>
          <w:rFonts w:ascii="宋体" w:hAnsi="宋体"/>
          <w:sz w:val="24"/>
          <w:lang w:val="zh-CN"/>
        </w:rPr>
        <w:t>2</w:t>
      </w:r>
      <w:r>
        <w:rPr>
          <w:rFonts w:ascii="宋体" w:hAnsi="宋体"/>
          <w:sz w:val="24"/>
          <w:lang w:val="zh-CN"/>
        </w:rPr>
        <w:t>、环境保护体系</w:t>
      </w:r>
    </w:p>
    <w:p w:rsidR="00E7704A">
      <w:pPr>
        <w:pStyle w:val="Normal0"/>
        <w:spacing w:line="360" w:lineRule="auto"/>
        <w:ind w:firstLine="420"/>
        <w:rPr>
          <w:rFonts w:ascii="宋体" w:hAnsi="宋体"/>
          <w:sz w:val="24"/>
          <w:lang w:val="zh-CN"/>
        </w:rPr>
      </w:pPr>
      <w:r>
        <w:rPr>
          <w:rFonts w:ascii="宋体" w:hAnsi="宋体"/>
          <w:sz w:val="24"/>
          <w:lang w:val="zh-CN"/>
        </w:rPr>
        <w:pict>
          <v:shape id="_x0000_i1042" type="#_x0000_t75" style="width:426.75pt;height:627pt">
            <v:imagedata r:id="rId22" o:title=""/>
          </v:shape>
        </w:pict>
      </w:r>
    </w:p>
    <w:p w:rsidR="00E7704A">
      <w:pPr>
        <w:pStyle w:val="Normal0"/>
        <w:spacing w:line="360" w:lineRule="auto"/>
        <w:ind w:firstLine="420"/>
        <w:rPr>
          <w:rFonts w:eastAsia="Times New Roman"/>
          <w:sz w:val="20"/>
        </w:rPr>
        <w:sectPr>
          <w:type w:val="nextPage"/>
          <w:pgSz w:w="11906" w:h="16838"/>
          <w:pgMar w:top="1440" w:right="1800" w:bottom="1440" w:left="1800" w:header="851" w:footer="992" w:gutter="0"/>
          <w:pgNumType w:start="24"/>
          <w:cols w:space="425"/>
          <w:titlePg w:val="0"/>
          <w:docGrid w:type="lines" w:linePitch="312"/>
        </w:sectPr>
      </w:pPr>
    </w:p>
    <w:p w:rsidR="00E7704A">
      <w:pPr>
        <w:pStyle w:val="2"/>
        <w:rPr>
          <w:rFonts w:hint="default"/>
        </w:rPr>
      </w:pPr>
      <w:bookmarkStart w:id="15" w:name="_Toc7536"/>
      <w:r>
        <w:t>技术措施</w:t>
      </w:r>
      <w:bookmarkEnd w:id="15"/>
    </w:p>
    <w:p w:rsidR="00E7704A">
      <w:pPr>
        <w:pStyle w:val="Normal0"/>
        <w:spacing w:line="360" w:lineRule="auto"/>
        <w:jc w:val="left"/>
        <w:rPr>
          <w:rFonts w:ascii="宋体" w:hAnsi="宋体"/>
          <w:color w:val="000000"/>
          <w:sz w:val="24"/>
          <w:lang w:val="zh-CN"/>
        </w:rPr>
      </w:pPr>
      <w:r>
        <w:rPr>
          <w:rFonts w:ascii="宋体" w:hAnsi="宋体"/>
          <w:color w:val="000000"/>
          <w:sz w:val="24"/>
          <w:lang w:val="zh-CN"/>
        </w:rPr>
        <w:t>脚手架搭设技术措施</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脚手架必须配合施工进度搭设，一次搭设高度不应超过相邻连墙件以上二步；如果超过相邻连墙件以上两步，无法设置连墙件时，应采取撑拉固定措施与建筑结构拉结。</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每搭完一步脚手架后，应按《建筑施工扣件式钢管脚手架安全技术规范》</w:t>
      </w:r>
      <w:r>
        <w:rPr>
          <w:rFonts w:eastAsia="Times New Roman" w:hint="eastAsia"/>
          <w:sz w:val="24"/>
        </w:rPr>
        <w:t>JGJ130-2011</w:t>
      </w:r>
      <w:r>
        <w:rPr>
          <w:rFonts w:ascii="宋体" w:hAnsi="宋体"/>
          <w:sz w:val="24"/>
          <w:lang w:val="zh-CN"/>
        </w:rPr>
        <w:t>表</w:t>
      </w:r>
      <w:r>
        <w:rPr>
          <w:rFonts w:eastAsia="Times New Roman" w:hint="eastAsia"/>
          <w:sz w:val="24"/>
        </w:rPr>
        <w:t>8.2.4</w:t>
      </w:r>
      <w:r>
        <w:rPr>
          <w:rFonts w:ascii="宋体" w:hAnsi="宋体"/>
          <w:sz w:val="24"/>
          <w:lang w:val="zh-CN"/>
        </w:rPr>
        <w:t>的规定校正步距、纵距、横距及立杆的垂直度。</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立杆搭设应符合下列规定：</w:t>
      </w:r>
    </w:p>
    <w:p w:rsidR="00E7704A">
      <w:pPr>
        <w:pStyle w:val="Normal0"/>
        <w:numPr>
          <w:ilvl w:val="0"/>
          <w:numId w:val="25"/>
        </w:numPr>
        <w:spacing w:line="360" w:lineRule="auto"/>
        <w:jc w:val="left"/>
        <w:rPr>
          <w:rFonts w:ascii="宋体" w:hAnsi="宋体"/>
          <w:sz w:val="24"/>
          <w:lang w:val="zh-CN"/>
        </w:rPr>
      </w:pPr>
      <w:r>
        <w:rPr>
          <w:rFonts w:ascii="宋体" w:hAnsi="宋体"/>
          <w:sz w:val="24"/>
          <w:lang w:val="zh-CN"/>
        </w:rPr>
        <w:t>相邻立杆的对接连接应符合《建筑施工扣件式钢管脚手架安全技术规范》</w:t>
      </w:r>
      <w:r>
        <w:rPr>
          <w:rFonts w:eastAsia="Times New Roman" w:hint="eastAsia"/>
          <w:sz w:val="24"/>
        </w:rPr>
        <w:t>JGJ130-2011</w:t>
      </w:r>
      <w:r>
        <w:rPr>
          <w:rFonts w:ascii="宋体" w:hAnsi="宋体"/>
          <w:sz w:val="24"/>
          <w:lang w:val="zh-CN"/>
        </w:rPr>
        <w:t>第</w:t>
      </w:r>
      <w:r>
        <w:rPr>
          <w:rFonts w:eastAsia="Times New Roman" w:hint="eastAsia"/>
          <w:sz w:val="24"/>
        </w:rPr>
        <w:t>6.3.6</w:t>
      </w:r>
      <w:r>
        <w:rPr>
          <w:rFonts w:ascii="宋体" w:hAnsi="宋体"/>
          <w:sz w:val="24"/>
          <w:lang w:val="zh-CN"/>
        </w:rPr>
        <w:t>条的规定；</w:t>
      </w:r>
    </w:p>
    <w:p w:rsidR="00E7704A">
      <w:pPr>
        <w:pStyle w:val="Normal0"/>
        <w:numPr>
          <w:ilvl w:val="0"/>
          <w:numId w:val="25"/>
        </w:numPr>
        <w:spacing w:line="360" w:lineRule="auto"/>
        <w:jc w:val="left"/>
        <w:rPr>
          <w:rFonts w:ascii="宋体" w:hAnsi="宋体"/>
          <w:sz w:val="24"/>
          <w:lang w:val="zh-CN"/>
        </w:rPr>
      </w:pPr>
      <w:r>
        <w:rPr>
          <w:rFonts w:ascii="宋体" w:hAnsi="宋体"/>
          <w:sz w:val="24"/>
          <w:lang w:val="zh-CN"/>
        </w:rPr>
        <w:t>脚手架开始搭设立杆时，应每隔</w:t>
      </w:r>
      <w:r>
        <w:rPr>
          <w:rFonts w:eastAsia="Times New Roman" w:hint="eastAsia"/>
          <w:sz w:val="24"/>
        </w:rPr>
        <w:t>6</w:t>
      </w:r>
      <w:r>
        <w:rPr>
          <w:rFonts w:ascii="宋体" w:hAnsi="宋体"/>
          <w:sz w:val="24"/>
          <w:lang w:val="zh-CN"/>
        </w:rPr>
        <w:t>跨设置一根抛撑，直至连墙件安装稳定后，方可根据情况拆除；</w:t>
      </w:r>
    </w:p>
    <w:p w:rsidR="00E7704A">
      <w:pPr>
        <w:pStyle w:val="Normal0"/>
        <w:numPr>
          <w:ilvl w:val="0"/>
          <w:numId w:val="25"/>
        </w:numPr>
        <w:spacing w:line="360" w:lineRule="auto"/>
        <w:jc w:val="left"/>
        <w:rPr>
          <w:rFonts w:ascii="宋体" w:hAnsi="宋体"/>
          <w:sz w:val="24"/>
          <w:lang w:val="zh-CN"/>
        </w:rPr>
      </w:pPr>
      <w:r>
        <w:rPr>
          <w:rFonts w:ascii="宋体" w:hAnsi="宋体"/>
          <w:sz w:val="24"/>
          <w:lang w:val="zh-CN"/>
        </w:rPr>
        <w:t>当架体搭设至有连墙件的主节点时，在搭设完该处的立杆、纵向水平杆、横向水平杆后，应立即设置连墙件。</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脚手架纵向水平杆的搭设应符合下列规定：</w:t>
      </w:r>
    </w:p>
    <w:p w:rsidR="00E7704A">
      <w:pPr>
        <w:pStyle w:val="Normal0"/>
        <w:numPr>
          <w:ilvl w:val="0"/>
          <w:numId w:val="26"/>
        </w:numPr>
        <w:spacing w:line="360" w:lineRule="auto"/>
        <w:jc w:val="left"/>
        <w:rPr>
          <w:rFonts w:ascii="宋体" w:hAnsi="宋体"/>
          <w:sz w:val="24"/>
          <w:lang w:val="zh-CN"/>
        </w:rPr>
      </w:pPr>
      <w:r>
        <w:rPr>
          <w:rFonts w:ascii="宋体" w:hAnsi="宋体"/>
          <w:sz w:val="24"/>
          <w:lang w:val="zh-CN"/>
        </w:rPr>
        <w:t>脚手架纵向水平杆应随立杆按步搭设，并应采用直角扣件与立杆固定；</w:t>
      </w:r>
    </w:p>
    <w:p w:rsidR="00E7704A">
      <w:pPr>
        <w:pStyle w:val="Normal0"/>
        <w:numPr>
          <w:ilvl w:val="0"/>
          <w:numId w:val="26"/>
        </w:numPr>
        <w:spacing w:line="360" w:lineRule="auto"/>
        <w:jc w:val="left"/>
        <w:rPr>
          <w:rFonts w:ascii="宋体" w:hAnsi="宋体"/>
          <w:sz w:val="24"/>
          <w:lang w:val="zh-CN"/>
        </w:rPr>
      </w:pPr>
      <w:r>
        <w:rPr>
          <w:rFonts w:ascii="宋体" w:hAnsi="宋体"/>
          <w:sz w:val="24"/>
          <w:lang w:val="zh-CN"/>
        </w:rPr>
        <w:t>纵向水平杆的搭设应符合《建筑施工扣件式钢管脚手架安全技术规范》</w:t>
      </w:r>
      <w:r>
        <w:rPr>
          <w:rFonts w:eastAsia="Times New Roman" w:hint="eastAsia"/>
          <w:sz w:val="24"/>
        </w:rPr>
        <w:t>JGJ130-2011</w:t>
      </w:r>
      <w:r>
        <w:rPr>
          <w:rFonts w:ascii="宋体" w:hAnsi="宋体"/>
          <w:sz w:val="24"/>
          <w:lang w:val="zh-CN"/>
        </w:rPr>
        <w:t>第</w:t>
      </w:r>
      <w:r>
        <w:rPr>
          <w:rFonts w:eastAsia="Times New Roman" w:hint="eastAsia"/>
          <w:sz w:val="24"/>
        </w:rPr>
        <w:t>6.2.1</w:t>
      </w:r>
      <w:r>
        <w:rPr>
          <w:rFonts w:ascii="宋体" w:hAnsi="宋体"/>
          <w:sz w:val="24"/>
          <w:lang w:val="zh-CN"/>
        </w:rPr>
        <w:t>条的规定；</w:t>
      </w:r>
    </w:p>
    <w:p w:rsidR="00E7704A">
      <w:pPr>
        <w:pStyle w:val="Normal0"/>
        <w:numPr>
          <w:ilvl w:val="0"/>
          <w:numId w:val="26"/>
        </w:numPr>
        <w:spacing w:line="360" w:lineRule="auto"/>
        <w:jc w:val="left"/>
        <w:rPr>
          <w:rFonts w:ascii="宋体" w:hAnsi="宋体"/>
          <w:sz w:val="24"/>
          <w:lang w:val="zh-CN"/>
        </w:rPr>
      </w:pPr>
      <w:r>
        <w:rPr>
          <w:rFonts w:ascii="宋体" w:hAnsi="宋体"/>
          <w:sz w:val="24"/>
          <w:lang w:val="zh-CN"/>
        </w:rPr>
        <w:t>在封</w:t>
      </w:r>
      <w:r>
        <w:rPr>
          <w:rFonts w:ascii="宋体" w:hAnsi="宋体"/>
          <w:sz w:val="24"/>
          <w:lang w:val="zh-CN"/>
        </w:rPr>
        <w:t>闭型脚手架的同一步中，纵向水平杆应四周交圈设置，并应用直角扣件与内外角部立杆固定。</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脚手架横向水平杆搭设应符合下列规定：</w:t>
      </w:r>
    </w:p>
    <w:p w:rsidR="00E7704A">
      <w:pPr>
        <w:pStyle w:val="Normal0"/>
        <w:numPr>
          <w:ilvl w:val="0"/>
          <w:numId w:val="27"/>
        </w:numPr>
        <w:spacing w:line="360" w:lineRule="auto"/>
        <w:jc w:val="left"/>
        <w:rPr>
          <w:rFonts w:ascii="宋体" w:hAnsi="宋体"/>
          <w:sz w:val="24"/>
          <w:lang w:val="zh-CN"/>
        </w:rPr>
      </w:pPr>
      <w:r>
        <w:rPr>
          <w:rFonts w:ascii="宋体" w:hAnsi="宋体"/>
          <w:sz w:val="24"/>
          <w:lang w:val="zh-CN"/>
        </w:rPr>
        <w:t>搭设横向水平杆应符合《建筑施工扣件式钢管脚手架安全技术规范》</w:t>
      </w:r>
      <w:r>
        <w:rPr>
          <w:rFonts w:eastAsia="Times New Roman" w:hint="eastAsia"/>
          <w:sz w:val="24"/>
        </w:rPr>
        <w:t>JGJ130-2011</w:t>
      </w:r>
      <w:r>
        <w:rPr>
          <w:rFonts w:ascii="宋体" w:hAnsi="宋体"/>
          <w:sz w:val="24"/>
          <w:lang w:val="zh-CN"/>
        </w:rPr>
        <w:t>第</w:t>
      </w:r>
      <w:r>
        <w:rPr>
          <w:rFonts w:eastAsia="Times New Roman" w:hint="eastAsia"/>
          <w:sz w:val="24"/>
        </w:rPr>
        <w:t>6.2.2</w:t>
      </w:r>
      <w:r>
        <w:rPr>
          <w:rFonts w:ascii="宋体" w:hAnsi="宋体"/>
          <w:sz w:val="24"/>
          <w:lang w:val="zh-CN"/>
        </w:rPr>
        <w:t>条的构造规定；</w:t>
      </w:r>
    </w:p>
    <w:p w:rsidR="00E7704A">
      <w:pPr>
        <w:pStyle w:val="Normal0"/>
        <w:numPr>
          <w:ilvl w:val="0"/>
          <w:numId w:val="27"/>
        </w:numPr>
        <w:spacing w:line="360" w:lineRule="auto"/>
        <w:jc w:val="left"/>
        <w:rPr>
          <w:rFonts w:ascii="宋体" w:hAnsi="宋体"/>
          <w:sz w:val="24"/>
          <w:lang w:val="zh-CN"/>
        </w:rPr>
      </w:pPr>
      <w:r>
        <w:rPr>
          <w:rFonts w:ascii="宋体" w:hAnsi="宋体"/>
          <w:sz w:val="24"/>
          <w:lang w:val="zh-CN"/>
        </w:rPr>
        <w:t>双排脚手架横向水平杆的靠墙一端至墙装饰面的距离不应大于</w:t>
      </w:r>
      <w:r>
        <w:rPr>
          <w:rFonts w:eastAsia="Times New Roman" w:hint="eastAsia"/>
          <w:sz w:val="24"/>
        </w:rPr>
        <w:t>100mm</w:t>
      </w:r>
      <w:r>
        <w:rPr>
          <w:rFonts w:ascii="宋体" w:hAnsi="宋体"/>
          <w:sz w:val="24"/>
          <w:lang w:val="zh-CN"/>
        </w:rPr>
        <w:t>；</w:t>
      </w:r>
    </w:p>
    <w:p w:rsidR="00E7704A">
      <w:pPr>
        <w:pStyle w:val="Normal0"/>
        <w:numPr>
          <w:ilvl w:val="0"/>
          <w:numId w:val="27"/>
        </w:numPr>
        <w:spacing w:line="360" w:lineRule="auto"/>
        <w:jc w:val="left"/>
        <w:rPr>
          <w:rFonts w:ascii="宋体" w:hAnsi="宋体"/>
          <w:sz w:val="24"/>
          <w:lang w:val="zh-CN"/>
        </w:rPr>
      </w:pPr>
      <w:r>
        <w:rPr>
          <w:rFonts w:ascii="宋体" w:hAnsi="宋体"/>
          <w:sz w:val="24"/>
          <w:lang w:val="zh-CN"/>
        </w:rPr>
        <w:t>单排脚手架的横向水平杆不应设置在下列部位：</w:t>
      </w:r>
    </w:p>
    <w:p w:rsidR="00E7704A">
      <w:pPr>
        <w:pStyle w:val="Normal0"/>
        <w:numPr>
          <w:ilvl w:val="0"/>
          <w:numId w:val="28"/>
        </w:numPr>
        <w:spacing w:line="360" w:lineRule="auto"/>
        <w:jc w:val="left"/>
        <w:rPr>
          <w:rFonts w:ascii="宋体" w:hAnsi="宋体"/>
          <w:sz w:val="24"/>
          <w:lang w:val="zh-CN"/>
        </w:rPr>
      </w:pPr>
      <w:r>
        <w:rPr>
          <w:rFonts w:ascii="宋体" w:hAnsi="宋体"/>
          <w:sz w:val="24"/>
          <w:lang w:val="zh-CN"/>
        </w:rPr>
        <w:t>设计上不允许留脚手眼的部位；</w:t>
      </w:r>
    </w:p>
    <w:p w:rsidR="00E7704A">
      <w:pPr>
        <w:pStyle w:val="Normal0"/>
        <w:numPr>
          <w:ilvl w:val="0"/>
          <w:numId w:val="28"/>
        </w:numPr>
        <w:spacing w:line="360" w:lineRule="auto"/>
        <w:jc w:val="left"/>
        <w:rPr>
          <w:rFonts w:ascii="宋体" w:hAnsi="宋体"/>
          <w:sz w:val="24"/>
          <w:lang w:val="zh-CN"/>
        </w:rPr>
      </w:pPr>
      <w:r>
        <w:rPr>
          <w:rFonts w:ascii="宋体" w:hAnsi="宋体"/>
          <w:sz w:val="24"/>
          <w:lang w:val="zh-CN"/>
        </w:rPr>
        <w:t>过梁上与过梁两端成</w:t>
      </w:r>
      <w:r>
        <w:rPr>
          <w:rFonts w:eastAsia="Times New Roman" w:hint="eastAsia"/>
          <w:sz w:val="24"/>
        </w:rPr>
        <w:t>60°</w:t>
      </w:r>
      <w:r>
        <w:rPr>
          <w:rFonts w:ascii="宋体" w:hAnsi="宋体"/>
          <w:sz w:val="24"/>
          <w:lang w:val="zh-CN"/>
        </w:rPr>
        <w:t>角的三角形范围内及过梁净跨度</w:t>
      </w:r>
      <w:r>
        <w:rPr>
          <w:rFonts w:eastAsia="Times New Roman" w:hint="eastAsia"/>
          <w:sz w:val="24"/>
        </w:rPr>
        <w:t>1/2</w:t>
      </w:r>
      <w:r>
        <w:rPr>
          <w:rFonts w:ascii="宋体" w:hAnsi="宋体"/>
          <w:sz w:val="24"/>
          <w:lang w:val="zh-CN"/>
        </w:rPr>
        <w:t>的高度范围内；</w:t>
      </w:r>
    </w:p>
    <w:p w:rsidR="00E7704A">
      <w:pPr>
        <w:pStyle w:val="Normal0"/>
        <w:numPr>
          <w:ilvl w:val="0"/>
          <w:numId w:val="28"/>
        </w:numPr>
        <w:spacing w:line="360" w:lineRule="auto"/>
        <w:jc w:val="left"/>
        <w:rPr>
          <w:rFonts w:ascii="宋体" w:hAnsi="宋体"/>
          <w:sz w:val="24"/>
          <w:lang w:val="zh-CN"/>
        </w:rPr>
        <w:sectPr>
          <w:type w:val="nextPage"/>
          <w:pgSz w:w="11906" w:h="16838"/>
          <w:pgMar w:top="1440" w:right="1800" w:bottom="1440" w:left="1800" w:header="851" w:footer="992" w:gutter="0"/>
          <w:pgNumType w:start="25"/>
          <w:cols w:space="425"/>
          <w:titlePg w:val="0"/>
          <w:docGrid w:type="lines" w:linePitch="312"/>
        </w:sectPr>
      </w:pPr>
      <w:r>
        <w:rPr>
          <w:rFonts w:ascii="宋体" w:hAnsi="宋体"/>
          <w:sz w:val="24"/>
          <w:lang w:val="zh-CN"/>
        </w:rPr>
        <w:t>宽度小于</w:t>
      </w:r>
      <w:r>
        <w:rPr>
          <w:rFonts w:eastAsia="Times New Roman" w:hint="eastAsia"/>
          <w:sz w:val="24"/>
        </w:rPr>
        <w:t>1m</w:t>
      </w:r>
      <w:r>
        <w:rPr>
          <w:rFonts w:ascii="宋体" w:hAnsi="宋体"/>
          <w:sz w:val="24"/>
          <w:lang w:val="zh-CN"/>
        </w:rPr>
        <w:t>的窗间墙；</w:t>
      </w:r>
    </w:p>
    <w:p w:rsidR="00E7704A">
      <w:pPr>
        <w:pStyle w:val="Normal0"/>
        <w:numPr>
          <w:ilvl w:val="0"/>
          <w:numId w:val="28"/>
        </w:numPr>
        <w:spacing w:line="360" w:lineRule="auto"/>
        <w:jc w:val="left"/>
        <w:rPr>
          <w:rFonts w:ascii="宋体" w:hAnsi="宋体"/>
          <w:sz w:val="24"/>
          <w:lang w:val="zh-CN"/>
        </w:rPr>
      </w:pPr>
      <w:r>
        <w:rPr>
          <w:rFonts w:ascii="宋体" w:hAnsi="宋体"/>
          <w:sz w:val="24"/>
          <w:lang w:val="zh-CN"/>
        </w:rPr>
        <w:t>梁或梁垫下及其两侧各</w:t>
      </w:r>
      <w:r>
        <w:rPr>
          <w:rFonts w:eastAsia="Times New Roman" w:hint="eastAsia"/>
          <w:sz w:val="24"/>
        </w:rPr>
        <w:t>500mm</w:t>
      </w:r>
      <w:r>
        <w:rPr>
          <w:rFonts w:ascii="宋体" w:hAnsi="宋体"/>
          <w:sz w:val="24"/>
          <w:lang w:val="zh-CN"/>
        </w:rPr>
        <w:t>的范围内；</w:t>
      </w:r>
    </w:p>
    <w:p w:rsidR="00E7704A">
      <w:pPr>
        <w:pStyle w:val="Normal0"/>
        <w:numPr>
          <w:ilvl w:val="0"/>
          <w:numId w:val="28"/>
        </w:numPr>
        <w:spacing w:line="360" w:lineRule="auto"/>
        <w:jc w:val="left"/>
        <w:rPr>
          <w:rFonts w:ascii="宋体" w:hAnsi="宋体"/>
          <w:sz w:val="24"/>
          <w:lang w:val="zh-CN"/>
        </w:rPr>
      </w:pPr>
      <w:r>
        <w:rPr>
          <w:rFonts w:ascii="宋体" w:hAnsi="宋体"/>
          <w:sz w:val="24"/>
          <w:lang w:val="zh-CN"/>
        </w:rPr>
        <w:t>砖砌体的门窗洞口两侧</w:t>
      </w:r>
      <w:r>
        <w:rPr>
          <w:rFonts w:eastAsia="Times New Roman" w:hint="eastAsia"/>
          <w:sz w:val="24"/>
        </w:rPr>
        <w:t>200mm</w:t>
      </w:r>
      <w:r>
        <w:rPr>
          <w:rFonts w:ascii="宋体" w:hAnsi="宋体"/>
          <w:sz w:val="24"/>
          <w:lang w:val="zh-CN"/>
        </w:rPr>
        <w:t>和转角处</w:t>
      </w:r>
      <w:r>
        <w:rPr>
          <w:rFonts w:eastAsia="Times New Roman" w:hint="eastAsia"/>
          <w:sz w:val="24"/>
        </w:rPr>
        <w:t>450mm</w:t>
      </w:r>
      <w:r>
        <w:rPr>
          <w:rFonts w:ascii="宋体" w:hAnsi="宋体"/>
          <w:sz w:val="24"/>
          <w:lang w:val="zh-CN"/>
        </w:rPr>
        <w:t>的范围内；其他砌体的门窗洞口两侧</w:t>
      </w:r>
      <w:r>
        <w:rPr>
          <w:rFonts w:eastAsia="Times New Roman" w:hint="eastAsia"/>
          <w:sz w:val="24"/>
        </w:rPr>
        <w:t>300mm</w:t>
      </w:r>
      <w:r>
        <w:rPr>
          <w:rFonts w:ascii="宋体" w:hAnsi="宋体"/>
          <w:sz w:val="24"/>
          <w:lang w:val="zh-CN"/>
        </w:rPr>
        <w:t>和转角处</w:t>
      </w:r>
      <w:r>
        <w:rPr>
          <w:rFonts w:eastAsia="Times New Roman" w:hint="eastAsia"/>
          <w:sz w:val="24"/>
        </w:rPr>
        <w:t>600mm</w:t>
      </w:r>
      <w:r>
        <w:rPr>
          <w:rFonts w:ascii="宋体" w:hAnsi="宋体"/>
          <w:sz w:val="24"/>
          <w:lang w:val="zh-CN"/>
        </w:rPr>
        <w:t>的范围内；</w:t>
      </w:r>
    </w:p>
    <w:p w:rsidR="00E7704A">
      <w:pPr>
        <w:pStyle w:val="Normal0"/>
        <w:numPr>
          <w:ilvl w:val="0"/>
          <w:numId w:val="28"/>
        </w:numPr>
        <w:spacing w:line="360" w:lineRule="auto"/>
        <w:jc w:val="left"/>
        <w:rPr>
          <w:rFonts w:ascii="宋体" w:hAnsi="宋体"/>
          <w:sz w:val="24"/>
          <w:lang w:val="zh-CN"/>
        </w:rPr>
      </w:pPr>
      <w:r>
        <w:rPr>
          <w:rFonts w:ascii="宋体" w:hAnsi="宋体"/>
          <w:sz w:val="24"/>
          <w:lang w:val="zh-CN"/>
        </w:rPr>
        <w:t>墙体厚度小于或等于</w:t>
      </w:r>
      <w:r>
        <w:rPr>
          <w:rFonts w:eastAsia="Times New Roman" w:hint="eastAsia"/>
          <w:sz w:val="24"/>
        </w:rPr>
        <w:t>180mm</w:t>
      </w:r>
      <w:r>
        <w:rPr>
          <w:rFonts w:ascii="宋体" w:hAnsi="宋体"/>
          <w:sz w:val="24"/>
          <w:lang w:val="zh-CN"/>
        </w:rPr>
        <w:t>；</w:t>
      </w:r>
    </w:p>
    <w:p w:rsidR="00E7704A">
      <w:pPr>
        <w:pStyle w:val="Normal0"/>
        <w:numPr>
          <w:ilvl w:val="0"/>
          <w:numId w:val="28"/>
        </w:numPr>
        <w:spacing w:line="360" w:lineRule="auto"/>
        <w:jc w:val="left"/>
        <w:rPr>
          <w:rFonts w:ascii="宋体" w:hAnsi="宋体"/>
          <w:sz w:val="24"/>
          <w:lang w:val="zh-CN"/>
        </w:rPr>
      </w:pPr>
      <w:r>
        <w:rPr>
          <w:rFonts w:ascii="宋体" w:hAnsi="宋体"/>
          <w:sz w:val="24"/>
          <w:lang w:val="zh-CN"/>
        </w:rPr>
        <w:t>独立或附墙砖柱，空斗砖墙、加气块墙等轻质墙体；</w:t>
      </w:r>
    </w:p>
    <w:p w:rsidR="00E7704A">
      <w:pPr>
        <w:pStyle w:val="Normal0"/>
        <w:numPr>
          <w:ilvl w:val="0"/>
          <w:numId w:val="28"/>
        </w:numPr>
        <w:spacing w:line="360" w:lineRule="auto"/>
        <w:jc w:val="left"/>
        <w:rPr>
          <w:rFonts w:ascii="宋体" w:hAnsi="宋体"/>
          <w:sz w:val="24"/>
          <w:lang w:val="zh-CN"/>
        </w:rPr>
      </w:pPr>
      <w:r>
        <w:rPr>
          <w:rFonts w:ascii="宋体" w:hAnsi="宋体"/>
          <w:sz w:val="24"/>
          <w:lang w:val="zh-CN"/>
        </w:rPr>
        <w:t>砌筑砂浆强度等级小于或</w:t>
      </w:r>
      <w:r>
        <w:rPr>
          <w:rFonts w:eastAsia="Times New Roman" w:hint="eastAsia"/>
          <w:sz w:val="24"/>
        </w:rPr>
        <w:t>M2.5</w:t>
      </w:r>
      <w:r>
        <w:rPr>
          <w:rFonts w:ascii="宋体" w:hAnsi="宋体"/>
          <w:sz w:val="24"/>
          <w:lang w:val="zh-CN"/>
        </w:rPr>
        <w:t>的砖墙。</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脚手架纵向、横向扫地杆搭设应符合《建筑施工扣件式钢管脚手架安全技术规范》</w:t>
      </w:r>
      <w:r>
        <w:rPr>
          <w:rFonts w:eastAsia="Times New Roman" w:hint="eastAsia"/>
          <w:sz w:val="24"/>
        </w:rPr>
        <w:t>JGJ130-2011</w:t>
      </w:r>
      <w:r>
        <w:rPr>
          <w:rFonts w:ascii="宋体" w:hAnsi="宋体"/>
          <w:sz w:val="24"/>
          <w:lang w:val="zh-CN"/>
        </w:rPr>
        <w:t>第</w:t>
      </w:r>
      <w:r>
        <w:rPr>
          <w:rFonts w:eastAsia="Times New Roman" w:hint="eastAsia"/>
          <w:sz w:val="24"/>
        </w:rPr>
        <w:t>6.3.2</w:t>
      </w:r>
      <w:r>
        <w:rPr>
          <w:rFonts w:ascii="宋体" w:hAnsi="宋体"/>
          <w:sz w:val="24"/>
          <w:lang w:val="zh-CN"/>
        </w:rPr>
        <w:t>条、第</w:t>
      </w:r>
      <w:r>
        <w:rPr>
          <w:rFonts w:eastAsia="Times New Roman" w:hint="eastAsia"/>
          <w:sz w:val="24"/>
        </w:rPr>
        <w:t>6.3.3</w:t>
      </w:r>
      <w:r>
        <w:rPr>
          <w:rFonts w:ascii="宋体" w:hAnsi="宋体"/>
          <w:sz w:val="24"/>
          <w:lang w:val="zh-CN"/>
        </w:rPr>
        <w:t>条的规定。</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脚手架连墙件安装应符合下列规定：</w:t>
      </w:r>
    </w:p>
    <w:p w:rsidR="00E7704A">
      <w:pPr>
        <w:pStyle w:val="Normal0"/>
        <w:numPr>
          <w:ilvl w:val="0"/>
          <w:numId w:val="29"/>
        </w:numPr>
        <w:spacing w:line="360" w:lineRule="auto"/>
        <w:jc w:val="left"/>
        <w:rPr>
          <w:rFonts w:ascii="宋体" w:hAnsi="宋体"/>
          <w:color w:val="000000"/>
          <w:sz w:val="24"/>
          <w:lang w:val="zh-CN"/>
        </w:rPr>
      </w:pPr>
      <w:r>
        <w:rPr>
          <w:rFonts w:ascii="宋体" w:hAnsi="宋体"/>
          <w:color w:val="000000"/>
          <w:sz w:val="24"/>
          <w:lang w:val="zh-CN"/>
        </w:rPr>
        <w:t>连墙件的安装应随脚手架搭设同步进行，不得滞后安装；</w:t>
      </w:r>
    </w:p>
    <w:p w:rsidR="00E7704A">
      <w:pPr>
        <w:pStyle w:val="Normal0"/>
        <w:numPr>
          <w:ilvl w:val="0"/>
          <w:numId w:val="29"/>
        </w:numPr>
        <w:spacing w:line="360" w:lineRule="auto"/>
        <w:jc w:val="left"/>
        <w:rPr>
          <w:rFonts w:ascii="宋体" w:hAnsi="宋体"/>
          <w:sz w:val="24"/>
          <w:lang w:val="zh-CN"/>
        </w:rPr>
      </w:pPr>
      <w:r>
        <w:rPr>
          <w:rFonts w:ascii="宋体" w:hAnsi="宋体"/>
          <w:sz w:val="24"/>
          <w:lang w:val="zh-CN"/>
        </w:rPr>
        <w:t>当单、双排脚手架施工操作层高出相邻连墙件以上两步时，应采取确保脚手架稳定的临时拉结措施，直到上一层连墙件安装完毕后再根据情况拆除。</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脚手架剪刀撑与双排脚手架横向斜撑应随立杆、纵向和横向水平杆等同步搭设，不得滞后安装。</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脚手架门洞搭设应符合《建筑施工扣件式钢管脚手架安全技术规范》</w:t>
      </w:r>
      <w:r>
        <w:rPr>
          <w:rFonts w:eastAsia="Times New Roman" w:hint="eastAsia"/>
          <w:sz w:val="24"/>
        </w:rPr>
        <w:t>JGJ130-2011</w:t>
      </w:r>
      <w:r>
        <w:rPr>
          <w:rFonts w:ascii="宋体" w:hAnsi="宋体"/>
          <w:sz w:val="24"/>
          <w:lang w:val="zh-CN"/>
        </w:rPr>
        <w:t>第</w:t>
      </w:r>
      <w:r>
        <w:rPr>
          <w:rFonts w:eastAsia="Times New Roman" w:hint="eastAsia"/>
          <w:sz w:val="24"/>
        </w:rPr>
        <w:t>6.5</w:t>
      </w:r>
      <w:r>
        <w:rPr>
          <w:rFonts w:ascii="宋体" w:hAnsi="宋体"/>
          <w:sz w:val="24"/>
          <w:lang w:val="zh-CN"/>
        </w:rPr>
        <w:t>节的造规定。</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扣件安装应符合下列规定：</w:t>
      </w:r>
    </w:p>
    <w:p w:rsidR="00E7704A">
      <w:pPr>
        <w:pStyle w:val="Normal0"/>
        <w:numPr>
          <w:ilvl w:val="0"/>
          <w:numId w:val="30"/>
        </w:numPr>
        <w:spacing w:line="360" w:lineRule="auto"/>
        <w:jc w:val="left"/>
        <w:rPr>
          <w:rFonts w:ascii="宋体" w:hAnsi="宋体"/>
          <w:sz w:val="24"/>
          <w:lang w:val="zh-CN"/>
        </w:rPr>
      </w:pPr>
      <w:r>
        <w:rPr>
          <w:rFonts w:ascii="宋体" w:hAnsi="宋体"/>
          <w:sz w:val="24"/>
          <w:lang w:val="zh-CN"/>
        </w:rPr>
        <w:t>扣件规格必须与钢管外径相同；</w:t>
      </w:r>
    </w:p>
    <w:p w:rsidR="00E7704A">
      <w:pPr>
        <w:pStyle w:val="Normal0"/>
        <w:numPr>
          <w:ilvl w:val="0"/>
          <w:numId w:val="30"/>
        </w:numPr>
        <w:spacing w:line="360" w:lineRule="auto"/>
        <w:jc w:val="left"/>
        <w:rPr>
          <w:rFonts w:ascii="宋体" w:hAnsi="宋体"/>
          <w:sz w:val="24"/>
          <w:lang w:val="zh-CN"/>
        </w:rPr>
      </w:pPr>
      <w:r>
        <w:rPr>
          <w:rFonts w:ascii="宋体" w:hAnsi="宋体"/>
          <w:sz w:val="24"/>
          <w:lang w:val="zh-CN"/>
        </w:rPr>
        <w:t>螺栓拧紧扭力矩不应小于</w:t>
      </w:r>
      <w:r>
        <w:rPr>
          <w:rFonts w:eastAsia="Times New Roman" w:hint="eastAsia"/>
          <w:sz w:val="24"/>
        </w:rPr>
        <w:t>40N·m</w:t>
      </w:r>
      <w:r>
        <w:rPr>
          <w:rFonts w:ascii="宋体" w:hAnsi="宋体"/>
          <w:sz w:val="24"/>
          <w:lang w:val="zh-CN"/>
        </w:rPr>
        <w:t>，且不应大于</w:t>
      </w:r>
      <w:r>
        <w:rPr>
          <w:rFonts w:eastAsia="Times New Roman" w:hint="eastAsia"/>
          <w:sz w:val="24"/>
        </w:rPr>
        <w:t>65N·m</w:t>
      </w:r>
      <w:r>
        <w:rPr>
          <w:rFonts w:ascii="宋体" w:hAnsi="宋体"/>
          <w:sz w:val="24"/>
          <w:lang w:val="zh-CN"/>
        </w:rPr>
        <w:t>；</w:t>
      </w:r>
    </w:p>
    <w:p w:rsidR="00E7704A">
      <w:pPr>
        <w:pStyle w:val="Normal0"/>
        <w:numPr>
          <w:ilvl w:val="0"/>
          <w:numId w:val="30"/>
        </w:numPr>
        <w:spacing w:line="360" w:lineRule="auto"/>
        <w:jc w:val="left"/>
        <w:rPr>
          <w:rFonts w:ascii="宋体" w:hAnsi="宋体"/>
          <w:sz w:val="24"/>
          <w:lang w:val="zh-CN"/>
        </w:rPr>
      </w:pPr>
      <w:r>
        <w:rPr>
          <w:rFonts w:ascii="宋体" w:hAnsi="宋体"/>
          <w:sz w:val="24"/>
          <w:lang w:val="zh-CN"/>
        </w:rPr>
        <w:t>在主节点处固定横向水平杆</w:t>
      </w:r>
      <w:r>
        <w:rPr>
          <w:rFonts w:ascii="宋体" w:hAnsi="宋体"/>
          <w:sz w:val="24"/>
          <w:lang w:val="zh-CN"/>
        </w:rPr>
        <w:t>、纵向水平杆、剪刀撑、横向斜撑等用的直角扣件、旋转扣件的中心点的相互距离不应大于</w:t>
      </w:r>
      <w:r>
        <w:rPr>
          <w:rFonts w:eastAsia="Times New Roman" w:hint="eastAsia"/>
          <w:sz w:val="24"/>
        </w:rPr>
        <w:t>150mm</w:t>
      </w:r>
      <w:r>
        <w:rPr>
          <w:rFonts w:ascii="宋体" w:hAnsi="宋体"/>
          <w:sz w:val="24"/>
          <w:lang w:val="zh-CN"/>
        </w:rPr>
        <w:t>；</w:t>
      </w:r>
    </w:p>
    <w:p w:rsidR="00E7704A">
      <w:pPr>
        <w:pStyle w:val="Normal0"/>
        <w:numPr>
          <w:ilvl w:val="0"/>
          <w:numId w:val="30"/>
        </w:numPr>
        <w:spacing w:line="360" w:lineRule="auto"/>
        <w:jc w:val="left"/>
        <w:rPr>
          <w:rFonts w:ascii="宋体" w:hAnsi="宋体"/>
          <w:sz w:val="24"/>
          <w:lang w:val="zh-CN"/>
        </w:rPr>
      </w:pPr>
      <w:r>
        <w:rPr>
          <w:rFonts w:ascii="宋体" w:hAnsi="宋体"/>
          <w:sz w:val="24"/>
          <w:lang w:val="zh-CN"/>
        </w:rPr>
        <w:t>对接口径开口应朝上或朝内；</w:t>
      </w:r>
    </w:p>
    <w:p w:rsidR="00E7704A">
      <w:pPr>
        <w:pStyle w:val="Normal0"/>
        <w:numPr>
          <w:ilvl w:val="0"/>
          <w:numId w:val="30"/>
        </w:numPr>
        <w:spacing w:line="360" w:lineRule="auto"/>
        <w:jc w:val="left"/>
        <w:rPr>
          <w:rFonts w:ascii="宋体" w:hAnsi="宋体"/>
          <w:sz w:val="24"/>
          <w:lang w:val="zh-CN"/>
        </w:rPr>
      </w:pPr>
      <w:r>
        <w:rPr>
          <w:rFonts w:ascii="宋体" w:hAnsi="宋体"/>
          <w:sz w:val="24"/>
          <w:lang w:val="zh-CN"/>
        </w:rPr>
        <w:t>各杆件端头伸出扣件盖板边缘长度不应小于</w:t>
      </w:r>
      <w:r>
        <w:rPr>
          <w:rFonts w:eastAsia="Times New Roman" w:hint="eastAsia"/>
          <w:sz w:val="24"/>
        </w:rPr>
        <w:t>100mm</w:t>
      </w:r>
      <w:r>
        <w:rPr>
          <w:rFonts w:ascii="宋体" w:hAnsi="宋体"/>
          <w:sz w:val="24"/>
          <w:lang w:val="zh-CN"/>
        </w:rPr>
        <w:t>。</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作业层、斜道的栏杆和挡脚板的搭设应符合下列规定：</w:t>
      </w:r>
    </w:p>
    <w:p w:rsidR="00E7704A">
      <w:pPr>
        <w:pStyle w:val="Normal0"/>
        <w:numPr>
          <w:ilvl w:val="0"/>
          <w:numId w:val="31"/>
        </w:numPr>
        <w:spacing w:line="360" w:lineRule="auto"/>
        <w:jc w:val="left"/>
        <w:rPr>
          <w:rFonts w:ascii="宋体" w:hAnsi="宋体"/>
          <w:sz w:val="24"/>
          <w:lang w:val="zh-CN"/>
        </w:rPr>
      </w:pPr>
      <w:r>
        <w:rPr>
          <w:rFonts w:ascii="宋体" w:hAnsi="宋体"/>
          <w:sz w:val="24"/>
          <w:lang w:val="zh-CN"/>
        </w:rPr>
        <w:t>栏杆和挡脚板均应搭设在外立杆的内侧；</w:t>
      </w:r>
    </w:p>
    <w:p w:rsidR="00E7704A">
      <w:pPr>
        <w:pStyle w:val="Normal0"/>
        <w:numPr>
          <w:ilvl w:val="0"/>
          <w:numId w:val="31"/>
        </w:numPr>
        <w:spacing w:line="360" w:lineRule="auto"/>
        <w:jc w:val="left"/>
        <w:rPr>
          <w:rFonts w:ascii="宋体" w:hAnsi="宋体"/>
          <w:sz w:val="24"/>
          <w:lang w:val="zh-CN"/>
        </w:rPr>
      </w:pPr>
      <w:r>
        <w:rPr>
          <w:rFonts w:ascii="宋体" w:hAnsi="宋体"/>
          <w:sz w:val="24"/>
          <w:lang w:val="zh-CN"/>
        </w:rPr>
        <w:t>上栏杆上皮高度应为</w:t>
      </w:r>
      <w:r>
        <w:rPr>
          <w:rFonts w:eastAsia="Times New Roman" w:hint="eastAsia"/>
          <w:sz w:val="24"/>
        </w:rPr>
        <w:t>1.2m</w:t>
      </w:r>
      <w:r>
        <w:rPr>
          <w:rFonts w:ascii="宋体" w:hAnsi="宋体"/>
          <w:sz w:val="24"/>
          <w:lang w:val="zh-CN"/>
        </w:rPr>
        <w:t>；</w:t>
      </w:r>
    </w:p>
    <w:p w:rsidR="00E7704A">
      <w:pPr>
        <w:pStyle w:val="Normal0"/>
        <w:numPr>
          <w:ilvl w:val="0"/>
          <w:numId w:val="31"/>
        </w:numPr>
        <w:spacing w:line="360" w:lineRule="auto"/>
        <w:jc w:val="left"/>
        <w:rPr>
          <w:rFonts w:ascii="宋体" w:hAnsi="宋体"/>
          <w:sz w:val="24"/>
          <w:lang w:val="zh-CN"/>
        </w:rPr>
      </w:pPr>
      <w:r>
        <w:rPr>
          <w:rFonts w:ascii="宋体" w:hAnsi="宋体"/>
          <w:sz w:val="24"/>
          <w:lang w:val="zh-CN"/>
        </w:rPr>
        <w:t>挡脚板高度不应小于</w:t>
      </w:r>
      <w:r>
        <w:rPr>
          <w:rFonts w:eastAsia="Times New Roman" w:hint="eastAsia"/>
          <w:sz w:val="24"/>
        </w:rPr>
        <w:t>180mm</w:t>
      </w:r>
      <w:r>
        <w:rPr>
          <w:rFonts w:ascii="宋体" w:hAnsi="宋体"/>
          <w:sz w:val="24"/>
          <w:lang w:val="zh-CN"/>
        </w:rPr>
        <w:t>；</w:t>
      </w:r>
    </w:p>
    <w:p w:rsidR="00E7704A">
      <w:pPr>
        <w:pStyle w:val="Normal0"/>
        <w:numPr>
          <w:ilvl w:val="0"/>
          <w:numId w:val="31"/>
        </w:numPr>
        <w:spacing w:line="360" w:lineRule="auto"/>
        <w:jc w:val="left"/>
        <w:rPr>
          <w:rFonts w:ascii="宋体" w:hAnsi="宋体"/>
          <w:sz w:val="24"/>
          <w:lang w:val="zh-CN"/>
        </w:rPr>
      </w:pPr>
      <w:r>
        <w:rPr>
          <w:rFonts w:ascii="宋体" w:hAnsi="宋体"/>
          <w:sz w:val="24"/>
          <w:lang w:val="zh-CN"/>
        </w:rPr>
        <w:t>中栏杆应居中设置。</w:t>
      </w:r>
    </w:p>
    <w:p w:rsidR="00E7704A">
      <w:pPr>
        <w:pStyle w:val="Normal0"/>
        <w:numPr>
          <w:ilvl w:val="0"/>
          <w:numId w:val="24"/>
        </w:numPr>
        <w:spacing w:line="360" w:lineRule="auto"/>
        <w:jc w:val="left"/>
        <w:rPr>
          <w:rFonts w:ascii="宋体" w:hAnsi="宋体"/>
          <w:sz w:val="24"/>
          <w:lang w:val="zh-CN"/>
        </w:rPr>
        <w:sectPr>
          <w:type w:val="nextPage"/>
          <w:pgSz w:w="11906" w:h="16838"/>
          <w:pgMar w:top="1440" w:right="1800" w:bottom="1440" w:left="1800" w:header="851" w:footer="992" w:gutter="0"/>
          <w:pgNumType w:start="26"/>
          <w:cols w:space="425"/>
          <w:titlePg w:val="0"/>
          <w:docGrid w:type="lines" w:linePitch="312"/>
        </w:sectPr>
      </w:pPr>
      <w:r>
        <w:rPr>
          <w:rFonts w:ascii="宋体" w:hAnsi="宋体"/>
          <w:sz w:val="24"/>
          <w:lang w:val="zh-CN"/>
        </w:rPr>
        <w:t>脚手板的铺设应符合下列规定：</w:t>
      </w:r>
    </w:p>
    <w:p w:rsidR="00E7704A">
      <w:pPr>
        <w:pStyle w:val="Normal0"/>
        <w:numPr>
          <w:ilvl w:val="0"/>
          <w:numId w:val="32"/>
        </w:numPr>
        <w:spacing w:line="360" w:lineRule="auto"/>
        <w:jc w:val="left"/>
        <w:rPr>
          <w:rFonts w:ascii="宋体" w:hAnsi="宋体"/>
          <w:sz w:val="24"/>
          <w:lang w:val="zh-CN"/>
        </w:rPr>
      </w:pPr>
      <w:r>
        <w:rPr>
          <w:rFonts w:ascii="宋体" w:hAnsi="宋体"/>
          <w:sz w:val="24"/>
          <w:lang w:val="zh-CN"/>
        </w:rPr>
        <w:t>脚手架应铺满、铺稳，离墙面的距离不应大于</w:t>
      </w:r>
      <w:r>
        <w:rPr>
          <w:rFonts w:eastAsia="Times New Roman" w:hint="eastAsia"/>
          <w:sz w:val="24"/>
        </w:rPr>
        <w:t>150mm</w:t>
      </w:r>
      <w:r>
        <w:rPr>
          <w:rFonts w:ascii="宋体" w:hAnsi="宋体"/>
          <w:sz w:val="24"/>
          <w:lang w:val="zh-CN"/>
        </w:rPr>
        <w:t>；</w:t>
      </w:r>
    </w:p>
    <w:p w:rsidR="00E7704A">
      <w:pPr>
        <w:pStyle w:val="Normal0"/>
        <w:numPr>
          <w:ilvl w:val="0"/>
          <w:numId w:val="32"/>
        </w:numPr>
        <w:spacing w:line="360" w:lineRule="auto"/>
        <w:jc w:val="left"/>
        <w:rPr>
          <w:rFonts w:ascii="宋体" w:hAnsi="宋体"/>
          <w:sz w:val="24"/>
          <w:lang w:val="zh-CN"/>
        </w:rPr>
      </w:pPr>
      <w:r>
        <w:rPr>
          <w:rFonts w:ascii="宋体" w:hAnsi="宋体"/>
          <w:sz w:val="24"/>
          <w:lang w:val="zh-CN"/>
        </w:rPr>
        <w:t>采用对接或搭接时均应符合《建筑施工扣件式钢管脚手架安全技术规范》</w:t>
      </w:r>
      <w:r>
        <w:rPr>
          <w:rFonts w:eastAsia="Times New Roman" w:hint="eastAsia"/>
          <w:sz w:val="24"/>
        </w:rPr>
        <w:t>JGJ130-2011</w:t>
      </w:r>
      <w:r>
        <w:rPr>
          <w:rFonts w:ascii="宋体" w:hAnsi="宋体"/>
          <w:sz w:val="24"/>
          <w:lang w:val="zh-CN"/>
        </w:rPr>
        <w:t>第</w:t>
      </w:r>
      <w:r>
        <w:rPr>
          <w:rFonts w:eastAsia="Times New Roman" w:hint="eastAsia"/>
          <w:sz w:val="24"/>
        </w:rPr>
        <w:t>6.2.4</w:t>
      </w:r>
      <w:r>
        <w:rPr>
          <w:rFonts w:ascii="宋体" w:hAnsi="宋体"/>
          <w:sz w:val="24"/>
          <w:lang w:val="zh-CN"/>
        </w:rPr>
        <w:t>条的规定；脚手板探头应用直径</w:t>
      </w:r>
      <w:r>
        <w:rPr>
          <w:rFonts w:eastAsia="Times New Roman" w:hint="eastAsia"/>
          <w:sz w:val="24"/>
        </w:rPr>
        <w:t>3.2mm</w:t>
      </w:r>
      <w:r>
        <w:rPr>
          <w:rFonts w:ascii="宋体" w:hAnsi="宋体"/>
          <w:sz w:val="24"/>
          <w:lang w:val="zh-CN"/>
        </w:rPr>
        <w:t>镀锌钢丝固定在支承杆件上；</w:t>
      </w:r>
    </w:p>
    <w:p w:rsidR="00E7704A">
      <w:pPr>
        <w:pStyle w:val="Normal0"/>
        <w:numPr>
          <w:ilvl w:val="0"/>
          <w:numId w:val="32"/>
        </w:numPr>
        <w:spacing w:line="360" w:lineRule="auto"/>
        <w:jc w:val="left"/>
        <w:rPr>
          <w:rFonts w:ascii="宋体" w:hAnsi="宋体"/>
          <w:sz w:val="24"/>
          <w:lang w:val="zh-CN"/>
        </w:rPr>
      </w:pPr>
      <w:r>
        <w:rPr>
          <w:rFonts w:ascii="宋体" w:hAnsi="宋体"/>
          <w:sz w:val="24"/>
          <w:lang w:val="zh-CN"/>
        </w:rPr>
        <w:t>在拐角、斜道平台口处的脚手板，应用镀锌钢丝固定在横向水平杆上，防止滑动。</w:t>
      </w:r>
    </w:p>
    <w:p w:rsidR="00E7704A">
      <w:pPr>
        <w:pStyle w:val="Normal0"/>
        <w:numPr>
          <w:ilvl w:val="0"/>
          <w:numId w:val="24"/>
        </w:numPr>
        <w:spacing w:line="360" w:lineRule="auto"/>
        <w:rPr>
          <w:rFonts w:ascii="宋体" w:hAnsi="宋体"/>
          <w:sz w:val="24"/>
          <w:lang w:val="zh-CN"/>
        </w:rPr>
      </w:pPr>
      <w:r>
        <w:rPr>
          <w:rFonts w:ascii="宋体" w:hAnsi="宋体"/>
          <w:sz w:val="24"/>
          <w:lang w:val="zh-CN"/>
        </w:rPr>
        <w:t>钢管架应设置避雷针，分置于主楼外架四角立杆之上，并联通纵向水平杆，形成避雷网络，并检测接地电阻不大于</w:t>
      </w:r>
      <w:r>
        <w:rPr>
          <w:rFonts w:eastAsia="Times New Roman" w:hint="eastAsia"/>
          <w:sz w:val="24"/>
          <w:lang w:val="el-GR"/>
        </w:rPr>
        <w:t>30Ω</w:t>
      </w:r>
      <w:r>
        <w:rPr>
          <w:rFonts w:ascii="宋体" w:hAnsi="宋体"/>
          <w:sz w:val="24"/>
          <w:lang w:val="zh-CN"/>
        </w:rPr>
        <w:t>。</w:t>
      </w:r>
    </w:p>
    <w:p w:rsidR="00E7704A">
      <w:pPr>
        <w:pStyle w:val="Normal0"/>
        <w:numPr>
          <w:ilvl w:val="0"/>
          <w:numId w:val="24"/>
        </w:numPr>
        <w:spacing w:line="360" w:lineRule="auto"/>
        <w:rPr>
          <w:rFonts w:ascii="宋体" w:hAnsi="宋体"/>
          <w:sz w:val="24"/>
          <w:lang w:val="zh-CN"/>
        </w:rPr>
      </w:pPr>
      <w:r>
        <w:rPr>
          <w:rFonts w:ascii="宋体" w:hAnsi="宋体"/>
          <w:sz w:val="24"/>
          <w:lang w:val="zh-CN"/>
        </w:rPr>
        <w:t>外脚手架不得搭设在距离外架空线路的安全距离内，并做好可靠的安全接地处理。</w:t>
      </w:r>
    </w:p>
    <w:p w:rsidR="00E7704A">
      <w:pPr>
        <w:pStyle w:val="Normal0"/>
        <w:numPr>
          <w:ilvl w:val="0"/>
          <w:numId w:val="24"/>
        </w:numPr>
        <w:spacing w:line="360" w:lineRule="auto"/>
        <w:rPr>
          <w:rFonts w:ascii="宋体" w:hAnsi="宋体"/>
          <w:sz w:val="24"/>
          <w:lang w:val="zh-CN"/>
        </w:rPr>
      </w:pPr>
      <w:r>
        <w:rPr>
          <w:rFonts w:ascii="宋体" w:hAnsi="宋体"/>
          <w:sz w:val="24"/>
          <w:lang w:val="zh-CN"/>
        </w:rPr>
        <w:t>定期检查脚手架，发现问题和隐患，在施工作业前及时维修加固，以达到坚固稳定，确保施工安全。</w:t>
      </w:r>
    </w:p>
    <w:p w:rsidR="00E7704A">
      <w:pPr>
        <w:pStyle w:val="Normal0"/>
        <w:numPr>
          <w:ilvl w:val="0"/>
          <w:numId w:val="24"/>
        </w:numPr>
        <w:spacing w:line="360" w:lineRule="auto"/>
        <w:rPr>
          <w:rFonts w:ascii="宋体" w:hAnsi="宋体"/>
          <w:sz w:val="24"/>
          <w:lang w:val="zh-CN"/>
        </w:rPr>
      </w:pPr>
      <w:r>
        <w:rPr>
          <w:rFonts w:ascii="宋体" w:hAnsi="宋体"/>
          <w:sz w:val="24"/>
          <w:lang w:val="zh-CN"/>
        </w:rPr>
        <w:t>外脚手架严禁钢竹、钢木混搭，禁止扣件、绳索、铁丝、竹篾、塑料篾混用。</w:t>
      </w:r>
    </w:p>
    <w:p w:rsidR="00E7704A">
      <w:pPr>
        <w:pStyle w:val="Normal0"/>
        <w:numPr>
          <w:ilvl w:val="0"/>
          <w:numId w:val="24"/>
        </w:numPr>
        <w:spacing w:line="360" w:lineRule="auto"/>
        <w:rPr>
          <w:rFonts w:ascii="宋体" w:hAnsi="宋体"/>
          <w:sz w:val="24"/>
          <w:lang w:val="zh-CN"/>
        </w:rPr>
      </w:pPr>
      <w:r>
        <w:rPr>
          <w:rFonts w:ascii="宋体" w:hAnsi="宋体"/>
          <w:sz w:val="24"/>
          <w:lang w:val="zh-CN"/>
        </w:rPr>
        <w:t>外脚手架搭设人员必须持证上岗，并正确使用安全帽、安全带、穿防滑鞋。</w:t>
      </w:r>
    </w:p>
    <w:p w:rsidR="00E7704A">
      <w:pPr>
        <w:pStyle w:val="Normal0"/>
        <w:numPr>
          <w:ilvl w:val="0"/>
          <w:numId w:val="24"/>
        </w:numPr>
        <w:spacing w:line="360" w:lineRule="auto"/>
        <w:rPr>
          <w:rFonts w:ascii="宋体" w:hAnsi="宋体"/>
          <w:sz w:val="24"/>
          <w:lang w:val="zh-CN"/>
        </w:rPr>
      </w:pPr>
      <w:r>
        <w:rPr>
          <w:rFonts w:ascii="宋体" w:hAnsi="宋体"/>
          <w:sz w:val="24"/>
          <w:lang w:val="zh-CN"/>
        </w:rPr>
        <w:t>严禁脚手板存在探头板，铺设脚手板以及多层作业时，应尽量使施工荷载内、外传递平衡。</w:t>
      </w:r>
    </w:p>
    <w:p w:rsidR="00E7704A">
      <w:pPr>
        <w:pStyle w:val="Normal0"/>
        <w:numPr>
          <w:ilvl w:val="0"/>
          <w:numId w:val="24"/>
        </w:numPr>
        <w:spacing w:line="360" w:lineRule="auto"/>
        <w:rPr>
          <w:rFonts w:ascii="宋体" w:hAnsi="宋体"/>
          <w:sz w:val="24"/>
          <w:lang w:val="zh-CN"/>
        </w:rPr>
      </w:pPr>
      <w:r>
        <w:rPr>
          <w:rFonts w:ascii="宋体" w:hAnsi="宋体"/>
          <w:sz w:val="24"/>
          <w:lang w:val="zh-CN"/>
        </w:rPr>
        <w:t>保证脚手架体的整体性，不得与井架、升降机一并拉结，不得截断架体。</w:t>
      </w:r>
    </w:p>
    <w:p w:rsidR="00E7704A">
      <w:pPr>
        <w:pStyle w:val="Normal0"/>
        <w:numPr>
          <w:ilvl w:val="0"/>
          <w:numId w:val="24"/>
        </w:numPr>
        <w:spacing w:line="360" w:lineRule="auto"/>
        <w:rPr>
          <w:rFonts w:ascii="宋体" w:hAnsi="宋体"/>
          <w:sz w:val="24"/>
          <w:lang w:val="zh-CN"/>
        </w:rPr>
      </w:pPr>
      <w:r>
        <w:rPr>
          <w:rFonts w:ascii="宋体" w:hAnsi="宋体"/>
          <w:sz w:val="24"/>
          <w:lang w:val="zh-CN"/>
        </w:rPr>
        <w:t>结构外脚手架每支搭一层，支搭完毕后，经项目部安全员验收合格后方可使用。任何班组长和个人，未经同意不得任意拆除脚手架部件。</w:t>
      </w:r>
    </w:p>
    <w:p w:rsidR="00E7704A">
      <w:pPr>
        <w:pStyle w:val="Normal0"/>
        <w:numPr>
          <w:ilvl w:val="0"/>
          <w:numId w:val="24"/>
        </w:numPr>
        <w:spacing w:line="360" w:lineRule="auto"/>
        <w:rPr>
          <w:rFonts w:ascii="宋体" w:hAnsi="宋体"/>
          <w:sz w:val="24"/>
          <w:lang w:val="zh-CN"/>
        </w:rPr>
      </w:pPr>
      <w:r>
        <w:rPr>
          <w:rFonts w:ascii="宋体" w:hAnsi="宋体"/>
          <w:sz w:val="24"/>
          <w:lang w:val="zh-CN"/>
        </w:rPr>
        <w:t>严格控制施工荷载，脚手板不得集中堆料施荷，施工荷载不得大于</w:t>
      </w:r>
      <w:r>
        <w:rPr>
          <w:rFonts w:eastAsia="Times New Roman" w:hint="eastAsia"/>
          <w:sz w:val="24"/>
        </w:rPr>
        <w:t>3kN/m</w:t>
      </w:r>
      <w:r>
        <w:rPr>
          <w:rFonts w:eastAsia="Times New Roman" w:hint="eastAsia"/>
          <w:sz w:val="24"/>
          <w:vertAlign w:val="superscript"/>
        </w:rPr>
        <w:t>2</w:t>
      </w:r>
      <w:r>
        <w:rPr>
          <w:rFonts w:ascii="宋体" w:hAnsi="宋体"/>
          <w:sz w:val="24"/>
          <w:lang w:val="zh-CN"/>
        </w:rPr>
        <w:t>，确保较大安全储备。</w:t>
      </w:r>
    </w:p>
    <w:p w:rsidR="00E7704A">
      <w:pPr>
        <w:pStyle w:val="Normal0"/>
        <w:numPr>
          <w:ilvl w:val="0"/>
          <w:numId w:val="24"/>
        </w:numPr>
        <w:spacing w:line="360" w:lineRule="auto"/>
        <w:rPr>
          <w:rFonts w:ascii="宋体" w:hAnsi="宋体"/>
          <w:sz w:val="24"/>
          <w:lang w:val="zh-CN"/>
        </w:rPr>
      </w:pPr>
      <w:r>
        <w:rPr>
          <w:rFonts w:ascii="宋体" w:hAnsi="宋体"/>
          <w:sz w:val="24"/>
          <w:lang w:val="zh-CN"/>
        </w:rPr>
        <w:t>各作业层之间</w:t>
      </w:r>
      <w:r>
        <w:rPr>
          <w:rFonts w:ascii="宋体" w:hAnsi="宋体"/>
          <w:sz w:val="24"/>
          <w:lang w:val="zh-CN"/>
        </w:rPr>
        <w:t>设置可靠的防护栅栏，防止坠落物体伤人。</w:t>
      </w:r>
    </w:p>
    <w:p w:rsidR="00E7704A">
      <w:pPr>
        <w:pStyle w:val="Normal0"/>
        <w:spacing w:line="360" w:lineRule="auto"/>
        <w:jc w:val="left"/>
        <w:rPr>
          <w:rFonts w:ascii="宋体" w:hAnsi="宋体"/>
          <w:color w:val="000000"/>
          <w:sz w:val="24"/>
          <w:lang w:val="zh-CN"/>
        </w:rPr>
      </w:pPr>
      <w:r>
        <w:rPr>
          <w:rFonts w:ascii="宋体" w:hAnsi="宋体"/>
          <w:color w:val="000000"/>
          <w:sz w:val="24"/>
          <w:lang w:val="zh-CN"/>
        </w:rPr>
        <w:t>脚手架拆除技术措施</w:t>
      </w:r>
    </w:p>
    <w:p w:rsidR="00E7704A">
      <w:pPr>
        <w:pStyle w:val="Normal0"/>
        <w:numPr>
          <w:ilvl w:val="0"/>
          <w:numId w:val="24"/>
        </w:numPr>
        <w:spacing w:line="360" w:lineRule="auto"/>
        <w:rPr>
          <w:rFonts w:ascii="宋体" w:hAnsi="宋体"/>
          <w:sz w:val="24"/>
          <w:lang w:val="zh-CN"/>
        </w:rPr>
      </w:pPr>
      <w:r>
        <w:rPr>
          <w:rFonts w:ascii="宋体" w:hAnsi="宋体"/>
          <w:sz w:val="24"/>
          <w:lang w:val="zh-CN"/>
        </w:rPr>
        <w:t>拆架前：</w:t>
      </w:r>
    </w:p>
    <w:p w:rsidR="00E7704A">
      <w:pPr>
        <w:pStyle w:val="Normal0"/>
        <w:numPr>
          <w:ilvl w:val="0"/>
          <w:numId w:val="33"/>
        </w:numPr>
        <w:spacing w:line="360" w:lineRule="auto"/>
        <w:jc w:val="left"/>
        <w:rPr>
          <w:rFonts w:ascii="宋体" w:hAnsi="宋体"/>
          <w:sz w:val="24"/>
          <w:lang w:val="zh-CN"/>
        </w:rPr>
      </w:pPr>
      <w:r>
        <w:rPr>
          <w:rFonts w:ascii="宋体" w:hAnsi="宋体"/>
          <w:sz w:val="24"/>
          <w:lang w:val="zh-CN"/>
        </w:rPr>
        <w:t>应全面检查脚手架的扣件连接、连墙件、支撑体系等是否符合构造要求；</w:t>
      </w:r>
    </w:p>
    <w:p w:rsidR="00E7704A">
      <w:pPr>
        <w:pStyle w:val="Normal0"/>
        <w:numPr>
          <w:ilvl w:val="0"/>
          <w:numId w:val="33"/>
        </w:numPr>
        <w:spacing w:line="360" w:lineRule="auto"/>
        <w:jc w:val="left"/>
        <w:rPr>
          <w:rFonts w:ascii="宋体" w:hAnsi="宋体"/>
          <w:sz w:val="24"/>
          <w:lang w:val="zh-CN"/>
        </w:rPr>
        <w:sectPr>
          <w:type w:val="nextPage"/>
          <w:pgSz w:w="11906" w:h="16838"/>
          <w:pgMar w:top="1440" w:right="1800" w:bottom="1440" w:left="1800" w:header="851" w:footer="992" w:gutter="0"/>
          <w:pgNumType w:start="27"/>
          <w:cols w:space="425"/>
          <w:titlePg w:val="0"/>
          <w:docGrid w:type="lines" w:linePitch="312"/>
        </w:sectPr>
      </w:pPr>
      <w:r>
        <w:rPr>
          <w:rFonts w:ascii="宋体" w:hAnsi="宋体"/>
          <w:sz w:val="24"/>
          <w:lang w:val="zh-CN"/>
        </w:rPr>
        <w:t>应根据检查结果补充完善施工组织设计中的拆除顺序和措施，经主管部门批准后方可实施；</w:t>
      </w:r>
    </w:p>
    <w:p w:rsidR="00E7704A">
      <w:pPr>
        <w:pStyle w:val="Normal0"/>
        <w:numPr>
          <w:ilvl w:val="0"/>
          <w:numId w:val="33"/>
        </w:numPr>
        <w:spacing w:line="360" w:lineRule="auto"/>
        <w:jc w:val="left"/>
        <w:rPr>
          <w:rFonts w:ascii="宋体" w:hAnsi="宋体"/>
          <w:sz w:val="24"/>
          <w:lang w:val="zh-CN"/>
        </w:rPr>
      </w:pPr>
      <w:r>
        <w:rPr>
          <w:rFonts w:ascii="宋体" w:hAnsi="宋体"/>
          <w:sz w:val="24"/>
          <w:lang w:val="zh-CN"/>
        </w:rPr>
        <w:t>应由单位工程负责人进行拆除安全技术交底；</w:t>
      </w:r>
    </w:p>
    <w:p w:rsidR="00E7704A">
      <w:pPr>
        <w:pStyle w:val="Normal0"/>
        <w:numPr>
          <w:ilvl w:val="0"/>
          <w:numId w:val="33"/>
        </w:numPr>
        <w:spacing w:line="360" w:lineRule="auto"/>
        <w:jc w:val="left"/>
        <w:rPr>
          <w:rFonts w:ascii="宋体" w:hAnsi="宋体"/>
          <w:sz w:val="24"/>
          <w:lang w:val="zh-CN"/>
        </w:rPr>
      </w:pPr>
      <w:r>
        <w:rPr>
          <w:rFonts w:ascii="宋体" w:hAnsi="宋体"/>
          <w:sz w:val="24"/>
          <w:lang w:val="zh-CN"/>
        </w:rPr>
        <w:t>应清除脚手架上杂物及地面障碍物。</w:t>
      </w:r>
    </w:p>
    <w:p w:rsidR="00E7704A">
      <w:pPr>
        <w:pStyle w:val="Normal0"/>
        <w:numPr>
          <w:ilvl w:val="0"/>
          <w:numId w:val="24"/>
        </w:numPr>
        <w:spacing w:line="360" w:lineRule="auto"/>
        <w:rPr>
          <w:rFonts w:ascii="宋体" w:hAnsi="宋体"/>
          <w:color w:val="000000"/>
          <w:sz w:val="24"/>
          <w:lang w:val="zh-CN"/>
        </w:rPr>
      </w:pPr>
      <w:r>
        <w:rPr>
          <w:rFonts w:ascii="宋体" w:hAnsi="宋体"/>
          <w:sz w:val="24"/>
          <w:lang w:val="zh-CN"/>
        </w:rPr>
        <w:t>拆架时应划分作业区，周围设绳绑围栏或竖立警戒标志，地面应设专人指挥，禁止非作业人员进入。当脚手架采取分段、分立面拆除时，对不拆除的脚手架两端，应先按《建筑施工扣件式钢管脚手架安全技术规范》</w:t>
      </w:r>
      <w:r>
        <w:rPr>
          <w:rFonts w:eastAsia="Times New Roman" w:hint="eastAsia"/>
          <w:sz w:val="24"/>
        </w:rPr>
        <w:t>JGJ130-2011</w:t>
      </w:r>
      <w:r>
        <w:rPr>
          <w:rFonts w:ascii="宋体" w:hAnsi="宋体"/>
          <w:color w:val="000000"/>
          <w:sz w:val="24"/>
          <w:lang w:val="zh-CN"/>
        </w:rPr>
        <w:t>第</w:t>
      </w:r>
      <w:r>
        <w:rPr>
          <w:rFonts w:eastAsia="Times New Roman" w:hint="eastAsia"/>
          <w:color w:val="000000"/>
          <w:sz w:val="24"/>
        </w:rPr>
        <w:t>6.4</w:t>
      </w:r>
      <w:r>
        <w:rPr>
          <w:rFonts w:eastAsia="Times New Roman" w:hint="eastAsia"/>
          <w:color w:val="000000"/>
          <w:sz w:val="24"/>
        </w:rPr>
        <w:t>.4</w:t>
      </w:r>
      <w:r>
        <w:rPr>
          <w:rFonts w:ascii="宋体" w:hAnsi="宋体"/>
          <w:color w:val="000000"/>
          <w:sz w:val="24"/>
          <w:lang w:val="zh-CN"/>
        </w:rPr>
        <w:t>条、第</w:t>
      </w:r>
      <w:r>
        <w:rPr>
          <w:rFonts w:eastAsia="Times New Roman" w:hint="eastAsia"/>
          <w:color w:val="000000"/>
          <w:sz w:val="24"/>
        </w:rPr>
        <w:t>6.6.4</w:t>
      </w:r>
      <w:r>
        <w:rPr>
          <w:rFonts w:ascii="宋体" w:hAnsi="宋体"/>
          <w:color w:val="000000"/>
          <w:sz w:val="24"/>
          <w:lang w:val="zh-CN"/>
        </w:rPr>
        <w:t>条、第</w:t>
      </w:r>
      <w:r>
        <w:rPr>
          <w:rFonts w:eastAsia="Times New Roman" w:hint="eastAsia"/>
          <w:color w:val="000000"/>
          <w:sz w:val="24"/>
        </w:rPr>
        <w:t>6.6.5</w:t>
      </w:r>
      <w:r>
        <w:rPr>
          <w:rFonts w:ascii="宋体" w:hAnsi="宋体"/>
          <w:color w:val="000000"/>
          <w:sz w:val="24"/>
          <w:lang w:val="zh-CN"/>
        </w:rPr>
        <w:t>条设置连墙件和横向斜撑加固。</w:t>
      </w:r>
    </w:p>
    <w:p w:rsidR="00E7704A">
      <w:pPr>
        <w:pStyle w:val="Normal0"/>
        <w:numPr>
          <w:ilvl w:val="0"/>
          <w:numId w:val="24"/>
        </w:numPr>
        <w:spacing w:line="360" w:lineRule="auto"/>
        <w:rPr>
          <w:rFonts w:ascii="宋体" w:hAnsi="宋体"/>
          <w:sz w:val="24"/>
          <w:lang w:val="zh-CN"/>
        </w:rPr>
      </w:pPr>
      <w:r>
        <w:rPr>
          <w:rFonts w:ascii="宋体" w:hAnsi="宋体"/>
          <w:sz w:val="24"/>
          <w:lang w:val="zh-CN"/>
        </w:rPr>
        <w:t>拆架的高处作业人员应戴安全帽、系安全带、扎裹腿、穿软底防滑鞋。</w:t>
      </w:r>
    </w:p>
    <w:p w:rsidR="00E7704A">
      <w:pPr>
        <w:pStyle w:val="Normal0"/>
        <w:numPr>
          <w:ilvl w:val="0"/>
          <w:numId w:val="24"/>
        </w:numPr>
        <w:spacing w:line="360" w:lineRule="auto"/>
        <w:rPr>
          <w:rFonts w:ascii="宋体" w:hAnsi="宋体"/>
          <w:sz w:val="24"/>
          <w:lang w:val="zh-CN"/>
        </w:rPr>
      </w:pPr>
      <w:r>
        <w:rPr>
          <w:rFonts w:ascii="宋体" w:hAnsi="宋体"/>
          <w:sz w:val="24"/>
          <w:lang w:val="zh-CN"/>
        </w:rPr>
        <w:t>拆架程序应遵守</w:t>
      </w:r>
      <w:r>
        <w:rPr>
          <w:rFonts w:eastAsia="Times New Roman"/>
          <w:sz w:val="24"/>
        </w:rPr>
        <w:t>“</w:t>
      </w:r>
      <w:r>
        <w:rPr>
          <w:rFonts w:ascii="宋体" w:hAnsi="宋体"/>
          <w:sz w:val="24"/>
          <w:lang w:val="zh-CN"/>
        </w:rPr>
        <w:t>由上而下，先搭后拆</w:t>
      </w:r>
      <w:r>
        <w:rPr>
          <w:rFonts w:eastAsia="Times New Roman"/>
          <w:sz w:val="24"/>
        </w:rPr>
        <w:t>”</w:t>
      </w:r>
      <w:r>
        <w:rPr>
          <w:rFonts w:ascii="宋体" w:hAnsi="宋体"/>
          <w:sz w:val="24"/>
          <w:lang w:val="zh-CN"/>
        </w:rPr>
        <w:t>的原则，即先拆拉杆、脚手板、剪刀撑、斜撑，而后拆横向水平杆、纵向水平杆、立杆等，并按</w:t>
      </w:r>
      <w:r>
        <w:rPr>
          <w:rFonts w:eastAsia="Times New Roman"/>
          <w:sz w:val="24"/>
        </w:rPr>
        <w:t>“</w:t>
      </w:r>
      <w:r>
        <w:rPr>
          <w:rFonts w:ascii="宋体" w:hAnsi="宋体"/>
          <w:sz w:val="24"/>
          <w:lang w:val="zh-CN"/>
        </w:rPr>
        <w:t>一步一清</w:t>
      </w:r>
      <w:r>
        <w:rPr>
          <w:rFonts w:eastAsia="Times New Roman"/>
          <w:sz w:val="24"/>
        </w:rPr>
        <w:t>”</w:t>
      </w:r>
      <w:r>
        <w:rPr>
          <w:rFonts w:ascii="宋体" w:hAnsi="宋体"/>
          <w:sz w:val="24"/>
          <w:lang w:val="zh-CN"/>
        </w:rPr>
        <w:t>原则依次进行。严禁上下同时进行拆架作业。</w:t>
      </w:r>
    </w:p>
    <w:p w:rsidR="00E7704A">
      <w:pPr>
        <w:pStyle w:val="Normal0"/>
        <w:numPr>
          <w:ilvl w:val="0"/>
          <w:numId w:val="24"/>
        </w:numPr>
        <w:spacing w:line="360" w:lineRule="auto"/>
        <w:rPr>
          <w:rFonts w:ascii="宋体" w:hAnsi="宋体"/>
          <w:sz w:val="24"/>
          <w:lang w:val="zh-CN"/>
        </w:rPr>
      </w:pPr>
      <w:r>
        <w:rPr>
          <w:rFonts w:ascii="宋体" w:hAnsi="宋体"/>
          <w:sz w:val="24"/>
          <w:lang w:val="zh-CN"/>
        </w:rPr>
        <w:t>拆立杆时，要先抱住立杆再拆开最后两个扣件，拆除纵向水平杆、斜撑、剪刀撑时，应先拆除中间扣件，然后托住中间，再解端头扣件。</w:t>
      </w:r>
    </w:p>
    <w:p w:rsidR="00E7704A">
      <w:pPr>
        <w:pStyle w:val="Normal0"/>
        <w:numPr>
          <w:ilvl w:val="0"/>
          <w:numId w:val="24"/>
        </w:numPr>
        <w:spacing w:line="360" w:lineRule="auto"/>
        <w:rPr>
          <w:rFonts w:ascii="宋体" w:hAnsi="宋体"/>
          <w:sz w:val="24"/>
          <w:lang w:val="zh-CN"/>
        </w:rPr>
      </w:pPr>
      <w:r>
        <w:rPr>
          <w:rFonts w:ascii="宋体" w:hAnsi="宋体"/>
          <w:sz w:val="24"/>
          <w:lang w:val="zh-CN"/>
        </w:rPr>
        <w:t>连墙件必须随脚手架逐层拆除，严禁先将连墙件整层或数层拆除后再拆脚手架；分段拆除高差不应大于</w:t>
      </w:r>
      <w:r>
        <w:rPr>
          <w:rFonts w:eastAsia="Times New Roman" w:hint="eastAsia"/>
          <w:sz w:val="24"/>
        </w:rPr>
        <w:t>2</w:t>
      </w:r>
      <w:r>
        <w:rPr>
          <w:rFonts w:ascii="宋体" w:hAnsi="宋体"/>
          <w:sz w:val="24"/>
          <w:lang w:val="zh-CN"/>
        </w:rPr>
        <w:t>步，如高差大于</w:t>
      </w:r>
      <w:r>
        <w:rPr>
          <w:rFonts w:eastAsia="Times New Roman" w:hint="eastAsia"/>
          <w:sz w:val="24"/>
        </w:rPr>
        <w:t>2</w:t>
      </w:r>
      <w:r>
        <w:rPr>
          <w:rFonts w:ascii="宋体" w:hAnsi="宋体"/>
          <w:sz w:val="24"/>
          <w:lang w:val="zh-CN"/>
        </w:rPr>
        <w:t>步，应增设连墙件加固；当脚手架拆至下部最后一根长立杆的高度（约</w:t>
      </w:r>
      <w:r>
        <w:rPr>
          <w:rFonts w:eastAsia="Times New Roman" w:hint="eastAsia"/>
          <w:sz w:val="24"/>
        </w:rPr>
        <w:t>6.5m</w:t>
      </w:r>
      <w:r>
        <w:rPr>
          <w:rFonts w:ascii="宋体" w:hAnsi="宋体"/>
          <w:sz w:val="24"/>
          <w:lang w:val="zh-CN"/>
        </w:rPr>
        <w:t>）时，应先在适当位置搭设临时抛撑加固后，再拆除连墙件。</w:t>
      </w:r>
    </w:p>
    <w:p w:rsidR="00E7704A">
      <w:pPr>
        <w:pStyle w:val="Normal0"/>
        <w:numPr>
          <w:ilvl w:val="0"/>
          <w:numId w:val="24"/>
        </w:numPr>
        <w:spacing w:line="360" w:lineRule="auto"/>
        <w:rPr>
          <w:rFonts w:ascii="宋体" w:hAnsi="宋体"/>
          <w:sz w:val="24"/>
          <w:lang w:val="zh-CN"/>
        </w:rPr>
      </w:pPr>
      <w:r>
        <w:rPr>
          <w:rFonts w:ascii="宋体" w:hAnsi="宋体"/>
          <w:sz w:val="24"/>
          <w:lang w:val="zh-CN"/>
        </w:rPr>
        <w:t>拆除时要统一指挥，上下呼应，动作协调，当解开与另一人有关的结扣时，应先通知对方，以防坠落。</w:t>
      </w:r>
    </w:p>
    <w:p w:rsidR="00E7704A">
      <w:pPr>
        <w:pStyle w:val="Normal0"/>
        <w:numPr>
          <w:ilvl w:val="0"/>
          <w:numId w:val="24"/>
        </w:numPr>
        <w:spacing w:line="360" w:lineRule="auto"/>
        <w:rPr>
          <w:rFonts w:ascii="宋体" w:hAnsi="宋体"/>
          <w:sz w:val="24"/>
          <w:lang w:val="zh-CN"/>
        </w:rPr>
      </w:pPr>
      <w:r>
        <w:rPr>
          <w:rFonts w:ascii="宋体" w:hAnsi="宋体"/>
          <w:sz w:val="24"/>
          <w:lang w:val="zh-CN"/>
        </w:rPr>
        <w:t>拆架时严禁碰撞脚手架附近电源线，以防触电事故。</w:t>
      </w:r>
    </w:p>
    <w:p w:rsidR="00E7704A">
      <w:pPr>
        <w:pStyle w:val="Normal0"/>
        <w:numPr>
          <w:ilvl w:val="0"/>
          <w:numId w:val="24"/>
        </w:numPr>
        <w:spacing w:line="360" w:lineRule="auto"/>
        <w:rPr>
          <w:rFonts w:ascii="宋体" w:hAnsi="宋体"/>
          <w:sz w:val="24"/>
          <w:lang w:val="zh-CN"/>
        </w:rPr>
      </w:pPr>
      <w:r>
        <w:rPr>
          <w:rFonts w:ascii="宋体" w:hAnsi="宋体"/>
          <w:sz w:val="24"/>
          <w:lang w:val="zh-CN"/>
        </w:rPr>
        <w:t>在拆架时，不得中</w:t>
      </w:r>
      <w:r>
        <w:rPr>
          <w:rFonts w:ascii="宋体" w:hAnsi="宋体"/>
          <w:sz w:val="24"/>
          <w:lang w:val="zh-CN"/>
        </w:rPr>
        <w:t>途换人，如必须换人时，应将拆除情况交代清楚后方可离开。</w:t>
      </w:r>
    </w:p>
    <w:p w:rsidR="00E7704A">
      <w:pPr>
        <w:pStyle w:val="Normal0"/>
        <w:numPr>
          <w:ilvl w:val="0"/>
          <w:numId w:val="24"/>
        </w:numPr>
        <w:spacing w:line="360" w:lineRule="auto"/>
        <w:rPr>
          <w:rFonts w:ascii="宋体" w:hAnsi="宋体"/>
          <w:sz w:val="20"/>
          <w:lang w:val="zh-CN"/>
        </w:rPr>
      </w:pPr>
      <w:r>
        <w:rPr>
          <w:rFonts w:ascii="宋体" w:hAnsi="宋体"/>
          <w:sz w:val="24"/>
          <w:lang w:val="zh-CN"/>
        </w:rPr>
        <w:t>拆下的材料要徐徐下运，严禁抛掷。运至地面的材料应按指定地点随拆随运，分类堆放，</w:t>
      </w:r>
      <w:r>
        <w:rPr>
          <w:rFonts w:eastAsia="Times New Roman"/>
          <w:sz w:val="24"/>
        </w:rPr>
        <w:t>“</w:t>
      </w:r>
      <w:r>
        <w:rPr>
          <w:rFonts w:ascii="宋体" w:hAnsi="宋体"/>
          <w:sz w:val="24"/>
          <w:lang w:val="zh-CN"/>
        </w:rPr>
        <w:t>当天拆当天清</w:t>
      </w:r>
      <w:r>
        <w:rPr>
          <w:rFonts w:eastAsia="Times New Roman"/>
          <w:sz w:val="24"/>
        </w:rPr>
        <w:t>”</w:t>
      </w:r>
      <w:r>
        <w:rPr>
          <w:rFonts w:ascii="宋体" w:hAnsi="宋体"/>
          <w:sz w:val="24"/>
          <w:lang w:val="zh-CN"/>
        </w:rPr>
        <w:t>，拆下的构配件应按《建筑施工扣件式钢管脚手架安全技术规范》</w:t>
      </w:r>
      <w:r>
        <w:rPr>
          <w:rFonts w:eastAsia="Times New Roman" w:hint="eastAsia"/>
          <w:sz w:val="24"/>
        </w:rPr>
        <w:t>JGJ130-2011</w:t>
      </w:r>
      <w:r>
        <w:rPr>
          <w:rFonts w:ascii="宋体" w:hAnsi="宋体"/>
          <w:sz w:val="24"/>
          <w:lang w:val="zh-CN"/>
        </w:rPr>
        <w:t>的规定及时检查、整修与保养，并应按品种、规格分别存放</w:t>
      </w:r>
      <w:r>
        <w:rPr>
          <w:rFonts w:ascii="宋体" w:hAnsi="宋体"/>
          <w:sz w:val="20"/>
          <w:lang w:val="zh-CN"/>
        </w:rPr>
        <w:t>。</w:t>
      </w:r>
    </w:p>
    <w:p w:rsidR="00E7704A">
      <w:pPr>
        <w:pStyle w:val="Normal0"/>
        <w:numPr>
          <w:ilvl w:val="0"/>
          <w:numId w:val="24"/>
        </w:numPr>
        <w:spacing w:line="360" w:lineRule="auto"/>
        <w:rPr>
          <w:rFonts w:ascii="宋体" w:hAnsi="宋体"/>
          <w:sz w:val="24"/>
          <w:lang w:val="zh-CN"/>
        </w:rPr>
      </w:pPr>
      <w:r>
        <w:rPr>
          <w:rFonts w:ascii="宋体" w:hAnsi="宋体"/>
          <w:sz w:val="24"/>
          <w:lang w:val="zh-CN"/>
        </w:rPr>
        <w:t>高层建筑脚手架拆除，应配备良好的通讯装置。</w:t>
      </w:r>
    </w:p>
    <w:p w:rsidR="00E7704A">
      <w:pPr>
        <w:pStyle w:val="Normal0"/>
        <w:numPr>
          <w:ilvl w:val="0"/>
          <w:numId w:val="24"/>
        </w:numPr>
        <w:spacing w:line="360" w:lineRule="auto"/>
        <w:rPr>
          <w:rFonts w:ascii="宋体" w:hAnsi="宋体"/>
          <w:sz w:val="24"/>
          <w:lang w:val="zh-CN"/>
        </w:rPr>
        <w:sectPr>
          <w:type w:val="nextPage"/>
          <w:pgSz w:w="11906" w:h="16838"/>
          <w:pgMar w:top="1440" w:right="1800" w:bottom="1440" w:left="1800" w:header="851" w:footer="992" w:gutter="0"/>
          <w:pgNumType w:start="28"/>
          <w:cols w:space="425"/>
          <w:titlePg w:val="0"/>
          <w:docGrid w:type="lines" w:linePitch="312"/>
        </w:sectPr>
      </w:pPr>
      <w:r>
        <w:rPr>
          <w:rFonts w:ascii="宋体" w:hAnsi="宋体"/>
          <w:sz w:val="24"/>
          <w:lang w:val="zh-CN"/>
        </w:rPr>
        <w:t>当天离岗时，应及时加固尚未拆除部分，防止存留隐患造成复岗后的人为事故。</w:t>
      </w:r>
    </w:p>
    <w:p w:rsidR="00E7704A">
      <w:pPr>
        <w:pStyle w:val="Normal0"/>
        <w:numPr>
          <w:ilvl w:val="0"/>
          <w:numId w:val="24"/>
        </w:numPr>
        <w:spacing w:line="360" w:lineRule="auto"/>
        <w:rPr>
          <w:rFonts w:ascii="宋体" w:hAnsi="宋体"/>
          <w:sz w:val="24"/>
          <w:lang w:val="zh-CN"/>
        </w:rPr>
      </w:pPr>
      <w:r>
        <w:rPr>
          <w:rFonts w:ascii="宋体" w:hAnsi="宋体"/>
          <w:sz w:val="24"/>
          <w:lang w:val="zh-CN"/>
        </w:rPr>
        <w:t>如遇强风、大雨、雪等特殊气候，不应进行脚手架的拆除，严禁夜间拆除。</w:t>
      </w:r>
    </w:p>
    <w:p w:rsidR="00E7704A">
      <w:pPr>
        <w:pStyle w:val="Normal0"/>
        <w:numPr>
          <w:ilvl w:val="0"/>
          <w:numId w:val="24"/>
        </w:numPr>
        <w:spacing w:line="360" w:lineRule="auto"/>
        <w:rPr>
          <w:rFonts w:ascii="Arial" w:hAnsi="Arial"/>
          <w:b/>
          <w:i/>
          <w:sz w:val="18"/>
        </w:rPr>
      </w:pPr>
      <w:r>
        <w:rPr>
          <w:rFonts w:ascii="宋体" w:hAnsi="宋体"/>
          <w:sz w:val="24"/>
          <w:lang w:val="zh-CN"/>
        </w:rPr>
        <w:t>翻掀垫铺竹笆应注意站立位置，并应自外向里翻</w:t>
      </w:r>
      <w:r>
        <w:rPr>
          <w:rFonts w:ascii="宋体" w:hAnsi="宋体"/>
          <w:sz w:val="24"/>
          <w:lang w:val="zh-CN"/>
        </w:rPr>
        <w:t>起竖立，防止外翻将竹笆内未清除的残留物从高处坠落伤人。</w:t>
      </w:r>
    </w:p>
    <w:p w:rsidR="00E7704A">
      <w:pPr>
        <w:pStyle w:val="Normal0"/>
        <w:spacing w:line="360" w:lineRule="auto"/>
        <w:jc w:val="left"/>
        <w:rPr>
          <w:rFonts w:ascii="宋体" w:hAnsi="宋体"/>
          <w:color w:val="000000"/>
          <w:sz w:val="24"/>
          <w:lang w:val="zh-CN"/>
        </w:rPr>
      </w:pPr>
      <w:r>
        <w:rPr>
          <w:rFonts w:ascii="宋体" w:hAnsi="宋体"/>
          <w:color w:val="000000"/>
          <w:sz w:val="24"/>
          <w:lang w:val="zh-CN"/>
        </w:rPr>
        <w:t>安全管理</w:t>
      </w:r>
    </w:p>
    <w:p w:rsidR="00E7704A">
      <w:pPr>
        <w:pStyle w:val="Normal0"/>
        <w:numPr>
          <w:ilvl w:val="0"/>
          <w:numId w:val="34"/>
        </w:numPr>
        <w:spacing w:line="360" w:lineRule="auto"/>
        <w:jc w:val="left"/>
        <w:rPr>
          <w:rFonts w:ascii="宋体" w:hAnsi="宋体"/>
          <w:sz w:val="24"/>
          <w:lang w:val="zh-CN"/>
        </w:rPr>
      </w:pPr>
      <w:r>
        <w:rPr>
          <w:rFonts w:ascii="宋体" w:hAnsi="宋体"/>
          <w:sz w:val="24"/>
          <w:lang w:val="zh-CN"/>
        </w:rPr>
        <w:t>搭设人员必须是经过按现行国家标准《特种作业人员安全技术考核管理规则》</w:t>
      </w:r>
      <w:r>
        <w:rPr>
          <w:rFonts w:eastAsia="Times New Roman" w:hint="eastAsia"/>
          <w:sz w:val="24"/>
        </w:rPr>
        <w:t>GB5036</w:t>
      </w:r>
      <w:r>
        <w:rPr>
          <w:rFonts w:ascii="宋体" w:hAnsi="宋体"/>
          <w:sz w:val="24"/>
          <w:lang w:val="zh-CN"/>
        </w:rPr>
        <w:t>考核合格的专业架子工。上岗人员定期体检，合格者方可持证上岗；</w:t>
      </w:r>
    </w:p>
    <w:p w:rsidR="00E7704A">
      <w:pPr>
        <w:pStyle w:val="Normal0"/>
        <w:numPr>
          <w:ilvl w:val="0"/>
          <w:numId w:val="34"/>
        </w:numPr>
        <w:spacing w:line="360" w:lineRule="auto"/>
        <w:jc w:val="left"/>
        <w:rPr>
          <w:rFonts w:ascii="宋体" w:hAnsi="宋体"/>
          <w:color w:val="000000"/>
          <w:sz w:val="24"/>
          <w:lang w:val="zh-CN"/>
        </w:rPr>
      </w:pPr>
      <w:r>
        <w:rPr>
          <w:rFonts w:ascii="宋体" w:hAnsi="宋体"/>
          <w:color w:val="000000"/>
          <w:sz w:val="24"/>
          <w:lang w:val="zh-CN"/>
        </w:rPr>
        <w:t>搭设人员必须戴安全帽、系安全带、穿防滑鞋；</w:t>
      </w:r>
    </w:p>
    <w:p w:rsidR="00E7704A">
      <w:pPr>
        <w:pStyle w:val="Normal0"/>
        <w:numPr>
          <w:ilvl w:val="0"/>
          <w:numId w:val="34"/>
        </w:numPr>
        <w:spacing w:line="360" w:lineRule="auto"/>
        <w:jc w:val="left"/>
        <w:rPr>
          <w:rFonts w:ascii="宋体" w:hAnsi="宋体"/>
          <w:sz w:val="24"/>
          <w:lang w:val="zh-CN"/>
        </w:rPr>
      </w:pPr>
      <w:r>
        <w:rPr>
          <w:rFonts w:ascii="宋体" w:hAnsi="宋体"/>
          <w:sz w:val="24"/>
          <w:lang w:val="zh-CN"/>
        </w:rPr>
        <w:t>脚手架的构配件质量与搭设质量，应按安全技术规范规定进行检查验收，合格后方准许使用；</w:t>
      </w:r>
    </w:p>
    <w:p w:rsidR="00E7704A">
      <w:pPr>
        <w:pStyle w:val="Normal0"/>
        <w:numPr>
          <w:ilvl w:val="0"/>
          <w:numId w:val="34"/>
        </w:numPr>
        <w:spacing w:line="360" w:lineRule="auto"/>
        <w:jc w:val="left"/>
        <w:rPr>
          <w:rFonts w:ascii="宋体" w:hAnsi="宋体"/>
          <w:sz w:val="24"/>
          <w:lang w:val="zh-CN"/>
        </w:rPr>
      </w:pPr>
      <w:r>
        <w:rPr>
          <w:rFonts w:ascii="宋体" w:hAnsi="宋体"/>
          <w:sz w:val="24"/>
          <w:lang w:val="zh-CN"/>
        </w:rPr>
        <w:t>作业层上的施工荷载应符合设计要求，不得超载。不得将模板支架、揽风绳、泵送混凝土和砂浆的输送管等固定在脚手架上，严禁悬挂起重设备，严禁拆除或移动架体上安全防护措施；</w:t>
      </w:r>
    </w:p>
    <w:p w:rsidR="00E7704A">
      <w:pPr>
        <w:pStyle w:val="Normal0"/>
        <w:numPr>
          <w:ilvl w:val="0"/>
          <w:numId w:val="34"/>
        </w:numPr>
        <w:spacing w:line="360" w:lineRule="auto"/>
        <w:jc w:val="left"/>
        <w:rPr>
          <w:rFonts w:ascii="宋体" w:hAnsi="宋体"/>
          <w:sz w:val="24"/>
          <w:lang w:val="zh-CN"/>
        </w:rPr>
      </w:pPr>
      <w:r>
        <w:rPr>
          <w:rFonts w:ascii="宋体" w:hAnsi="宋体"/>
          <w:sz w:val="24"/>
          <w:lang w:val="zh-CN"/>
        </w:rPr>
        <w:t>当有六级以及六级以上大风和雾、雨、雪天气，应停止脚手架的搭设与拆除作业。雪后架上作业应有防滑措施，并扫除积雪；</w:t>
      </w:r>
    </w:p>
    <w:p w:rsidR="00E7704A">
      <w:pPr>
        <w:pStyle w:val="Normal0"/>
        <w:numPr>
          <w:ilvl w:val="0"/>
          <w:numId w:val="34"/>
        </w:numPr>
        <w:spacing w:line="360" w:lineRule="auto"/>
        <w:jc w:val="left"/>
        <w:rPr>
          <w:rFonts w:ascii="宋体" w:hAnsi="宋体"/>
          <w:color w:val="000000"/>
          <w:sz w:val="24"/>
          <w:lang w:val="zh-CN"/>
        </w:rPr>
      </w:pPr>
      <w:r>
        <w:rPr>
          <w:rFonts w:ascii="宋体" w:hAnsi="宋体"/>
          <w:color w:val="000000"/>
          <w:sz w:val="24"/>
          <w:lang w:val="zh-CN"/>
        </w:rPr>
        <w:t>夜间不宜进行脚手架搭设与拆除工作；</w:t>
      </w:r>
    </w:p>
    <w:p w:rsidR="00E7704A">
      <w:pPr>
        <w:pStyle w:val="Normal0"/>
        <w:numPr>
          <w:ilvl w:val="0"/>
          <w:numId w:val="34"/>
        </w:numPr>
        <w:spacing w:line="360" w:lineRule="auto"/>
        <w:jc w:val="left"/>
        <w:rPr>
          <w:rFonts w:ascii="宋体" w:hAnsi="宋体"/>
          <w:sz w:val="24"/>
          <w:lang w:val="zh-CN"/>
        </w:rPr>
      </w:pPr>
      <w:r>
        <w:rPr>
          <w:rFonts w:ascii="宋体" w:hAnsi="宋体"/>
          <w:sz w:val="24"/>
          <w:lang w:val="zh-CN"/>
        </w:rPr>
        <w:t>脚手架的安全检查与维护，应按相应安全技术规范进行；</w:t>
      </w:r>
    </w:p>
    <w:p w:rsidR="00E7704A">
      <w:pPr>
        <w:pStyle w:val="Normal0"/>
        <w:numPr>
          <w:ilvl w:val="0"/>
          <w:numId w:val="34"/>
        </w:numPr>
        <w:spacing w:line="360" w:lineRule="auto"/>
        <w:jc w:val="left"/>
        <w:rPr>
          <w:rFonts w:ascii="宋体" w:hAnsi="宋体"/>
          <w:sz w:val="24"/>
          <w:lang w:val="zh-CN"/>
        </w:rPr>
      </w:pPr>
      <w:r>
        <w:rPr>
          <w:rFonts w:ascii="宋体" w:hAnsi="宋体"/>
          <w:sz w:val="24"/>
          <w:lang w:val="zh-CN"/>
        </w:rPr>
        <w:t>脚手板应铺设牢靠、严实，并应用安全网双层兜底，施工层以下每隔</w:t>
      </w:r>
      <w:r>
        <w:rPr>
          <w:rFonts w:eastAsia="Times New Roman" w:hint="eastAsia"/>
          <w:sz w:val="24"/>
        </w:rPr>
        <w:t>10m</w:t>
      </w:r>
      <w:r>
        <w:rPr>
          <w:rFonts w:ascii="宋体" w:hAnsi="宋体"/>
          <w:sz w:val="24"/>
          <w:lang w:val="zh-CN"/>
        </w:rPr>
        <w:t>应用安全网封闭；单、双排脚手架、悬挑式脚手架沿架体外围应用密目式安全网全封闭，密目</w:t>
      </w:r>
      <w:r>
        <w:rPr>
          <w:rFonts w:ascii="宋体" w:hAnsi="宋体"/>
          <w:sz w:val="24"/>
          <w:lang w:val="zh-CN"/>
        </w:rPr>
        <w:t>式安全网宜设置在脚手架外立杆的内侧，并应与架体绑扎牢固。</w:t>
      </w:r>
    </w:p>
    <w:p w:rsidR="00E7704A">
      <w:pPr>
        <w:pStyle w:val="Normal0"/>
        <w:numPr>
          <w:ilvl w:val="0"/>
          <w:numId w:val="34"/>
        </w:numPr>
        <w:spacing w:line="360" w:lineRule="auto"/>
        <w:jc w:val="left"/>
        <w:rPr>
          <w:rFonts w:ascii="Arial" w:hAnsi="Arial"/>
          <w:b/>
          <w:sz w:val="18"/>
        </w:rPr>
      </w:pPr>
      <w:r>
        <w:rPr>
          <w:rFonts w:ascii="宋体" w:hAnsi="宋体"/>
          <w:sz w:val="24"/>
          <w:lang w:val="zh-CN"/>
        </w:rPr>
        <w:t>在脚手架使用期间，严禁拆除主节点处纵、横向水平杆、连墙件、交叉支撑、水平架、加固栏杆和栏杆；</w:t>
      </w:r>
    </w:p>
    <w:p w:rsidR="00E7704A">
      <w:pPr>
        <w:pStyle w:val="Normal0"/>
        <w:numPr>
          <w:ilvl w:val="0"/>
          <w:numId w:val="34"/>
        </w:numPr>
        <w:spacing w:line="360" w:lineRule="auto"/>
        <w:jc w:val="left"/>
        <w:rPr>
          <w:rFonts w:ascii="宋体" w:hAnsi="宋体"/>
          <w:sz w:val="24"/>
          <w:lang w:val="zh-CN"/>
        </w:rPr>
      </w:pPr>
      <w:r>
        <w:rPr>
          <w:rFonts w:ascii="宋体" w:hAnsi="宋体"/>
          <w:sz w:val="24"/>
          <w:lang w:val="zh-CN"/>
        </w:rPr>
        <w:t>当在脚手架使用过程中开挖脚手架基础下的设备基础或管沟时，必须对脚手架采取加固措施；</w:t>
      </w:r>
    </w:p>
    <w:p w:rsidR="00E7704A">
      <w:pPr>
        <w:pStyle w:val="Normal0"/>
        <w:numPr>
          <w:ilvl w:val="0"/>
          <w:numId w:val="34"/>
        </w:numPr>
        <w:spacing w:line="360" w:lineRule="auto"/>
        <w:jc w:val="left"/>
        <w:rPr>
          <w:rFonts w:ascii="宋体" w:hAnsi="宋体"/>
          <w:sz w:val="24"/>
          <w:lang w:val="zh-CN"/>
        </w:rPr>
      </w:pPr>
      <w:r>
        <w:rPr>
          <w:rFonts w:ascii="宋体" w:hAnsi="宋体"/>
          <w:sz w:val="24"/>
          <w:lang w:val="zh-CN"/>
        </w:rPr>
        <w:t>临街搭设脚手架时，外侧应有防止坠物伤人的防护措施；</w:t>
      </w:r>
    </w:p>
    <w:p w:rsidR="00E7704A">
      <w:pPr>
        <w:pStyle w:val="Normal0"/>
        <w:numPr>
          <w:ilvl w:val="0"/>
          <w:numId w:val="34"/>
        </w:numPr>
        <w:spacing w:line="360" w:lineRule="auto"/>
        <w:jc w:val="left"/>
        <w:rPr>
          <w:rFonts w:ascii="宋体" w:hAnsi="宋体"/>
          <w:sz w:val="24"/>
          <w:lang w:val="zh-CN"/>
        </w:rPr>
      </w:pPr>
      <w:r>
        <w:rPr>
          <w:rFonts w:ascii="宋体" w:hAnsi="宋体"/>
          <w:sz w:val="24"/>
          <w:lang w:val="zh-CN"/>
        </w:rPr>
        <w:t>在脚手架上进行电、气焊作业时，必须有防火措施和专人看守；</w:t>
      </w:r>
    </w:p>
    <w:p w:rsidR="00E7704A">
      <w:pPr>
        <w:pStyle w:val="Normal0"/>
        <w:numPr>
          <w:ilvl w:val="0"/>
          <w:numId w:val="34"/>
        </w:numPr>
        <w:spacing w:line="360" w:lineRule="auto"/>
        <w:jc w:val="left"/>
        <w:rPr>
          <w:rFonts w:ascii="宋体" w:hAnsi="宋体"/>
          <w:sz w:val="24"/>
          <w:lang w:val="zh-CN"/>
        </w:rPr>
      </w:pPr>
      <w:r>
        <w:rPr>
          <w:rFonts w:ascii="宋体" w:hAnsi="宋体"/>
          <w:sz w:val="24"/>
          <w:lang w:val="zh-CN"/>
        </w:rPr>
        <w:t>工地临时用电线路的架设及脚手架接地、避雷措施等。应按现行行业标准《施工现场临时用电安全技术规范》</w:t>
      </w:r>
      <w:r>
        <w:rPr>
          <w:rFonts w:eastAsia="Times New Roman" w:hint="eastAsia"/>
          <w:sz w:val="24"/>
        </w:rPr>
        <w:t>JGJ46-2005</w:t>
      </w:r>
      <w:r>
        <w:rPr>
          <w:rFonts w:ascii="宋体" w:hAnsi="宋体"/>
          <w:sz w:val="24"/>
          <w:lang w:val="zh-CN"/>
        </w:rPr>
        <w:t>的有关规定执行；</w:t>
      </w:r>
    </w:p>
    <w:p w:rsidR="00E7704A">
      <w:pPr>
        <w:pStyle w:val="Normal0"/>
        <w:spacing w:line="360" w:lineRule="auto"/>
        <w:ind w:firstLine="480"/>
        <w:jc w:val="left"/>
        <w:rPr>
          <w:rFonts w:eastAsia="Times New Roman"/>
          <w:color w:val="000000"/>
          <w:sz w:val="24"/>
        </w:rPr>
        <w:sectPr>
          <w:type w:val="nextPage"/>
          <w:pgSz w:w="11906" w:h="16838"/>
          <w:pgMar w:top="1440" w:right="1800" w:bottom="1440" w:left="1800" w:header="851" w:footer="992" w:gutter="0"/>
          <w:pgNumType w:start="29"/>
          <w:cols w:space="425"/>
          <w:titlePg w:val="0"/>
          <w:docGrid w:type="lines" w:linePitch="312"/>
        </w:sectPr>
      </w:pPr>
    </w:p>
    <w:p w:rsidR="00E7704A">
      <w:pPr>
        <w:pStyle w:val="Normal0"/>
        <w:spacing w:line="360" w:lineRule="auto"/>
        <w:jc w:val="left"/>
        <w:rPr>
          <w:rFonts w:ascii="宋体" w:hAnsi="宋体"/>
          <w:color w:val="000000"/>
          <w:sz w:val="24"/>
          <w:lang w:val="zh-CN"/>
        </w:rPr>
      </w:pPr>
      <w:r>
        <w:rPr>
          <w:rFonts w:ascii="宋体" w:hAnsi="宋体"/>
          <w:color w:val="000000"/>
          <w:sz w:val="24"/>
          <w:lang w:val="zh-CN"/>
        </w:rPr>
        <w:t>日常维护管理要求</w:t>
      </w:r>
    </w:p>
    <w:p w:rsidR="00E7704A">
      <w:pPr>
        <w:pStyle w:val="Normal0"/>
        <w:numPr>
          <w:ilvl w:val="0"/>
          <w:numId w:val="35"/>
        </w:numPr>
        <w:spacing w:line="360" w:lineRule="auto"/>
        <w:jc w:val="left"/>
        <w:rPr>
          <w:rFonts w:ascii="宋体" w:hAnsi="宋体"/>
          <w:sz w:val="24"/>
          <w:lang w:val="zh-CN"/>
        </w:rPr>
      </w:pPr>
      <w:r>
        <w:rPr>
          <w:rFonts w:ascii="宋体" w:hAnsi="宋体"/>
          <w:sz w:val="24"/>
          <w:lang w:val="zh-CN"/>
        </w:rPr>
        <w:t>使用完毕的脚</w:t>
      </w:r>
      <w:r>
        <w:rPr>
          <w:rFonts w:ascii="宋体" w:hAnsi="宋体"/>
          <w:sz w:val="24"/>
          <w:lang w:val="zh-CN"/>
        </w:rPr>
        <w:t>手架架料和构件、零件要及时回收、分类整理，分类存放。堆放地点要场地平坦，排水良好，下设支垫，钢管、角钢、钢桁架和其他钢构件最好放在室内，如果放在露天，应用毡、席加盖、扣件、螺栓及其他小零件，应用木箱。钢筋笼或麻袋、草包等容器分类贮存，放在室内；</w:t>
      </w:r>
    </w:p>
    <w:p w:rsidR="00E7704A">
      <w:pPr>
        <w:pStyle w:val="Normal0"/>
        <w:numPr>
          <w:ilvl w:val="0"/>
          <w:numId w:val="35"/>
        </w:numPr>
        <w:spacing w:line="360" w:lineRule="auto"/>
        <w:jc w:val="left"/>
        <w:rPr>
          <w:rFonts w:ascii="宋体" w:hAnsi="宋体"/>
          <w:sz w:val="24"/>
          <w:lang w:val="zh-CN"/>
        </w:rPr>
      </w:pPr>
      <w:r>
        <w:rPr>
          <w:rFonts w:ascii="宋体" w:hAnsi="宋体"/>
          <w:sz w:val="24"/>
          <w:lang w:val="zh-CN"/>
        </w:rPr>
        <w:t>弯曲的钢管杆件要调直，损坏的构件要修复，损坏的扣件、零件要更换；</w:t>
      </w:r>
    </w:p>
    <w:p w:rsidR="00E7704A">
      <w:pPr>
        <w:pStyle w:val="Normal0"/>
        <w:numPr>
          <w:ilvl w:val="0"/>
          <w:numId w:val="35"/>
        </w:numPr>
        <w:spacing w:line="360" w:lineRule="auto"/>
        <w:jc w:val="left"/>
        <w:rPr>
          <w:rFonts w:ascii="宋体" w:hAnsi="宋体"/>
          <w:sz w:val="24"/>
          <w:lang w:val="zh-CN"/>
        </w:rPr>
      </w:pPr>
      <w:r>
        <w:rPr>
          <w:rFonts w:ascii="宋体" w:hAnsi="宋体"/>
          <w:sz w:val="24"/>
          <w:lang w:val="zh-CN"/>
        </w:rPr>
        <w:t>做好钢铁件的防锈和木制件的防腐处理，钢管外壁在湿度较大地区（相对湿度大于</w:t>
      </w:r>
      <w:r>
        <w:rPr>
          <w:rFonts w:eastAsia="Times New Roman" w:hint="eastAsia"/>
          <w:sz w:val="24"/>
        </w:rPr>
        <w:t>75%</w:t>
      </w:r>
      <w:r>
        <w:rPr>
          <w:rFonts w:ascii="宋体" w:hAnsi="宋体"/>
          <w:sz w:val="24"/>
          <w:lang w:val="zh-CN"/>
        </w:rPr>
        <w:t>），应每年涂刷防锈漆一次；其他地区可两年涂刷一次。涂刷时涂层不宜过厚。经彻底除锈后，涂一度红丹即可。钢管内壁可根据地区情况</w:t>
      </w:r>
      <w:r>
        <w:rPr>
          <w:rFonts w:ascii="宋体" w:hAnsi="宋体"/>
          <w:sz w:val="24"/>
          <w:lang w:val="zh-CN"/>
        </w:rPr>
        <w:t>，每</w:t>
      </w:r>
      <w:r>
        <w:rPr>
          <w:rFonts w:eastAsia="Times New Roman" w:hint="eastAsia"/>
          <w:sz w:val="24"/>
        </w:rPr>
        <w:t>2~4</w:t>
      </w:r>
      <w:r>
        <w:rPr>
          <w:rFonts w:ascii="宋体" w:hAnsi="宋体"/>
          <w:sz w:val="24"/>
          <w:lang w:val="zh-CN"/>
        </w:rPr>
        <w:t>年涂刷一次，每次涂刷两遍。角钢、桁架和其他铁件可每年涂刷一次。扣件要涂油，螺栓宜镀锌防锈，使用</w:t>
      </w:r>
      <w:r>
        <w:rPr>
          <w:rFonts w:eastAsia="Times New Roman" w:hint="eastAsia"/>
          <w:sz w:val="24"/>
        </w:rPr>
        <w:t>3~5</w:t>
      </w:r>
      <w:r>
        <w:rPr>
          <w:rFonts w:ascii="宋体" w:hAnsi="宋体"/>
          <w:sz w:val="24"/>
          <w:lang w:val="zh-CN"/>
        </w:rPr>
        <w:t>年保护层剥落后再次镀锌。没有镀锌条件的，应在每次使用后用煤油洗涤并涂机油防锈。木制件应做好防腐处理，钢制件应涂红丹及防锈涂料；</w:t>
      </w:r>
    </w:p>
    <w:p w:rsidR="00E7704A">
      <w:pPr>
        <w:pStyle w:val="Normal0"/>
        <w:numPr>
          <w:ilvl w:val="0"/>
          <w:numId w:val="35"/>
        </w:numPr>
        <w:spacing w:line="360" w:lineRule="auto"/>
        <w:jc w:val="left"/>
        <w:rPr>
          <w:rFonts w:ascii="宋体" w:hAnsi="宋体"/>
          <w:sz w:val="24"/>
          <w:lang w:val="zh-CN"/>
        </w:rPr>
      </w:pPr>
      <w:r>
        <w:rPr>
          <w:rFonts w:ascii="宋体" w:hAnsi="宋体"/>
          <w:sz w:val="24"/>
          <w:lang w:val="zh-CN"/>
        </w:rPr>
        <w:t>搬运长钢管、长角钢时，应采取措施防止弯曲。拆架应拆成单片装运，装卸时不得抛丢，防止损坏；</w:t>
      </w:r>
    </w:p>
    <w:p w:rsidR="00E7704A">
      <w:pPr>
        <w:pStyle w:val="Normal0"/>
        <w:numPr>
          <w:ilvl w:val="0"/>
          <w:numId w:val="35"/>
        </w:numPr>
        <w:spacing w:line="360" w:lineRule="auto"/>
        <w:jc w:val="left"/>
        <w:rPr>
          <w:rFonts w:ascii="宋体" w:hAnsi="宋体"/>
          <w:sz w:val="24"/>
          <w:lang w:val="zh-CN"/>
        </w:rPr>
      </w:pPr>
      <w:r>
        <w:rPr>
          <w:rFonts w:ascii="宋体" w:hAnsi="宋体"/>
          <w:sz w:val="24"/>
          <w:lang w:val="zh-CN"/>
        </w:rPr>
        <w:t>脚手架使用的扣件、螺栓、螺母、垫板、连接棒、插销等小配件极易丢失。在安装脚手架时，多余的小配件应及时收回存放，在拆卸脚手架时，散落在地面上的小配件要及时收捡起来；</w:t>
      </w:r>
    </w:p>
    <w:p w:rsidR="00E7704A">
      <w:pPr>
        <w:pStyle w:val="Normal0"/>
        <w:numPr>
          <w:ilvl w:val="0"/>
          <w:numId w:val="35"/>
        </w:numPr>
        <w:spacing w:line="360" w:lineRule="auto"/>
        <w:jc w:val="left"/>
        <w:rPr>
          <w:rFonts w:ascii="宋体" w:hAnsi="宋体"/>
          <w:sz w:val="24"/>
          <w:lang w:val="zh-CN"/>
        </w:rPr>
      </w:pPr>
      <w:r>
        <w:rPr>
          <w:rFonts w:ascii="宋体" w:hAnsi="宋体"/>
          <w:sz w:val="24"/>
          <w:lang w:val="zh-CN"/>
        </w:rPr>
        <w:t>健全制度，加强管理，</w:t>
      </w:r>
      <w:r>
        <w:rPr>
          <w:rFonts w:ascii="宋体" w:hAnsi="宋体"/>
          <w:sz w:val="24"/>
          <w:lang w:val="zh-CN"/>
        </w:rPr>
        <w:t>减少损耗和提高效益是脚手架管理的中心环节。比较普遍采用的管理办法有两种</w:t>
      </w:r>
    </w:p>
    <w:p w:rsidR="00E7704A">
      <w:pPr>
        <w:pStyle w:val="Normal0"/>
        <w:numPr>
          <w:ilvl w:val="0"/>
          <w:numId w:val="36"/>
        </w:numPr>
        <w:spacing w:line="360" w:lineRule="auto"/>
        <w:rPr>
          <w:rFonts w:ascii="宋体" w:hAnsi="宋体"/>
          <w:sz w:val="24"/>
          <w:lang w:val="zh-CN"/>
        </w:rPr>
      </w:pPr>
      <w:r>
        <w:rPr>
          <w:rFonts w:ascii="宋体" w:hAnsi="宋体"/>
          <w:sz w:val="24"/>
          <w:lang w:val="zh-CN"/>
        </w:rPr>
        <w:t>由架子工班（组）管理，采用谁使用、谁维护、谁管理的原则，并建立积极地奖罚制度、做到确保施工需要，用毕及时归库、及时清理和及时维修保养，减少丢失和损耗；</w:t>
      </w:r>
    </w:p>
    <w:p w:rsidR="00E7704A">
      <w:pPr>
        <w:pStyle w:val="Normal0"/>
        <w:numPr>
          <w:ilvl w:val="0"/>
          <w:numId w:val="36"/>
        </w:numPr>
        <w:spacing w:line="360" w:lineRule="auto"/>
        <w:rPr>
          <w:rFonts w:ascii="宋体" w:hAnsi="宋体"/>
          <w:sz w:val="24"/>
          <w:lang w:val="zh-CN"/>
        </w:rPr>
      </w:pPr>
      <w:r>
        <w:rPr>
          <w:rFonts w:ascii="宋体" w:hAnsi="宋体"/>
          <w:sz w:val="24"/>
          <w:lang w:val="zh-CN"/>
        </w:rPr>
        <w:t>由材料部门集中管理，实行租赁制。施工队根据施工的需要向公司材料部门租赁脚手架材料，实行按天计费和损坏赔偿制度。</w:t>
      </w:r>
    </w:p>
    <w:p w:rsidR="00E7704A">
      <w:pPr>
        <w:pStyle w:val="2"/>
        <w:rPr>
          <w:rFonts w:hint="default"/>
        </w:rPr>
      </w:pPr>
      <w:bookmarkStart w:id="16" w:name="_Toc11129"/>
      <w:r>
        <w:t>监测监控</w:t>
      </w:r>
      <w:bookmarkEnd w:id="16"/>
    </w:p>
    <w:p w:rsidR="00E7704A">
      <w:pPr>
        <w:pStyle w:val="Normal0"/>
        <w:numPr>
          <w:ilvl w:val="0"/>
          <w:numId w:val="37"/>
        </w:numPr>
        <w:spacing w:line="360" w:lineRule="auto"/>
        <w:rPr>
          <w:rFonts w:ascii="宋体" w:hAnsi="宋体"/>
          <w:sz w:val="24"/>
          <w:lang w:val="zh-CN"/>
        </w:rPr>
      </w:pPr>
      <w:r>
        <w:rPr>
          <w:rFonts w:ascii="宋体" w:hAnsi="宋体"/>
          <w:sz w:val="24"/>
          <w:lang w:val="zh-CN"/>
        </w:rPr>
        <w:t>监测控制：采用经纬仪、水准仪、卷尺对架体进行监测，主要监测支架的沉降、位移和变形。</w:t>
      </w:r>
      <w:r>
        <w:rPr>
          <w:rFonts w:ascii="宋体" w:hAnsi="宋体"/>
          <w:sz w:val="24"/>
          <w:lang w:val="zh-CN"/>
        </w:rPr>
        <w:br/>
      </w:r>
      <w:r>
        <w:rPr>
          <w:rFonts w:ascii="宋体" w:hAnsi="宋体"/>
          <w:sz w:val="24"/>
          <w:lang w:val="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https://d.book118.com/158001010032006045</w:t>
        </w:r>
      </w:hyperlink>
    </w:p>
    <w:p w:rsidR="00E7704A">
      <w:pPr>
        <w:pStyle w:val="Normal0"/>
        <w:numPr>
          <w:ilvl w:val="0"/>
          <w:numId w:val="37"/>
        </w:numPr>
        <w:spacing w:line="360" w:lineRule="auto"/>
        <w:rPr>
          <w:rFonts w:ascii="宋体" w:hAnsi="宋体"/>
          <w:sz w:val="24"/>
          <w:lang w:val="zh-CN"/>
        </w:rPr>
      </w:pPr>
    </w:p>
    <w:sectPr>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Plotter">
    <w:altName w:val="Bookman Old Style"/>
    <w:panose1 w:val="00000000000000000000"/>
    <w:charset w:val="00"/>
    <w:family w:val="roman"/>
    <w:notTrueType/>
    <w:pitch w:val="default"/>
    <w:sig w:usb0="0000000F" w:usb1="0062C582" w:usb2="00000000" w:usb3="00000000" w:csb0="00000003" w:csb1="0062CD74"/>
  </w:font>
  <w:font w:name="华文楷体">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楷体_GB2312">
    <w:altName w:val="微软雅黑"/>
    <w:charset w:val="86"/>
    <w:family w:val="modern"/>
    <w:pitch w:val="fixed"/>
    <w:sig w:usb0="00000001" w:usb1="080E0000" w:usb2="00000010" w:usb3="00000000" w:csb0="00040000" w:csb1="00000000"/>
  </w:font>
  <w:font w:name="ËÎÌå">
    <w:altName w:val="微软雅黑"/>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37AEDF"/>
    <w:multiLevelType w:val="multilevel"/>
    <w:tmpl w:val="0037AEDF"/>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1">
    <w:nsid w:val="058EACED"/>
    <w:multiLevelType w:val="multilevel"/>
    <w:tmpl w:val="058EACED"/>
    <w:lvl w:ilvl="0">
      <w:start w:val="1"/>
      <w:numFmt w:val="decimal"/>
      <w:lvlText w:val="%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720" w:firstLine="0"/>
      </w:pPr>
      <w:rPr>
        <w:rFonts w:ascii="Arial" w:hAnsi="Arial" w:hint="eastAsia"/>
        <w:u w:val="none"/>
      </w:rPr>
    </w:lvl>
    <w:lvl w:ilvl="2">
      <w:start w:val="1"/>
      <w:numFmt w:val="decimal"/>
      <w:lvlText w:val="%3."/>
      <w:lvlJc w:val="left"/>
      <w:pPr>
        <w:tabs>
          <w:tab w:val="left" w:pos="1800"/>
        </w:tabs>
        <w:ind w:left="1440" w:firstLine="0"/>
      </w:pPr>
      <w:rPr>
        <w:rFonts w:ascii="Arial" w:hAnsi="Arial" w:hint="eastAsia"/>
        <w:u w:val="none"/>
      </w:rPr>
    </w:lvl>
    <w:lvl w:ilvl="3">
      <w:start w:val="1"/>
      <w:numFmt w:val="decimal"/>
      <w:lvlText w:val="%4."/>
      <w:lvlJc w:val="left"/>
      <w:pPr>
        <w:tabs>
          <w:tab w:val="left" w:pos="2520"/>
        </w:tabs>
        <w:ind w:left="2160" w:firstLine="0"/>
      </w:pPr>
      <w:rPr>
        <w:rFonts w:ascii="Arial" w:hAnsi="Arial" w:hint="eastAsia"/>
        <w:u w:val="none"/>
      </w:rPr>
    </w:lvl>
    <w:lvl w:ilvl="4">
      <w:start w:val="1"/>
      <w:numFmt w:val="decimal"/>
      <w:lvlText w:val="%5."/>
      <w:lvlJc w:val="left"/>
      <w:pPr>
        <w:tabs>
          <w:tab w:val="left" w:pos="3240"/>
        </w:tabs>
        <w:ind w:left="2880" w:firstLine="0"/>
      </w:pPr>
      <w:rPr>
        <w:rFonts w:ascii="Arial" w:hAnsi="Arial" w:hint="eastAsia"/>
        <w:u w:val="none"/>
      </w:rPr>
    </w:lvl>
    <w:lvl w:ilvl="5">
      <w:start w:val="1"/>
      <w:numFmt w:val="decimal"/>
      <w:lvlText w:val="%6."/>
      <w:lvlJc w:val="left"/>
      <w:pPr>
        <w:tabs>
          <w:tab w:val="left" w:pos="3960"/>
        </w:tabs>
        <w:ind w:left="3600" w:firstLine="0"/>
      </w:pPr>
      <w:rPr>
        <w:rFonts w:ascii="Arial" w:hAnsi="Arial" w:hint="eastAsia"/>
        <w:u w:val="none"/>
      </w:rPr>
    </w:lvl>
    <w:lvl w:ilvl="6">
      <w:start w:val="1"/>
      <w:numFmt w:val="decimal"/>
      <w:lvlText w:val="%7."/>
      <w:lvlJc w:val="left"/>
      <w:pPr>
        <w:tabs>
          <w:tab w:val="left" w:pos="4680"/>
        </w:tabs>
        <w:ind w:left="4320" w:firstLine="0"/>
      </w:pPr>
      <w:rPr>
        <w:rFonts w:ascii="Arial" w:hAnsi="Arial" w:hint="eastAsia"/>
        <w:u w:val="none"/>
      </w:rPr>
    </w:lvl>
    <w:lvl w:ilvl="7">
      <w:start w:val="1"/>
      <w:numFmt w:val="decimal"/>
      <w:lvlText w:val="%8."/>
      <w:lvlJc w:val="left"/>
      <w:pPr>
        <w:tabs>
          <w:tab w:val="left" w:pos="5400"/>
        </w:tabs>
        <w:ind w:left="5040" w:firstLine="0"/>
      </w:pPr>
      <w:rPr>
        <w:rFonts w:ascii="Arial" w:hAnsi="Arial" w:hint="eastAsia"/>
        <w:u w:val="none"/>
      </w:rPr>
    </w:lvl>
    <w:lvl w:ilvl="8">
      <w:start w:val="1"/>
      <w:numFmt w:val="decimal"/>
      <w:lvlText w:val="%9."/>
      <w:lvlJc w:val="left"/>
      <w:pPr>
        <w:tabs>
          <w:tab w:val="left" w:pos="6120"/>
        </w:tabs>
        <w:ind w:left="5760" w:firstLine="0"/>
      </w:pPr>
      <w:rPr>
        <w:rFonts w:ascii="Arial" w:hAnsi="Arial" w:hint="eastAsia"/>
        <w:u w:val="none"/>
      </w:rPr>
    </w:lvl>
  </w:abstractNum>
  <w:abstractNum w:abstractNumId="2">
    <w:nsid w:val="063B889D"/>
    <w:multiLevelType w:val="multilevel"/>
    <w:tmpl w:val="063B889D"/>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3">
    <w:nsid w:val="0A7ADB5F"/>
    <w:multiLevelType w:val="multilevel"/>
    <w:tmpl w:val="0A7ADB5F"/>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4">
    <w:nsid w:val="0C9ABCCF"/>
    <w:multiLevelType w:val="multilevel"/>
    <w:tmpl w:val="0C9ABCCF"/>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780"/>
        </w:tabs>
        <w:ind w:left="240" w:firstLine="180"/>
      </w:pPr>
      <w:rPr>
        <w:rFonts w:ascii="Times New Roman" w:eastAsia="Times New Roman" w:hAnsi="Times New Roman" w:hint="eastAsia"/>
        <w:sz w:val="24"/>
        <w:u w:val="none"/>
      </w:rPr>
    </w:lvl>
    <w:lvl w:ilvl="2">
      <w:start w:val="1"/>
      <w:numFmt w:val="lowerRoman"/>
      <w:lvlText w:val="%3."/>
      <w:lvlJc w:val="right"/>
      <w:pPr>
        <w:tabs>
          <w:tab w:val="left" w:pos="1260"/>
        </w:tabs>
        <w:ind w:left="1260" w:hanging="420"/>
      </w:pPr>
      <w:rPr>
        <w:rFonts w:ascii="Times New Roman" w:eastAsia="Times New Roman" w:hAnsi="Times New Roman" w:hint="eastAsia"/>
        <w:sz w:val="24"/>
        <w:u w:val="none"/>
      </w:rPr>
    </w:lvl>
    <w:lvl w:ilvl="3">
      <w:start w:val="1"/>
      <w:numFmt w:val="decimal"/>
      <w:lvlText w:val="%4."/>
      <w:lvlJc w:val="left"/>
      <w:pPr>
        <w:tabs>
          <w:tab w:val="left" w:pos="1680"/>
        </w:tabs>
        <w:ind w:left="1680" w:hanging="420"/>
      </w:pPr>
      <w:rPr>
        <w:rFonts w:ascii="Times New Roman" w:eastAsia="Times New Roman" w:hAnsi="Times New Roman" w:hint="eastAsia"/>
        <w:sz w:val="24"/>
        <w:u w:val="none"/>
      </w:rPr>
    </w:lvl>
    <w:lvl w:ilvl="4">
      <w:start w:val="1"/>
      <w:numFmt w:val="lowerLetter"/>
      <w:lvlText w:val="%5)"/>
      <w:lvlJc w:val="left"/>
      <w:pPr>
        <w:tabs>
          <w:tab w:val="left" w:pos="2100"/>
        </w:tabs>
        <w:ind w:left="2100" w:hanging="420"/>
      </w:pPr>
      <w:rPr>
        <w:rFonts w:ascii="Times New Roman" w:eastAsia="Times New Roman" w:hAnsi="Times New Roman" w:hint="eastAsia"/>
        <w:sz w:val="24"/>
        <w:u w:val="none"/>
      </w:rPr>
    </w:lvl>
    <w:lvl w:ilvl="5">
      <w:start w:val="1"/>
      <w:numFmt w:val="lowerRoman"/>
      <w:lvlText w:val="%6."/>
      <w:lvlJc w:val="right"/>
      <w:pPr>
        <w:tabs>
          <w:tab w:val="left" w:pos="2520"/>
        </w:tabs>
        <w:ind w:left="2520" w:hanging="420"/>
      </w:pPr>
      <w:rPr>
        <w:rFonts w:ascii="Times New Roman" w:eastAsia="Times New Roman" w:hAnsi="Times New Roman" w:hint="eastAsia"/>
        <w:sz w:val="24"/>
        <w:u w:val="none"/>
      </w:rPr>
    </w:lvl>
    <w:lvl w:ilvl="6">
      <w:start w:val="1"/>
      <w:numFmt w:val="decimal"/>
      <w:lvlText w:val="%7."/>
      <w:lvlJc w:val="left"/>
      <w:pPr>
        <w:tabs>
          <w:tab w:val="left" w:pos="2940"/>
        </w:tabs>
        <w:ind w:left="2940" w:hanging="420"/>
      </w:pPr>
      <w:rPr>
        <w:rFonts w:ascii="Times New Roman" w:eastAsia="Times New Roman" w:hAnsi="Times New Roman" w:hint="eastAsia"/>
        <w:sz w:val="24"/>
        <w:u w:val="none"/>
      </w:rPr>
    </w:lvl>
    <w:lvl w:ilvl="7">
      <w:start w:val="1"/>
      <w:numFmt w:val="lowerLetter"/>
      <w:lvlText w:val="%8)"/>
      <w:lvlJc w:val="left"/>
      <w:pPr>
        <w:tabs>
          <w:tab w:val="left" w:pos="3360"/>
        </w:tabs>
        <w:ind w:left="3360" w:hanging="420"/>
      </w:pPr>
      <w:rPr>
        <w:rFonts w:ascii="Times New Roman" w:eastAsia="Times New Roman" w:hAnsi="Times New Roman" w:hint="eastAsia"/>
        <w:sz w:val="24"/>
        <w:u w:val="none"/>
      </w:rPr>
    </w:lvl>
    <w:lvl w:ilvl="8">
      <w:start w:val="1"/>
      <w:numFmt w:val="lowerRoman"/>
      <w:lvlText w:val="%9."/>
      <w:lvlJc w:val="right"/>
      <w:pPr>
        <w:tabs>
          <w:tab w:val="left" w:pos="3780"/>
        </w:tabs>
        <w:ind w:left="3780" w:hanging="420"/>
      </w:pPr>
      <w:rPr>
        <w:rFonts w:ascii="Times New Roman" w:eastAsia="Times New Roman" w:hAnsi="Times New Roman" w:hint="eastAsia"/>
        <w:sz w:val="24"/>
        <w:u w:val="none"/>
      </w:rPr>
    </w:lvl>
  </w:abstractNum>
  <w:abstractNum w:abstractNumId="5">
    <w:nsid w:val="0D355C00"/>
    <w:multiLevelType w:val="multilevel"/>
    <w:tmpl w:val="0D355C00"/>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6">
    <w:nsid w:val="0D6EAE86"/>
    <w:multiLevelType w:val="multilevel"/>
    <w:tmpl w:val="0D6EAE86"/>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7">
    <w:nsid w:val="10264EBF"/>
    <w:multiLevelType w:val="multilevel"/>
    <w:tmpl w:val="10264EBF"/>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8">
    <w:nsid w:val="128B6BE8"/>
    <w:multiLevelType w:val="multilevel"/>
    <w:tmpl w:val="128B6BE8"/>
    <w:lvl w:ilvl="0">
      <w:start w:val="1"/>
      <w:numFmt w:val="decimal"/>
      <w:lvlText w:val="%1、"/>
      <w:lvlJc w:val="left"/>
      <w:pPr>
        <w:tabs>
          <w:tab w:val="left" w:pos="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9">
    <w:nsid w:val="13147640"/>
    <w:multiLevelType w:val="multilevel"/>
    <w:tmpl w:val="13147640"/>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10">
    <w:nsid w:val="13C02D1B"/>
    <w:multiLevelType w:val="multilevel"/>
    <w:tmpl w:val="13C02D1B"/>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11">
    <w:nsid w:val="1D7DC1AD"/>
    <w:multiLevelType w:val="multilevel"/>
    <w:tmpl w:val="1D7DC1AD"/>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12">
    <w:nsid w:val="23CAD2A6"/>
    <w:multiLevelType w:val="multilevel"/>
    <w:tmpl w:val="23CAD2A6"/>
    <w:lvl w:ilvl="0">
      <w:start w:val="1"/>
      <w:numFmt w:val="decimal"/>
      <w:lvlText w:val="%1、"/>
      <w:lvlJc w:val="left"/>
      <w:pPr>
        <w:tabs>
          <w:tab w:val="left" w:pos="360"/>
        </w:tabs>
        <w:ind w:left="360" w:hanging="36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13">
    <w:nsid w:val="2B834970"/>
    <w:multiLevelType w:val="multilevel"/>
    <w:tmpl w:val="2B834970"/>
    <w:lvl w:ilvl="0">
      <w:start w:val="1"/>
      <w:numFmt w:val="decimal"/>
      <w:lvlText w:val="%1、"/>
      <w:lvlJc w:val="left"/>
      <w:pPr>
        <w:tabs>
          <w:tab w:val="left" w:pos="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720" w:firstLine="0"/>
      </w:pPr>
      <w:rPr>
        <w:rFonts w:ascii="Arial" w:hAnsi="Arial" w:hint="eastAsia"/>
        <w:u w:val="none"/>
      </w:rPr>
    </w:lvl>
    <w:lvl w:ilvl="2">
      <w:start w:val="1"/>
      <w:numFmt w:val="decimal"/>
      <w:lvlText w:val="%3."/>
      <w:lvlJc w:val="left"/>
      <w:pPr>
        <w:tabs>
          <w:tab w:val="left" w:pos="1800"/>
        </w:tabs>
        <w:ind w:left="1440" w:firstLine="0"/>
      </w:pPr>
      <w:rPr>
        <w:rFonts w:ascii="Arial" w:hAnsi="Arial" w:hint="eastAsia"/>
        <w:u w:val="none"/>
      </w:rPr>
    </w:lvl>
    <w:lvl w:ilvl="3">
      <w:start w:val="1"/>
      <w:numFmt w:val="decimal"/>
      <w:lvlText w:val="%4."/>
      <w:lvlJc w:val="left"/>
      <w:pPr>
        <w:tabs>
          <w:tab w:val="left" w:pos="2520"/>
        </w:tabs>
        <w:ind w:left="2160" w:firstLine="0"/>
      </w:pPr>
      <w:rPr>
        <w:rFonts w:ascii="Arial" w:hAnsi="Arial" w:hint="eastAsia"/>
        <w:u w:val="none"/>
      </w:rPr>
    </w:lvl>
    <w:lvl w:ilvl="4">
      <w:start w:val="1"/>
      <w:numFmt w:val="decimal"/>
      <w:lvlText w:val="%5."/>
      <w:lvlJc w:val="left"/>
      <w:pPr>
        <w:tabs>
          <w:tab w:val="left" w:pos="3240"/>
        </w:tabs>
        <w:ind w:left="2880" w:firstLine="0"/>
      </w:pPr>
      <w:rPr>
        <w:rFonts w:ascii="Arial" w:hAnsi="Arial" w:hint="eastAsia"/>
        <w:u w:val="none"/>
      </w:rPr>
    </w:lvl>
    <w:lvl w:ilvl="5">
      <w:start w:val="1"/>
      <w:numFmt w:val="decimal"/>
      <w:lvlText w:val="%6."/>
      <w:lvlJc w:val="left"/>
      <w:pPr>
        <w:tabs>
          <w:tab w:val="left" w:pos="3960"/>
        </w:tabs>
        <w:ind w:left="3600" w:firstLine="0"/>
      </w:pPr>
      <w:rPr>
        <w:rFonts w:ascii="Arial" w:hAnsi="Arial" w:hint="eastAsia"/>
        <w:u w:val="none"/>
      </w:rPr>
    </w:lvl>
    <w:lvl w:ilvl="6">
      <w:start w:val="1"/>
      <w:numFmt w:val="decimal"/>
      <w:lvlText w:val="%7."/>
      <w:lvlJc w:val="left"/>
      <w:pPr>
        <w:tabs>
          <w:tab w:val="left" w:pos="4680"/>
        </w:tabs>
        <w:ind w:left="4320" w:firstLine="0"/>
      </w:pPr>
      <w:rPr>
        <w:rFonts w:ascii="Arial" w:hAnsi="Arial" w:hint="eastAsia"/>
        <w:u w:val="none"/>
      </w:rPr>
    </w:lvl>
    <w:lvl w:ilvl="7">
      <w:start w:val="1"/>
      <w:numFmt w:val="decimal"/>
      <w:lvlText w:val="%8."/>
      <w:lvlJc w:val="left"/>
      <w:pPr>
        <w:tabs>
          <w:tab w:val="left" w:pos="5400"/>
        </w:tabs>
        <w:ind w:left="5040" w:firstLine="0"/>
      </w:pPr>
      <w:rPr>
        <w:rFonts w:ascii="Arial" w:hAnsi="Arial" w:hint="eastAsia"/>
        <w:u w:val="none"/>
      </w:rPr>
    </w:lvl>
    <w:lvl w:ilvl="8">
      <w:start w:val="1"/>
      <w:numFmt w:val="decimal"/>
      <w:lvlText w:val="%9."/>
      <w:lvlJc w:val="left"/>
      <w:pPr>
        <w:tabs>
          <w:tab w:val="left" w:pos="6120"/>
        </w:tabs>
        <w:ind w:left="5760" w:firstLine="0"/>
      </w:pPr>
      <w:rPr>
        <w:rFonts w:ascii="Arial" w:hAnsi="Arial" w:hint="eastAsia"/>
        <w:u w:val="none"/>
      </w:rPr>
    </w:lvl>
  </w:abstractNum>
  <w:abstractNum w:abstractNumId="14">
    <w:nsid w:val="33490852"/>
    <w:multiLevelType w:val="multilevel"/>
    <w:tmpl w:val="33490852"/>
    <w:lvl w:ilvl="0">
      <w:start w:val="1"/>
      <w:numFmt w:val="decimal"/>
      <w:lvlText w:val="%1、"/>
      <w:lvlJc w:val="left"/>
      <w:pPr>
        <w:tabs>
          <w:tab w:val="left" w:pos="360"/>
        </w:tabs>
        <w:ind w:left="0" w:firstLine="0"/>
      </w:pPr>
      <w:rPr>
        <w:rFonts w:ascii="Times New Roman" w:eastAsia="Times New Roman" w:hAnsi="Times New Roman" w:hint="default"/>
        <w:sz w:val="24"/>
        <w:u w:val="none"/>
      </w:rPr>
    </w:lvl>
    <w:lvl w:ilvl="1">
      <w:start w:val="1"/>
      <w:numFmt w:val="decimal"/>
      <w:lvlText w:val="%2."/>
      <w:lvlJc w:val="left"/>
      <w:pPr>
        <w:tabs>
          <w:tab w:val="left" w:pos="1080"/>
        </w:tabs>
        <w:ind w:left="720" w:firstLine="0"/>
      </w:pPr>
      <w:rPr>
        <w:rFonts w:ascii="Arial" w:hAnsi="Arial" w:hint="eastAsia"/>
        <w:u w:val="none"/>
      </w:rPr>
    </w:lvl>
    <w:lvl w:ilvl="2">
      <w:start w:val="1"/>
      <w:numFmt w:val="decimal"/>
      <w:lvlText w:val="%3."/>
      <w:lvlJc w:val="left"/>
      <w:pPr>
        <w:tabs>
          <w:tab w:val="left" w:pos="1800"/>
        </w:tabs>
        <w:ind w:left="1440" w:firstLine="0"/>
      </w:pPr>
      <w:rPr>
        <w:rFonts w:ascii="Arial" w:hAnsi="Arial" w:hint="eastAsia"/>
        <w:u w:val="none"/>
      </w:rPr>
    </w:lvl>
    <w:lvl w:ilvl="3">
      <w:start w:val="1"/>
      <w:numFmt w:val="decimal"/>
      <w:lvlText w:val="%4."/>
      <w:lvlJc w:val="left"/>
      <w:pPr>
        <w:tabs>
          <w:tab w:val="left" w:pos="2520"/>
        </w:tabs>
        <w:ind w:left="2160" w:firstLine="0"/>
      </w:pPr>
      <w:rPr>
        <w:rFonts w:ascii="Arial" w:hAnsi="Arial" w:hint="eastAsia"/>
        <w:u w:val="none"/>
      </w:rPr>
    </w:lvl>
    <w:lvl w:ilvl="4">
      <w:start w:val="1"/>
      <w:numFmt w:val="decimal"/>
      <w:lvlText w:val="%5."/>
      <w:lvlJc w:val="left"/>
      <w:pPr>
        <w:tabs>
          <w:tab w:val="left" w:pos="3240"/>
        </w:tabs>
        <w:ind w:left="2880" w:firstLine="0"/>
      </w:pPr>
      <w:rPr>
        <w:rFonts w:ascii="Arial" w:hAnsi="Arial" w:hint="eastAsia"/>
        <w:u w:val="none"/>
      </w:rPr>
    </w:lvl>
    <w:lvl w:ilvl="5">
      <w:start w:val="1"/>
      <w:numFmt w:val="decimal"/>
      <w:lvlText w:val="%6."/>
      <w:lvlJc w:val="left"/>
      <w:pPr>
        <w:tabs>
          <w:tab w:val="left" w:pos="3960"/>
        </w:tabs>
        <w:ind w:left="3600" w:firstLine="0"/>
      </w:pPr>
      <w:rPr>
        <w:rFonts w:ascii="Arial" w:hAnsi="Arial" w:hint="eastAsia"/>
        <w:u w:val="none"/>
      </w:rPr>
    </w:lvl>
    <w:lvl w:ilvl="6">
      <w:start w:val="1"/>
      <w:numFmt w:val="decimal"/>
      <w:lvlText w:val="%7."/>
      <w:lvlJc w:val="left"/>
      <w:pPr>
        <w:tabs>
          <w:tab w:val="left" w:pos="4680"/>
        </w:tabs>
        <w:ind w:left="4320" w:firstLine="0"/>
      </w:pPr>
      <w:rPr>
        <w:rFonts w:ascii="Arial" w:hAnsi="Arial" w:hint="eastAsia"/>
        <w:u w:val="none"/>
      </w:rPr>
    </w:lvl>
    <w:lvl w:ilvl="7">
      <w:start w:val="1"/>
      <w:numFmt w:val="decimal"/>
      <w:lvlText w:val="%8."/>
      <w:lvlJc w:val="left"/>
      <w:pPr>
        <w:tabs>
          <w:tab w:val="left" w:pos="5400"/>
        </w:tabs>
        <w:ind w:left="5040" w:firstLine="0"/>
      </w:pPr>
      <w:rPr>
        <w:rFonts w:ascii="Arial" w:hAnsi="Arial" w:hint="eastAsia"/>
        <w:u w:val="none"/>
      </w:rPr>
    </w:lvl>
    <w:lvl w:ilvl="8">
      <w:start w:val="1"/>
      <w:numFmt w:val="decimal"/>
      <w:lvlText w:val="%9."/>
      <w:lvlJc w:val="left"/>
      <w:pPr>
        <w:tabs>
          <w:tab w:val="left" w:pos="6120"/>
        </w:tabs>
        <w:ind w:left="5760" w:firstLine="0"/>
      </w:pPr>
      <w:rPr>
        <w:rFonts w:ascii="Arial" w:hAnsi="Arial" w:hint="eastAsia"/>
        <w:u w:val="none"/>
      </w:rPr>
    </w:lvl>
  </w:abstractNum>
  <w:abstractNum w:abstractNumId="15">
    <w:nsid w:val="359440DA"/>
    <w:multiLevelType w:val="multilevel"/>
    <w:tmpl w:val="359440DA"/>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16">
    <w:nsid w:val="38677A5C"/>
    <w:multiLevelType w:val="multilevel"/>
    <w:tmpl w:val="38677A5C"/>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17">
    <w:nsid w:val="3B2755E2"/>
    <w:multiLevelType w:val="multilevel"/>
    <w:tmpl w:val="3B2755E2"/>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18">
    <w:nsid w:val="3C4E9712"/>
    <w:multiLevelType w:val="multilevel"/>
    <w:tmpl w:val="3C4E9712"/>
    <w:lvl w:ilvl="0">
      <w:start w:val="1"/>
      <w:numFmt w:val="decimal"/>
      <w:lvlText w:val="%1、"/>
      <w:lvlJc w:val="left"/>
      <w:pPr>
        <w:tabs>
          <w:tab w:val="left" w:pos="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720" w:firstLine="0"/>
      </w:pPr>
      <w:rPr>
        <w:rFonts w:ascii="Arial" w:hAnsi="Arial" w:hint="eastAsia"/>
        <w:u w:val="none"/>
      </w:rPr>
    </w:lvl>
    <w:lvl w:ilvl="2">
      <w:start w:val="1"/>
      <w:numFmt w:val="decimal"/>
      <w:lvlText w:val="%3."/>
      <w:lvlJc w:val="left"/>
      <w:pPr>
        <w:tabs>
          <w:tab w:val="left" w:pos="1800"/>
        </w:tabs>
        <w:ind w:left="1440" w:firstLine="0"/>
      </w:pPr>
      <w:rPr>
        <w:rFonts w:ascii="Arial" w:hAnsi="Arial" w:hint="eastAsia"/>
        <w:u w:val="none"/>
      </w:rPr>
    </w:lvl>
    <w:lvl w:ilvl="3">
      <w:start w:val="1"/>
      <w:numFmt w:val="decimal"/>
      <w:lvlText w:val="%4."/>
      <w:lvlJc w:val="left"/>
      <w:pPr>
        <w:tabs>
          <w:tab w:val="left" w:pos="2520"/>
        </w:tabs>
        <w:ind w:left="2160" w:firstLine="0"/>
      </w:pPr>
      <w:rPr>
        <w:rFonts w:ascii="Arial" w:hAnsi="Arial" w:hint="eastAsia"/>
        <w:u w:val="none"/>
      </w:rPr>
    </w:lvl>
    <w:lvl w:ilvl="4">
      <w:start w:val="1"/>
      <w:numFmt w:val="decimal"/>
      <w:lvlText w:val="%5."/>
      <w:lvlJc w:val="left"/>
      <w:pPr>
        <w:tabs>
          <w:tab w:val="left" w:pos="3240"/>
        </w:tabs>
        <w:ind w:left="2880" w:firstLine="0"/>
      </w:pPr>
      <w:rPr>
        <w:rFonts w:ascii="Arial" w:hAnsi="Arial" w:hint="eastAsia"/>
        <w:u w:val="none"/>
      </w:rPr>
    </w:lvl>
    <w:lvl w:ilvl="5">
      <w:start w:val="1"/>
      <w:numFmt w:val="decimal"/>
      <w:lvlText w:val="%6."/>
      <w:lvlJc w:val="left"/>
      <w:pPr>
        <w:tabs>
          <w:tab w:val="left" w:pos="3960"/>
        </w:tabs>
        <w:ind w:left="3600" w:firstLine="0"/>
      </w:pPr>
      <w:rPr>
        <w:rFonts w:ascii="Arial" w:hAnsi="Arial" w:hint="eastAsia"/>
        <w:u w:val="none"/>
      </w:rPr>
    </w:lvl>
    <w:lvl w:ilvl="6">
      <w:start w:val="1"/>
      <w:numFmt w:val="decimal"/>
      <w:lvlText w:val="%7."/>
      <w:lvlJc w:val="left"/>
      <w:pPr>
        <w:tabs>
          <w:tab w:val="left" w:pos="4680"/>
        </w:tabs>
        <w:ind w:left="4320" w:firstLine="0"/>
      </w:pPr>
      <w:rPr>
        <w:rFonts w:ascii="Arial" w:hAnsi="Arial" w:hint="eastAsia"/>
        <w:u w:val="none"/>
      </w:rPr>
    </w:lvl>
    <w:lvl w:ilvl="7">
      <w:start w:val="1"/>
      <w:numFmt w:val="decimal"/>
      <w:lvlText w:val="%8."/>
      <w:lvlJc w:val="left"/>
      <w:pPr>
        <w:tabs>
          <w:tab w:val="left" w:pos="5400"/>
        </w:tabs>
        <w:ind w:left="5040" w:firstLine="0"/>
      </w:pPr>
      <w:rPr>
        <w:rFonts w:ascii="Arial" w:hAnsi="Arial" w:hint="eastAsia"/>
        <w:u w:val="none"/>
      </w:rPr>
    </w:lvl>
    <w:lvl w:ilvl="8">
      <w:start w:val="1"/>
      <w:numFmt w:val="decimal"/>
      <w:lvlText w:val="%9."/>
      <w:lvlJc w:val="left"/>
      <w:pPr>
        <w:tabs>
          <w:tab w:val="left" w:pos="6120"/>
        </w:tabs>
        <w:ind w:left="5760" w:firstLine="0"/>
      </w:pPr>
      <w:rPr>
        <w:rFonts w:ascii="Arial" w:hAnsi="Arial" w:hint="eastAsia"/>
        <w:u w:val="none"/>
      </w:rPr>
    </w:lvl>
  </w:abstractNum>
  <w:abstractNum w:abstractNumId="19">
    <w:nsid w:val="40D317F6"/>
    <w:multiLevelType w:val="hybridMultilevel"/>
    <w:tmpl w:val="D9D66BEC"/>
    <w:lvl w:ilvl="0">
      <w:start w:val="1"/>
      <w:numFmt w:val="chineseCountingThousand"/>
      <w:pStyle w:val="1"/>
      <w:lvlText w:val="%1、"/>
      <w:lvlJc w:val="left"/>
      <w:pPr>
        <w:tabs>
          <w:tab w:val="num" w:pos="420"/>
        </w:tabs>
        <w:ind w:left="420" w:hanging="420"/>
      </w:p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0">
    <w:nsid w:val="44052B84"/>
    <w:multiLevelType w:val="multilevel"/>
    <w:tmpl w:val="44052B84"/>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21">
    <w:nsid w:val="465B6531"/>
    <w:multiLevelType w:val="multilevel"/>
    <w:tmpl w:val="465B6531"/>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22">
    <w:nsid w:val="46A24B80"/>
    <w:multiLevelType w:val="multilevel"/>
    <w:tmpl w:val="46A24B80"/>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23">
    <w:nsid w:val="477531BD"/>
    <w:multiLevelType w:val="multilevel"/>
    <w:tmpl w:val="477531BD"/>
    <w:lvl w:ilvl="0">
      <w:start w:val="1"/>
      <w:numFmt w:val="decimal"/>
      <w:lvlText w:val="%1、"/>
      <w:lvlJc w:val="left"/>
      <w:pPr>
        <w:tabs>
          <w:tab w:val="left" w:pos="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720" w:firstLine="0"/>
      </w:pPr>
      <w:rPr>
        <w:rFonts w:ascii="Arial" w:hAnsi="Arial" w:hint="eastAsia"/>
        <w:u w:val="none"/>
      </w:rPr>
    </w:lvl>
    <w:lvl w:ilvl="2">
      <w:start w:val="1"/>
      <w:numFmt w:val="decimal"/>
      <w:lvlText w:val="%3."/>
      <w:lvlJc w:val="left"/>
      <w:pPr>
        <w:tabs>
          <w:tab w:val="left" w:pos="1800"/>
        </w:tabs>
        <w:ind w:left="1440" w:firstLine="0"/>
      </w:pPr>
      <w:rPr>
        <w:rFonts w:ascii="Arial" w:hAnsi="Arial" w:hint="eastAsia"/>
        <w:u w:val="none"/>
      </w:rPr>
    </w:lvl>
    <w:lvl w:ilvl="3">
      <w:start w:val="1"/>
      <w:numFmt w:val="decimal"/>
      <w:lvlText w:val="%4."/>
      <w:lvlJc w:val="left"/>
      <w:pPr>
        <w:tabs>
          <w:tab w:val="left" w:pos="2520"/>
        </w:tabs>
        <w:ind w:left="2160" w:firstLine="0"/>
      </w:pPr>
      <w:rPr>
        <w:rFonts w:ascii="Arial" w:hAnsi="Arial" w:hint="eastAsia"/>
        <w:u w:val="none"/>
      </w:rPr>
    </w:lvl>
    <w:lvl w:ilvl="4">
      <w:start w:val="1"/>
      <w:numFmt w:val="decimal"/>
      <w:lvlText w:val="%5."/>
      <w:lvlJc w:val="left"/>
      <w:pPr>
        <w:tabs>
          <w:tab w:val="left" w:pos="3240"/>
        </w:tabs>
        <w:ind w:left="2880" w:firstLine="0"/>
      </w:pPr>
      <w:rPr>
        <w:rFonts w:ascii="Arial" w:hAnsi="Arial" w:hint="eastAsia"/>
        <w:u w:val="none"/>
      </w:rPr>
    </w:lvl>
    <w:lvl w:ilvl="5">
      <w:start w:val="1"/>
      <w:numFmt w:val="decimal"/>
      <w:lvlText w:val="%6."/>
      <w:lvlJc w:val="left"/>
      <w:pPr>
        <w:tabs>
          <w:tab w:val="left" w:pos="3960"/>
        </w:tabs>
        <w:ind w:left="3600" w:firstLine="0"/>
      </w:pPr>
      <w:rPr>
        <w:rFonts w:ascii="Arial" w:hAnsi="Arial" w:hint="eastAsia"/>
        <w:u w:val="none"/>
      </w:rPr>
    </w:lvl>
    <w:lvl w:ilvl="6">
      <w:start w:val="1"/>
      <w:numFmt w:val="decimal"/>
      <w:lvlText w:val="%7."/>
      <w:lvlJc w:val="left"/>
      <w:pPr>
        <w:tabs>
          <w:tab w:val="left" w:pos="4680"/>
        </w:tabs>
        <w:ind w:left="4320" w:firstLine="0"/>
      </w:pPr>
      <w:rPr>
        <w:rFonts w:ascii="Arial" w:hAnsi="Arial" w:hint="eastAsia"/>
        <w:u w:val="none"/>
      </w:rPr>
    </w:lvl>
    <w:lvl w:ilvl="7">
      <w:start w:val="1"/>
      <w:numFmt w:val="decimal"/>
      <w:lvlText w:val="%8."/>
      <w:lvlJc w:val="left"/>
      <w:pPr>
        <w:tabs>
          <w:tab w:val="left" w:pos="5400"/>
        </w:tabs>
        <w:ind w:left="5040" w:firstLine="0"/>
      </w:pPr>
      <w:rPr>
        <w:rFonts w:ascii="Arial" w:hAnsi="Arial" w:hint="eastAsia"/>
        <w:u w:val="none"/>
      </w:rPr>
    </w:lvl>
    <w:lvl w:ilvl="8">
      <w:start w:val="1"/>
      <w:numFmt w:val="decimal"/>
      <w:lvlText w:val="%9."/>
      <w:lvlJc w:val="left"/>
      <w:pPr>
        <w:tabs>
          <w:tab w:val="left" w:pos="6120"/>
        </w:tabs>
        <w:ind w:left="5760" w:firstLine="0"/>
      </w:pPr>
      <w:rPr>
        <w:rFonts w:ascii="Arial" w:hAnsi="Arial" w:hint="eastAsia"/>
        <w:u w:val="none"/>
      </w:rPr>
    </w:lvl>
  </w:abstractNum>
  <w:abstractNum w:abstractNumId="24">
    <w:nsid w:val="49C6E0F2"/>
    <w:multiLevelType w:val="multilevel"/>
    <w:tmpl w:val="49C6E0F2"/>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25">
    <w:nsid w:val="4AE2F165"/>
    <w:multiLevelType w:val="multilevel"/>
    <w:tmpl w:val="4AE2F165"/>
    <w:lvl w:ilvl="0">
      <w:start w:val="1"/>
      <w:numFmt w:val="decimal"/>
      <w:lvlText w:val="%1、"/>
      <w:lvlJc w:val="left"/>
      <w:pPr>
        <w:tabs>
          <w:tab w:val="left" w:pos="360"/>
        </w:tabs>
        <w:ind w:left="0" w:firstLine="0"/>
      </w:pPr>
      <w:rPr>
        <w:rFonts w:ascii="Times New Roman" w:eastAsia="Times New Roman" w:hAnsi="Times New Roman" w:hint="default"/>
        <w:sz w:val="24"/>
        <w:u w:val="none"/>
      </w:rPr>
    </w:lvl>
    <w:lvl w:ilvl="1">
      <w:start w:val="1"/>
      <w:numFmt w:val="decimal"/>
      <w:lvlText w:val="%2."/>
      <w:lvlJc w:val="left"/>
      <w:pPr>
        <w:tabs>
          <w:tab w:val="left" w:pos="1080"/>
        </w:tabs>
        <w:ind w:left="720" w:firstLine="0"/>
      </w:pPr>
      <w:rPr>
        <w:rFonts w:ascii="Arial" w:hAnsi="Arial" w:hint="eastAsia"/>
        <w:u w:val="none"/>
      </w:rPr>
    </w:lvl>
    <w:lvl w:ilvl="2">
      <w:start w:val="1"/>
      <w:numFmt w:val="decimal"/>
      <w:lvlText w:val="%3."/>
      <w:lvlJc w:val="left"/>
      <w:pPr>
        <w:tabs>
          <w:tab w:val="left" w:pos="1800"/>
        </w:tabs>
        <w:ind w:left="1440" w:firstLine="0"/>
      </w:pPr>
      <w:rPr>
        <w:rFonts w:ascii="Arial" w:hAnsi="Arial" w:hint="eastAsia"/>
        <w:u w:val="none"/>
      </w:rPr>
    </w:lvl>
    <w:lvl w:ilvl="3">
      <w:start w:val="1"/>
      <w:numFmt w:val="decimal"/>
      <w:lvlText w:val="%4."/>
      <w:lvlJc w:val="left"/>
      <w:pPr>
        <w:tabs>
          <w:tab w:val="left" w:pos="2520"/>
        </w:tabs>
        <w:ind w:left="2160" w:firstLine="0"/>
      </w:pPr>
      <w:rPr>
        <w:rFonts w:ascii="Arial" w:hAnsi="Arial" w:hint="eastAsia"/>
        <w:u w:val="none"/>
      </w:rPr>
    </w:lvl>
    <w:lvl w:ilvl="4">
      <w:start w:val="1"/>
      <w:numFmt w:val="decimal"/>
      <w:lvlText w:val="%5."/>
      <w:lvlJc w:val="left"/>
      <w:pPr>
        <w:tabs>
          <w:tab w:val="left" w:pos="3240"/>
        </w:tabs>
        <w:ind w:left="2880" w:firstLine="0"/>
      </w:pPr>
      <w:rPr>
        <w:rFonts w:ascii="Arial" w:hAnsi="Arial" w:hint="eastAsia"/>
        <w:u w:val="none"/>
      </w:rPr>
    </w:lvl>
    <w:lvl w:ilvl="5">
      <w:start w:val="1"/>
      <w:numFmt w:val="decimal"/>
      <w:lvlText w:val="%6."/>
      <w:lvlJc w:val="left"/>
      <w:pPr>
        <w:tabs>
          <w:tab w:val="left" w:pos="3960"/>
        </w:tabs>
        <w:ind w:left="3600" w:firstLine="0"/>
      </w:pPr>
      <w:rPr>
        <w:rFonts w:ascii="Arial" w:hAnsi="Arial" w:hint="eastAsia"/>
        <w:u w:val="none"/>
      </w:rPr>
    </w:lvl>
    <w:lvl w:ilvl="6">
      <w:start w:val="1"/>
      <w:numFmt w:val="decimal"/>
      <w:lvlText w:val="%7."/>
      <w:lvlJc w:val="left"/>
      <w:pPr>
        <w:tabs>
          <w:tab w:val="left" w:pos="4680"/>
        </w:tabs>
        <w:ind w:left="4320" w:firstLine="0"/>
      </w:pPr>
      <w:rPr>
        <w:rFonts w:ascii="Arial" w:hAnsi="Arial" w:hint="eastAsia"/>
        <w:u w:val="none"/>
      </w:rPr>
    </w:lvl>
    <w:lvl w:ilvl="7">
      <w:start w:val="1"/>
      <w:numFmt w:val="decimal"/>
      <w:lvlText w:val="%8."/>
      <w:lvlJc w:val="left"/>
      <w:pPr>
        <w:tabs>
          <w:tab w:val="left" w:pos="5400"/>
        </w:tabs>
        <w:ind w:left="5040" w:firstLine="0"/>
      </w:pPr>
      <w:rPr>
        <w:rFonts w:ascii="Arial" w:hAnsi="Arial" w:hint="eastAsia"/>
        <w:u w:val="none"/>
      </w:rPr>
    </w:lvl>
    <w:lvl w:ilvl="8">
      <w:start w:val="1"/>
      <w:numFmt w:val="decimal"/>
      <w:lvlText w:val="%9."/>
      <w:lvlJc w:val="left"/>
      <w:pPr>
        <w:tabs>
          <w:tab w:val="left" w:pos="6120"/>
        </w:tabs>
        <w:ind w:left="5760" w:firstLine="0"/>
      </w:pPr>
      <w:rPr>
        <w:rFonts w:ascii="Arial" w:hAnsi="Arial" w:hint="eastAsia"/>
        <w:u w:val="none"/>
      </w:rPr>
    </w:lvl>
  </w:abstractNum>
  <w:abstractNum w:abstractNumId="26">
    <w:nsid w:val="4E3435A1"/>
    <w:multiLevelType w:val="multilevel"/>
    <w:tmpl w:val="4E3435A1"/>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780"/>
        </w:tabs>
        <w:ind w:left="240" w:firstLine="180"/>
      </w:pPr>
      <w:rPr>
        <w:rFonts w:ascii="Times New Roman" w:eastAsia="Times New Roman" w:hAnsi="Times New Roman" w:hint="eastAsia"/>
        <w:sz w:val="24"/>
        <w:u w:val="none"/>
      </w:rPr>
    </w:lvl>
    <w:lvl w:ilvl="2">
      <w:start w:val="1"/>
      <w:numFmt w:val="lowerRoman"/>
      <w:lvlText w:val="%3."/>
      <w:lvlJc w:val="right"/>
      <w:pPr>
        <w:tabs>
          <w:tab w:val="left" w:pos="1260"/>
        </w:tabs>
        <w:ind w:left="1260" w:hanging="420"/>
      </w:pPr>
      <w:rPr>
        <w:rFonts w:ascii="Times New Roman" w:eastAsia="Times New Roman" w:hAnsi="Times New Roman" w:hint="eastAsia"/>
        <w:sz w:val="24"/>
        <w:u w:val="none"/>
      </w:rPr>
    </w:lvl>
    <w:lvl w:ilvl="3">
      <w:start w:val="1"/>
      <w:numFmt w:val="decimal"/>
      <w:lvlText w:val="%4."/>
      <w:lvlJc w:val="left"/>
      <w:pPr>
        <w:tabs>
          <w:tab w:val="left" w:pos="1680"/>
        </w:tabs>
        <w:ind w:left="1680" w:hanging="420"/>
      </w:pPr>
      <w:rPr>
        <w:rFonts w:ascii="Times New Roman" w:eastAsia="Times New Roman" w:hAnsi="Times New Roman" w:hint="eastAsia"/>
        <w:sz w:val="24"/>
        <w:u w:val="none"/>
      </w:rPr>
    </w:lvl>
    <w:lvl w:ilvl="4">
      <w:start w:val="1"/>
      <w:numFmt w:val="lowerLetter"/>
      <w:lvlText w:val="%5)"/>
      <w:lvlJc w:val="left"/>
      <w:pPr>
        <w:tabs>
          <w:tab w:val="left" w:pos="2100"/>
        </w:tabs>
        <w:ind w:left="2100" w:hanging="420"/>
      </w:pPr>
      <w:rPr>
        <w:rFonts w:ascii="Times New Roman" w:eastAsia="Times New Roman" w:hAnsi="Times New Roman" w:hint="eastAsia"/>
        <w:sz w:val="24"/>
        <w:u w:val="none"/>
      </w:rPr>
    </w:lvl>
    <w:lvl w:ilvl="5">
      <w:start w:val="1"/>
      <w:numFmt w:val="lowerRoman"/>
      <w:lvlText w:val="%6."/>
      <w:lvlJc w:val="right"/>
      <w:pPr>
        <w:tabs>
          <w:tab w:val="left" w:pos="2520"/>
        </w:tabs>
        <w:ind w:left="2520" w:hanging="420"/>
      </w:pPr>
      <w:rPr>
        <w:rFonts w:ascii="Times New Roman" w:eastAsia="Times New Roman" w:hAnsi="Times New Roman" w:hint="eastAsia"/>
        <w:sz w:val="24"/>
        <w:u w:val="none"/>
      </w:rPr>
    </w:lvl>
    <w:lvl w:ilvl="6">
      <w:start w:val="1"/>
      <w:numFmt w:val="decimal"/>
      <w:lvlText w:val="%7."/>
      <w:lvlJc w:val="left"/>
      <w:pPr>
        <w:tabs>
          <w:tab w:val="left" w:pos="2940"/>
        </w:tabs>
        <w:ind w:left="2940" w:hanging="420"/>
      </w:pPr>
      <w:rPr>
        <w:rFonts w:ascii="Times New Roman" w:eastAsia="Times New Roman" w:hAnsi="Times New Roman" w:hint="eastAsia"/>
        <w:sz w:val="24"/>
        <w:u w:val="none"/>
      </w:rPr>
    </w:lvl>
    <w:lvl w:ilvl="7">
      <w:start w:val="1"/>
      <w:numFmt w:val="lowerLetter"/>
      <w:lvlText w:val="%8)"/>
      <w:lvlJc w:val="left"/>
      <w:pPr>
        <w:tabs>
          <w:tab w:val="left" w:pos="3360"/>
        </w:tabs>
        <w:ind w:left="3360" w:hanging="420"/>
      </w:pPr>
      <w:rPr>
        <w:rFonts w:ascii="Times New Roman" w:eastAsia="Times New Roman" w:hAnsi="Times New Roman" w:hint="eastAsia"/>
        <w:sz w:val="24"/>
        <w:u w:val="none"/>
      </w:rPr>
    </w:lvl>
    <w:lvl w:ilvl="8">
      <w:start w:val="1"/>
      <w:numFmt w:val="lowerRoman"/>
      <w:lvlText w:val="%9."/>
      <w:lvlJc w:val="right"/>
      <w:pPr>
        <w:tabs>
          <w:tab w:val="left" w:pos="3780"/>
        </w:tabs>
        <w:ind w:left="3780" w:hanging="420"/>
      </w:pPr>
      <w:rPr>
        <w:rFonts w:ascii="Times New Roman" w:eastAsia="Times New Roman" w:hAnsi="Times New Roman" w:hint="eastAsia"/>
        <w:sz w:val="24"/>
        <w:u w:val="none"/>
      </w:rPr>
    </w:lvl>
  </w:abstractNum>
  <w:abstractNum w:abstractNumId="27">
    <w:nsid w:val="4ED61D2D"/>
    <w:multiLevelType w:val="multilevel"/>
    <w:tmpl w:val="4ED61D2D"/>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28">
    <w:nsid w:val="50C490FB"/>
    <w:multiLevelType w:val="multilevel"/>
    <w:tmpl w:val="50C490FB"/>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29">
    <w:nsid w:val="53E6DF8F"/>
    <w:multiLevelType w:val="multilevel"/>
    <w:tmpl w:val="53E6DF8F"/>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30">
    <w:nsid w:val="54E5160B"/>
    <w:multiLevelType w:val="multilevel"/>
    <w:tmpl w:val="54E5160B"/>
    <w:lvl w:ilvl="0">
      <w:start w:val="1"/>
      <w:numFmt w:val="decimal"/>
      <w:lvlText w:val="%1、"/>
      <w:lvlJc w:val="left"/>
      <w:pPr>
        <w:tabs>
          <w:tab w:val="left" w:pos="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720" w:firstLine="0"/>
      </w:pPr>
      <w:rPr>
        <w:rFonts w:ascii="Arial" w:hAnsi="Arial" w:hint="eastAsia"/>
        <w:u w:val="none"/>
      </w:rPr>
    </w:lvl>
    <w:lvl w:ilvl="2">
      <w:start w:val="1"/>
      <w:numFmt w:val="decimal"/>
      <w:lvlText w:val="%3."/>
      <w:lvlJc w:val="left"/>
      <w:pPr>
        <w:tabs>
          <w:tab w:val="left" w:pos="1800"/>
        </w:tabs>
        <w:ind w:left="1440" w:firstLine="0"/>
      </w:pPr>
      <w:rPr>
        <w:rFonts w:ascii="Arial" w:hAnsi="Arial" w:hint="eastAsia"/>
        <w:u w:val="none"/>
      </w:rPr>
    </w:lvl>
    <w:lvl w:ilvl="3">
      <w:start w:val="1"/>
      <w:numFmt w:val="decimal"/>
      <w:lvlText w:val="%4."/>
      <w:lvlJc w:val="left"/>
      <w:pPr>
        <w:tabs>
          <w:tab w:val="left" w:pos="2520"/>
        </w:tabs>
        <w:ind w:left="2160" w:firstLine="0"/>
      </w:pPr>
      <w:rPr>
        <w:rFonts w:ascii="Arial" w:hAnsi="Arial" w:hint="eastAsia"/>
        <w:u w:val="none"/>
      </w:rPr>
    </w:lvl>
    <w:lvl w:ilvl="4">
      <w:start w:val="1"/>
      <w:numFmt w:val="decimal"/>
      <w:lvlText w:val="%5."/>
      <w:lvlJc w:val="left"/>
      <w:pPr>
        <w:tabs>
          <w:tab w:val="left" w:pos="3240"/>
        </w:tabs>
        <w:ind w:left="2880" w:firstLine="0"/>
      </w:pPr>
      <w:rPr>
        <w:rFonts w:ascii="Arial" w:hAnsi="Arial" w:hint="eastAsia"/>
        <w:u w:val="none"/>
      </w:rPr>
    </w:lvl>
    <w:lvl w:ilvl="5">
      <w:start w:val="1"/>
      <w:numFmt w:val="decimal"/>
      <w:lvlText w:val="%6."/>
      <w:lvlJc w:val="left"/>
      <w:pPr>
        <w:tabs>
          <w:tab w:val="left" w:pos="3960"/>
        </w:tabs>
        <w:ind w:left="3600" w:firstLine="0"/>
      </w:pPr>
      <w:rPr>
        <w:rFonts w:ascii="Arial" w:hAnsi="Arial" w:hint="eastAsia"/>
        <w:u w:val="none"/>
      </w:rPr>
    </w:lvl>
    <w:lvl w:ilvl="6">
      <w:start w:val="1"/>
      <w:numFmt w:val="decimal"/>
      <w:lvlText w:val="%7."/>
      <w:lvlJc w:val="left"/>
      <w:pPr>
        <w:tabs>
          <w:tab w:val="left" w:pos="4680"/>
        </w:tabs>
        <w:ind w:left="4320" w:firstLine="0"/>
      </w:pPr>
      <w:rPr>
        <w:rFonts w:ascii="Arial" w:hAnsi="Arial" w:hint="eastAsia"/>
        <w:u w:val="none"/>
      </w:rPr>
    </w:lvl>
    <w:lvl w:ilvl="7">
      <w:start w:val="1"/>
      <w:numFmt w:val="decimal"/>
      <w:lvlText w:val="%8."/>
      <w:lvlJc w:val="left"/>
      <w:pPr>
        <w:tabs>
          <w:tab w:val="left" w:pos="5400"/>
        </w:tabs>
        <w:ind w:left="5040" w:firstLine="0"/>
      </w:pPr>
      <w:rPr>
        <w:rFonts w:ascii="Arial" w:hAnsi="Arial" w:hint="eastAsia"/>
        <w:u w:val="none"/>
      </w:rPr>
    </w:lvl>
    <w:lvl w:ilvl="8">
      <w:start w:val="1"/>
      <w:numFmt w:val="decimal"/>
      <w:lvlText w:val="%9."/>
      <w:lvlJc w:val="left"/>
      <w:pPr>
        <w:tabs>
          <w:tab w:val="left" w:pos="6120"/>
        </w:tabs>
        <w:ind w:left="5760" w:firstLine="0"/>
      </w:pPr>
      <w:rPr>
        <w:rFonts w:ascii="Arial" w:hAnsi="Arial" w:hint="eastAsia"/>
        <w:u w:val="none"/>
      </w:rPr>
    </w:lvl>
  </w:abstractNum>
  <w:abstractNum w:abstractNumId="31">
    <w:nsid w:val="58CA2B9B"/>
    <w:multiLevelType w:val="multilevel"/>
    <w:tmpl w:val="58CA2B9B"/>
    <w:lvl w:ilvl="0">
      <w:start w:val="1"/>
      <w:numFmt w:val="chineseCountingThousand"/>
      <w:pStyle w:val="10"/>
      <w:lvlText w:val="第%1章  "/>
      <w:lvlJc w:val="left"/>
      <w:pPr>
        <w:ind w:left="432" w:hanging="432"/>
      </w:pPr>
      <w:rPr>
        <w:rFonts w:ascii="宋体" w:eastAsia="宋体" w:hAnsi="宋体" w:cs="宋体" w:hint="eastAsia"/>
        <w:b/>
        <w:i w:val="0"/>
        <w:color w:val="000000"/>
        <w:sz w:val="32"/>
      </w:rPr>
    </w:lvl>
    <w:lvl w:ilvl="1">
      <w:start w:val="1"/>
      <w:numFmt w:val="chineseCountingThousand"/>
      <w:pStyle w:val="2"/>
      <w:lvlText w:val="%2、"/>
      <w:lvlJc w:val="left"/>
      <w:pPr>
        <w:ind w:left="575" w:hanging="575"/>
      </w:pPr>
      <w:rPr>
        <w:rFonts w:ascii="宋体" w:eastAsia="宋体" w:hAnsi="宋体" w:cs="宋体" w:hint="eastAsia"/>
        <w:b/>
        <w:i w:val="0"/>
        <w:color w:val="000000"/>
        <w:sz w:val="28"/>
      </w:rPr>
    </w:lvl>
    <w:lvl w:ilvl="2">
      <w:start w:val="1"/>
      <w:numFmt w:val="none"/>
      <w:lvlJc w:val="left"/>
      <w:pPr>
        <w:ind w:left="720" w:hanging="720"/>
      </w:pPr>
      <w:rPr>
        <w:rFonts w:ascii="宋体" w:eastAsia="宋体" w:hAnsi="宋体" w:cs="宋体" w:hint="eastAsia"/>
        <w:b/>
        <w:i w:val="0"/>
        <w:color w:val="000000"/>
        <w:sz w:val="24"/>
      </w:rPr>
    </w:lvl>
    <w:lvl w:ilvl="3">
      <w:start w:val="1"/>
      <w:numFmt w:val="none"/>
      <w:lvlJc w:val="left"/>
      <w:pPr>
        <w:ind w:left="864" w:hanging="864"/>
      </w:pPr>
      <w:rPr>
        <w:rFonts w:ascii="宋体" w:eastAsia="宋体" w:hAnsi="宋体" w:cs="宋体" w:hint="eastAsia"/>
        <w:b/>
        <w:i w:val="0"/>
        <w:color w:val="000000"/>
        <w:sz w:val="24"/>
      </w:rPr>
    </w:lvl>
    <w:lvl w:ilvl="4">
      <w:start w:val="1"/>
      <w:numFmt w:val="none"/>
      <w:lvlJc w:val="left"/>
      <w:pPr>
        <w:ind w:left="1008" w:hanging="1008"/>
      </w:pPr>
      <w:rPr>
        <w:rFonts w:ascii="宋体" w:eastAsia="宋体" w:hAnsi="宋体" w:cs="宋体" w:hint="eastAsia"/>
        <w:b/>
        <w:i w:val="0"/>
        <w:color w:val="000000"/>
        <w:sz w:val="24"/>
      </w:rPr>
    </w:lvl>
    <w:lvl w:ilvl="5">
      <w:start w:val="1"/>
      <w:numFmt w:val="none"/>
      <w:lvlJc w:val="left"/>
      <w:pPr>
        <w:ind w:left="1151" w:hanging="1151"/>
      </w:pPr>
      <w:rPr>
        <w:rFonts w:ascii="宋体" w:eastAsia="宋体" w:hAnsi="宋体" w:cs="宋体" w:hint="eastAsia"/>
        <w:b/>
        <w:i w:val="0"/>
        <w:color w:val="000000"/>
        <w:sz w:val="24"/>
      </w:rPr>
    </w:lvl>
    <w:lvl w:ilvl="6">
      <w:start w:val="1"/>
      <w:numFmt w:val="none"/>
      <w:lvlJc w:val="left"/>
      <w:pPr>
        <w:ind w:left="1296" w:hanging="1296"/>
      </w:pPr>
      <w:rPr>
        <w:rFonts w:ascii="宋体" w:eastAsia="宋体" w:hAnsi="宋体" w:cs="宋体" w:hint="eastAsia"/>
        <w:b/>
        <w:i w:val="0"/>
        <w:color w:val="000000"/>
        <w:sz w:val="24"/>
      </w:rPr>
    </w:lvl>
    <w:lvl w:ilvl="7">
      <w:start w:val="1"/>
      <w:numFmt w:val="none"/>
      <w:lvlJc w:val="left"/>
      <w:pPr>
        <w:ind w:left="1440" w:hanging="1440"/>
      </w:pPr>
      <w:rPr>
        <w:rFonts w:ascii="宋体" w:eastAsia="宋体" w:hAnsi="宋体" w:cs="宋体" w:hint="eastAsia"/>
        <w:b/>
        <w:i w:val="0"/>
        <w:color w:val="000000"/>
        <w:sz w:val="24"/>
      </w:rPr>
    </w:lvl>
    <w:lvl w:ilvl="8">
      <w:start w:val="1"/>
      <w:numFmt w:val="none"/>
      <w:lvlJc w:val="left"/>
      <w:pPr>
        <w:ind w:left="1583" w:hanging="1583"/>
      </w:pPr>
      <w:rPr>
        <w:rFonts w:ascii="宋体" w:eastAsia="宋体" w:hAnsi="宋体" w:cs="宋体" w:hint="eastAsia"/>
        <w:b/>
        <w:i w:val="0"/>
        <w:color w:val="000000"/>
        <w:sz w:val="24"/>
      </w:rPr>
    </w:lvl>
  </w:abstractNum>
  <w:abstractNum w:abstractNumId="32">
    <w:nsid w:val="5EAE7767"/>
    <w:multiLevelType w:val="multilevel"/>
    <w:tmpl w:val="5EAE7767"/>
    <w:lvl w:ilvl="0">
      <w:start w:val="1"/>
      <w:numFmt w:val="decimal"/>
      <w:lvlText w:val="%1、"/>
      <w:lvlJc w:val="left"/>
      <w:pPr>
        <w:tabs>
          <w:tab w:val="left" w:pos="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33">
    <w:nsid w:val="6250F8E2"/>
    <w:multiLevelType w:val="multilevel"/>
    <w:tmpl w:val="6250F8E2"/>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34">
    <w:nsid w:val="63243123"/>
    <w:multiLevelType w:val="multilevel"/>
    <w:tmpl w:val="63243123"/>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35">
    <w:nsid w:val="638EC99B"/>
    <w:multiLevelType w:val="multilevel"/>
    <w:tmpl w:val="638EC99B"/>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36">
    <w:nsid w:val="67052456"/>
    <w:multiLevelType w:val="multilevel"/>
    <w:tmpl w:val="67052456"/>
    <w:lvl w:ilvl="0">
      <w:start w:val="1"/>
      <w:numFmt w:val="decimal"/>
      <w:lvlText w:val="  (%1)、"/>
      <w:lvlJc w:val="left"/>
      <w:pPr>
        <w:tabs>
          <w:tab w:val="left" w:pos="360"/>
        </w:tabs>
        <w:ind w:left="0" w:firstLine="0"/>
      </w:pPr>
      <w:rPr>
        <w:rFonts w:ascii="Arial" w:hAnsi="Arial" w:hint="eastAsia"/>
        <w:u w:val="none"/>
      </w:rPr>
    </w:lvl>
    <w:lvl w:ilvl="1">
      <w:start w:val="1"/>
      <w:numFmt w:val="decimal"/>
      <w:lvlText w:val="%2."/>
      <w:lvlJc w:val="left"/>
      <w:pPr>
        <w:tabs>
          <w:tab w:val="left" w:pos="1080"/>
        </w:tabs>
        <w:ind w:left="720" w:firstLine="0"/>
      </w:pPr>
      <w:rPr>
        <w:rFonts w:ascii="Arial" w:hAnsi="Arial" w:hint="eastAsia"/>
        <w:u w:val="none"/>
      </w:rPr>
    </w:lvl>
    <w:lvl w:ilvl="2">
      <w:start w:val="1"/>
      <w:numFmt w:val="decimal"/>
      <w:lvlText w:val="%3."/>
      <w:lvlJc w:val="left"/>
      <w:pPr>
        <w:tabs>
          <w:tab w:val="left" w:pos="1800"/>
        </w:tabs>
        <w:ind w:left="1440" w:firstLine="0"/>
      </w:pPr>
      <w:rPr>
        <w:rFonts w:ascii="Arial" w:hAnsi="Arial" w:hint="eastAsia"/>
        <w:u w:val="none"/>
      </w:rPr>
    </w:lvl>
    <w:lvl w:ilvl="3">
      <w:start w:val="1"/>
      <w:numFmt w:val="decimal"/>
      <w:lvlText w:val="%4."/>
      <w:lvlJc w:val="left"/>
      <w:pPr>
        <w:tabs>
          <w:tab w:val="left" w:pos="2520"/>
        </w:tabs>
        <w:ind w:left="2160" w:firstLine="0"/>
      </w:pPr>
      <w:rPr>
        <w:rFonts w:ascii="Arial" w:hAnsi="Arial" w:hint="eastAsia"/>
        <w:u w:val="none"/>
      </w:rPr>
    </w:lvl>
    <w:lvl w:ilvl="4">
      <w:start w:val="1"/>
      <w:numFmt w:val="decimal"/>
      <w:lvlText w:val="%5."/>
      <w:lvlJc w:val="left"/>
      <w:pPr>
        <w:tabs>
          <w:tab w:val="left" w:pos="3240"/>
        </w:tabs>
        <w:ind w:left="2880" w:firstLine="0"/>
      </w:pPr>
      <w:rPr>
        <w:rFonts w:ascii="Arial" w:hAnsi="Arial" w:hint="eastAsia"/>
        <w:u w:val="none"/>
      </w:rPr>
    </w:lvl>
    <w:lvl w:ilvl="5">
      <w:start w:val="1"/>
      <w:numFmt w:val="decimal"/>
      <w:lvlText w:val="%6."/>
      <w:lvlJc w:val="left"/>
      <w:pPr>
        <w:tabs>
          <w:tab w:val="left" w:pos="3960"/>
        </w:tabs>
        <w:ind w:left="3600" w:firstLine="0"/>
      </w:pPr>
      <w:rPr>
        <w:rFonts w:ascii="Arial" w:hAnsi="Arial" w:hint="eastAsia"/>
        <w:u w:val="none"/>
      </w:rPr>
    </w:lvl>
    <w:lvl w:ilvl="6">
      <w:start w:val="1"/>
      <w:numFmt w:val="decimal"/>
      <w:lvlText w:val="%7."/>
      <w:lvlJc w:val="left"/>
      <w:pPr>
        <w:tabs>
          <w:tab w:val="left" w:pos="4680"/>
        </w:tabs>
        <w:ind w:left="4320" w:firstLine="0"/>
      </w:pPr>
      <w:rPr>
        <w:rFonts w:ascii="Arial" w:hAnsi="Arial" w:hint="eastAsia"/>
        <w:u w:val="none"/>
      </w:rPr>
    </w:lvl>
    <w:lvl w:ilvl="7">
      <w:start w:val="1"/>
      <w:numFmt w:val="decimal"/>
      <w:lvlText w:val="%8."/>
      <w:lvlJc w:val="left"/>
      <w:pPr>
        <w:tabs>
          <w:tab w:val="left" w:pos="5400"/>
        </w:tabs>
        <w:ind w:left="5040" w:firstLine="0"/>
      </w:pPr>
      <w:rPr>
        <w:rFonts w:ascii="Arial" w:hAnsi="Arial" w:hint="eastAsia"/>
        <w:u w:val="none"/>
      </w:rPr>
    </w:lvl>
    <w:lvl w:ilvl="8">
      <w:start w:val="1"/>
      <w:numFmt w:val="decimal"/>
      <w:lvlText w:val="%9."/>
      <w:lvlJc w:val="left"/>
      <w:pPr>
        <w:tabs>
          <w:tab w:val="left" w:pos="6120"/>
        </w:tabs>
        <w:ind w:left="5760" w:firstLine="0"/>
      </w:pPr>
      <w:rPr>
        <w:rFonts w:ascii="Arial" w:hAnsi="Arial" w:hint="eastAsia"/>
        <w:u w:val="none"/>
      </w:rPr>
    </w:lvl>
  </w:abstractNum>
  <w:abstractNum w:abstractNumId="37">
    <w:nsid w:val="6A4E2664"/>
    <w:multiLevelType w:val="multilevel"/>
    <w:tmpl w:val="6A4E2664"/>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38">
    <w:nsid w:val="6EE5E13B"/>
    <w:multiLevelType w:val="multilevel"/>
    <w:tmpl w:val="6EE5E13B"/>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39">
    <w:nsid w:val="6EF32229"/>
    <w:multiLevelType w:val="multilevel"/>
    <w:tmpl w:val="6EF32229"/>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40">
    <w:nsid w:val="71EED364"/>
    <w:multiLevelType w:val="multilevel"/>
    <w:tmpl w:val="71EED364"/>
    <w:lvl w:ilvl="0">
      <w:start w:val="1"/>
      <w:numFmt w:val="decimal"/>
      <w:lvlText w:val="%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41">
    <w:nsid w:val="76306F0D"/>
    <w:multiLevelType w:val="multilevel"/>
    <w:tmpl w:val="76306F0D"/>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42">
    <w:nsid w:val="7E200CA2"/>
    <w:multiLevelType w:val="multilevel"/>
    <w:tmpl w:val="7E200CA2"/>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43">
    <w:nsid w:val="7F7AF3E4"/>
    <w:multiLevelType w:val="multilevel"/>
    <w:tmpl w:val="7F7AF3E4"/>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num w:numId="1">
    <w:abstractNumId w:val="19"/>
  </w:num>
  <w:num w:numId="2">
    <w:abstractNumId w:val="31"/>
  </w:num>
  <w:num w:numId="3">
    <w:abstractNumId w:val="14"/>
  </w:num>
  <w:num w:numId="4">
    <w:abstractNumId w:val="25"/>
  </w:num>
  <w:num w:numId="5">
    <w:abstractNumId w:val="12"/>
  </w:num>
  <w:num w:numId="6">
    <w:abstractNumId w:val="1"/>
  </w:num>
  <w:num w:numId="7">
    <w:abstractNumId w:val="15"/>
  </w:num>
  <w:num w:numId="8">
    <w:abstractNumId w:val="10"/>
  </w:num>
  <w:num w:numId="9">
    <w:abstractNumId w:val="40"/>
  </w:num>
  <w:num w:numId="10">
    <w:abstractNumId w:val="16"/>
  </w:num>
  <w:num w:numId="11">
    <w:abstractNumId w:val="38"/>
  </w:num>
  <w:num w:numId="12">
    <w:abstractNumId w:val="0"/>
  </w:num>
  <w:num w:numId="13">
    <w:abstractNumId w:val="17"/>
  </w:num>
  <w:num w:numId="14">
    <w:abstractNumId w:val="27"/>
  </w:num>
  <w:num w:numId="15">
    <w:abstractNumId w:val="22"/>
  </w:num>
  <w:num w:numId="16">
    <w:abstractNumId w:val="26"/>
  </w:num>
  <w:num w:numId="17">
    <w:abstractNumId w:val="4"/>
  </w:num>
  <w:num w:numId="18">
    <w:abstractNumId w:val="35"/>
  </w:num>
  <w:num w:numId="19">
    <w:abstractNumId w:val="39"/>
  </w:num>
  <w:num w:numId="20">
    <w:abstractNumId w:val="8"/>
  </w:num>
  <w:num w:numId="21">
    <w:abstractNumId w:val="28"/>
  </w:num>
  <w:num w:numId="22">
    <w:abstractNumId w:val="20"/>
  </w:num>
  <w:num w:numId="23">
    <w:abstractNumId w:val="36"/>
  </w:num>
  <w:num w:numId="24">
    <w:abstractNumId w:val="32"/>
  </w:num>
  <w:num w:numId="25">
    <w:abstractNumId w:val="42"/>
  </w:num>
  <w:num w:numId="26">
    <w:abstractNumId w:val="9"/>
  </w:num>
  <w:num w:numId="27">
    <w:abstractNumId w:val="34"/>
  </w:num>
  <w:num w:numId="28">
    <w:abstractNumId w:val="2"/>
  </w:num>
  <w:num w:numId="29">
    <w:abstractNumId w:val="6"/>
  </w:num>
  <w:num w:numId="30">
    <w:abstractNumId w:val="21"/>
  </w:num>
  <w:num w:numId="31">
    <w:abstractNumId w:val="43"/>
  </w:num>
  <w:num w:numId="32">
    <w:abstractNumId w:val="3"/>
  </w:num>
  <w:num w:numId="33">
    <w:abstractNumId w:val="11"/>
  </w:num>
  <w:num w:numId="34">
    <w:abstractNumId w:val="13"/>
  </w:num>
  <w:num w:numId="35">
    <w:abstractNumId w:val="30"/>
  </w:num>
  <w:num w:numId="36">
    <w:abstractNumId w:val="5"/>
  </w:num>
  <w:num w:numId="37">
    <w:abstractNumId w:val="23"/>
  </w:num>
  <w:num w:numId="38">
    <w:abstractNumId w:val="7"/>
  </w:num>
  <w:num w:numId="39">
    <w:abstractNumId w:val="24"/>
  </w:num>
  <w:num w:numId="40">
    <w:abstractNumId w:val="41"/>
  </w:num>
  <w:num w:numId="41">
    <w:abstractNumId w:val="18"/>
  </w:num>
  <w:num w:numId="42">
    <w:abstractNumId w:val="37"/>
  </w:num>
  <w:num w:numId="43">
    <w:abstractNumId w:val="33"/>
  </w:num>
  <w:num w:numId="4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F4782"/>
    <w:rsid w:val="001156C5"/>
    <w:rsid w:val="0012111E"/>
    <w:rsid w:val="0022153E"/>
    <w:rsid w:val="00223AB9"/>
    <w:rsid w:val="00252B25"/>
    <w:rsid w:val="002933B1"/>
    <w:rsid w:val="002A2C73"/>
    <w:rsid w:val="002C1CD7"/>
    <w:rsid w:val="00330179"/>
    <w:rsid w:val="003B3AD8"/>
    <w:rsid w:val="004150B3"/>
    <w:rsid w:val="004C380F"/>
    <w:rsid w:val="00531FBD"/>
    <w:rsid w:val="005B6F67"/>
    <w:rsid w:val="005C69F1"/>
    <w:rsid w:val="00653895"/>
    <w:rsid w:val="006846E8"/>
    <w:rsid w:val="007D1BB9"/>
    <w:rsid w:val="0080529A"/>
    <w:rsid w:val="00834903"/>
    <w:rsid w:val="00843B68"/>
    <w:rsid w:val="008448C4"/>
    <w:rsid w:val="00911294"/>
    <w:rsid w:val="00922FC8"/>
    <w:rsid w:val="0094212A"/>
    <w:rsid w:val="009B2417"/>
    <w:rsid w:val="009C419D"/>
    <w:rsid w:val="00A853DB"/>
    <w:rsid w:val="00B46A05"/>
    <w:rsid w:val="00B65CCA"/>
    <w:rsid w:val="00B85E2F"/>
    <w:rsid w:val="00BD5148"/>
    <w:rsid w:val="00C1729B"/>
    <w:rsid w:val="00C3480A"/>
    <w:rsid w:val="00C773DA"/>
    <w:rsid w:val="00CA67A3"/>
    <w:rsid w:val="00CE079B"/>
    <w:rsid w:val="00D16826"/>
    <w:rsid w:val="00DB2303"/>
    <w:rsid w:val="00E2231C"/>
    <w:rsid w:val="00E56DB9"/>
    <w:rsid w:val="00E73211"/>
    <w:rsid w:val="00E7704A"/>
    <w:rsid w:val="00E77F62"/>
    <w:rsid w:val="00EF34AA"/>
    <w:rsid w:val="00F9568B"/>
    <w:rsid w:val="00FC25C7"/>
    <w:rsid w:val="00FD41A4"/>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C22A52A4-9185-4C8D-AD9B-F1230F6E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keepLines/>
      <w:widowControl/>
      <w:spacing w:before="340" w:after="330" w:line="576" w:lineRule="auto"/>
      <w:outlineLvl w:val="0"/>
    </w:pPr>
    <w:rPr>
      <w:rFonts w:ascii="Times New Roman" w:hAnsi="Times New Roman"/>
      <w:b/>
      <w:kern w:val="44"/>
      <w:sz w:val="44"/>
      <w:szCs w:val="20"/>
    </w:rPr>
  </w:style>
  <w:style w:type="paragraph" w:styleId="Heading2">
    <w:name w:val="heading 2"/>
    <w:basedOn w:val="Normal"/>
    <w:next w:val="Normal0"/>
    <w:unhideWhenUsed/>
    <w:qFormat/>
    <w:pPr>
      <w:keepNext/>
      <w:keepLines/>
      <w:widowControl/>
      <w:spacing w:before="260" w:after="260" w:line="413" w:lineRule="auto"/>
      <w:outlineLvl w:val="1"/>
    </w:pPr>
    <w:rPr>
      <w:rFonts w:ascii="Arial" w:eastAsia="黑体" w:hAnsi="Arial"/>
      <w:b/>
      <w:sz w:val="32"/>
      <w:szCs w:val="20"/>
    </w:rPr>
  </w:style>
  <w:style w:type="paragraph" w:styleId="Heading3">
    <w:name w:val="heading 3"/>
    <w:basedOn w:val="Normal"/>
    <w:next w:val="Normal0"/>
    <w:unhideWhenUsed/>
    <w:qFormat/>
    <w:pPr>
      <w:keepNext/>
      <w:keepLines/>
      <w:widowControl/>
      <w:spacing w:before="260" w:after="260" w:line="413" w:lineRule="auto"/>
      <w:outlineLvl w:val="2"/>
    </w:pPr>
    <w:rPr>
      <w:rFonts w:ascii="Times New Roman" w:hAnsi="Times New Roman"/>
      <w:b/>
      <w:sz w:val="32"/>
      <w:szCs w:val="20"/>
    </w:rPr>
  </w:style>
  <w:style w:type="paragraph" w:styleId="Heading4">
    <w:name w:val="heading 4"/>
    <w:basedOn w:val="Normal"/>
    <w:next w:val="Normal0"/>
    <w:unhideWhenUsed/>
    <w:qFormat/>
    <w:pPr>
      <w:keepNext/>
      <w:keepLines/>
      <w:widowControl/>
      <w:spacing w:before="280" w:after="290" w:line="372" w:lineRule="auto"/>
      <w:outlineLvl w:val="3"/>
    </w:pPr>
    <w:rPr>
      <w:rFonts w:ascii="Arial" w:eastAsia="黑体" w:hAnsi="Arial"/>
      <w:b/>
      <w:sz w:val="28"/>
      <w:szCs w:val="20"/>
    </w:rPr>
  </w:style>
  <w:style w:type="paragraph" w:styleId="Heading5">
    <w:name w:val="heading 5"/>
    <w:basedOn w:val="Normal"/>
    <w:next w:val="Normal0"/>
    <w:unhideWhenUsed/>
    <w:qFormat/>
    <w:pPr>
      <w:keepNext/>
      <w:keepLines/>
      <w:widowControl/>
      <w:spacing w:before="280" w:after="290" w:line="372" w:lineRule="auto"/>
      <w:outlineLvl w:val="4"/>
    </w:pPr>
    <w:rPr>
      <w:rFonts w:ascii="Times New Roman" w:hAnsi="Times New Roman"/>
      <w:b/>
      <w:sz w:val="28"/>
      <w:szCs w:val="20"/>
    </w:rPr>
  </w:style>
  <w:style w:type="paragraph" w:styleId="Heading6">
    <w:name w:val="heading 6"/>
    <w:basedOn w:val="Normal"/>
    <w:next w:val="Normal0"/>
    <w:unhideWhenUsed/>
    <w:qFormat/>
    <w:pPr>
      <w:keepNext/>
      <w:keepLines/>
      <w:widowControl/>
      <w:spacing w:before="240" w:after="64" w:line="317" w:lineRule="auto"/>
      <w:outlineLvl w:val="5"/>
    </w:pPr>
    <w:rPr>
      <w:rFonts w:ascii="Arial" w:eastAsia="黑体" w:hAnsi="Arial"/>
      <w:b/>
      <w:sz w:val="24"/>
      <w:szCs w:val="20"/>
    </w:rPr>
  </w:style>
  <w:style w:type="paragraph" w:styleId="Heading7">
    <w:name w:val="heading 7"/>
    <w:basedOn w:val="Normal"/>
    <w:next w:val="Normal0"/>
    <w:unhideWhenUsed/>
    <w:qFormat/>
    <w:pPr>
      <w:keepNext/>
      <w:keepLines/>
      <w:widowControl/>
      <w:spacing w:before="240" w:after="64" w:line="317" w:lineRule="auto"/>
      <w:outlineLvl w:val="6"/>
    </w:pPr>
    <w:rPr>
      <w:rFonts w:ascii="Times New Roman" w:hAnsi="Times New Roman"/>
      <w:b/>
      <w:sz w:val="24"/>
      <w:szCs w:val="20"/>
    </w:rPr>
  </w:style>
  <w:style w:type="paragraph" w:styleId="Heading8">
    <w:name w:val="heading 8"/>
    <w:basedOn w:val="Normal"/>
    <w:next w:val="Normal0"/>
    <w:unhideWhenUsed/>
    <w:qFormat/>
    <w:pPr>
      <w:keepNext/>
      <w:keepLines/>
      <w:widowControl/>
      <w:spacing w:before="240" w:after="64" w:line="317" w:lineRule="auto"/>
      <w:outlineLvl w:val="7"/>
    </w:pPr>
    <w:rPr>
      <w:rFonts w:ascii="Arial" w:eastAsia="黑体" w:hAnsi="Arial"/>
      <w:sz w:val="24"/>
      <w:szCs w:val="20"/>
    </w:rPr>
  </w:style>
  <w:style w:type="paragraph" w:styleId="Heading9">
    <w:name w:val="heading 9"/>
    <w:basedOn w:val="Normal"/>
    <w:next w:val="Normal0"/>
    <w:unhideWhenUsed/>
    <w:qFormat/>
    <w:pPr>
      <w:keepNext/>
      <w:keepLines/>
      <w:widowControl/>
      <w:spacing w:before="240" w:after="64" w:line="317" w:lineRule="auto"/>
      <w:outlineLvl w:val="8"/>
    </w:pPr>
    <w:rPr>
      <w:rFonts w:ascii="Arial" w:eastAsia="黑体" w:hAnsi="Arial"/>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jc w:val="both"/>
    </w:pPr>
    <w:rPr>
      <w:rFonts w:cs="Times New Roman"/>
      <w:kern w:val="2"/>
      <w:sz w:val="21"/>
    </w:rPr>
  </w:style>
  <w:style w:type="paragraph" w:customStyle="1" w:styleId="1">
    <w:name w:val="1."/>
    <w:basedOn w:val="Normal"/>
    <w:rsid w:val="001156C5"/>
    <w:pPr>
      <w:numPr>
        <w:numId w:val="1"/>
      </w:numPr>
    </w:pPr>
    <w:rPr>
      <w:rFonts w:ascii="Plotter" w:hAnsi="Plotter"/>
      <w:szCs w:val="20"/>
    </w:rPr>
  </w:style>
  <w:style w:type="paragraph" w:styleId="TOC1">
    <w:name w:val="toc 1"/>
    <w:basedOn w:val="Normal"/>
    <w:next w:val="Normal0"/>
    <w:qFormat/>
    <w:pPr>
      <w:widowControl/>
      <w:spacing w:line="360" w:lineRule="auto"/>
    </w:pPr>
    <w:rPr>
      <w:rFonts w:ascii="宋体" w:hAnsi="宋体" w:cs="宋体" w:hint="eastAsia"/>
      <w:b/>
      <w:sz w:val="24"/>
      <w:szCs w:val="20"/>
    </w:rPr>
  </w:style>
  <w:style w:type="paragraph" w:styleId="TOC2">
    <w:name w:val="toc 2"/>
    <w:basedOn w:val="Normal"/>
    <w:next w:val="Normal0"/>
    <w:qFormat/>
    <w:pPr>
      <w:widowControl/>
      <w:spacing w:line="360" w:lineRule="auto"/>
      <w:ind w:left="420" w:leftChars="200"/>
    </w:pPr>
    <w:rPr>
      <w:rFonts w:ascii="宋体" w:hAnsi="宋体" w:cs="宋体" w:hint="eastAsia"/>
      <w:sz w:val="24"/>
      <w:szCs w:val="20"/>
    </w:rPr>
  </w:style>
  <w:style w:type="paragraph" w:customStyle="1" w:styleId="10">
    <w:name w:val="品茗标题1"/>
    <w:basedOn w:val="Heading1"/>
    <w:next w:val="Normal0"/>
    <w:qFormat/>
    <w:pPr>
      <w:numPr>
        <w:numId w:val="2"/>
      </w:numPr>
    </w:pPr>
    <w:rPr>
      <w:rFonts w:ascii="宋体" w:hAnsi="宋体" w:cs="宋体" w:hint="eastAsia"/>
      <w:color w:val="000000"/>
      <w:sz w:val="32"/>
    </w:rPr>
  </w:style>
  <w:style w:type="paragraph" w:customStyle="1" w:styleId="2">
    <w:name w:val="品茗标题2"/>
    <w:basedOn w:val="Heading2"/>
    <w:next w:val="Normal0"/>
    <w:qFormat/>
    <w:pPr>
      <w:numPr>
        <w:ilvl w:val="1"/>
        <w:numId w:val="2"/>
      </w:numPr>
    </w:pPr>
    <w:rPr>
      <w:rFonts w:ascii="宋体" w:eastAsia="宋体" w:hAnsi="宋体" w:cs="宋体" w:hint="eastAsia"/>
      <w:color w:val="000000"/>
      <w:sz w:val="28"/>
    </w:rPr>
  </w:style>
  <w:style w:type="paragraph" w:styleId="BodyText">
    <w:name w:val="Body Text"/>
    <w:basedOn w:val="Normal"/>
    <w:qFormat/>
    <w:pPr>
      <w:widowControl/>
    </w:pPr>
    <w:rPr>
      <w:rFonts w:ascii="Times New Roman" w:hAnsi="Times New Roman"/>
      <w:szCs w:val="24"/>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wmf"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hyperlink" Target="https://d.book118.com/158001010032006045" TargetMode="Externa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32</Pages>
  <Words>3070</Words>
  <Characters>17500</Characters>
  <Application>Microsoft Office Word</Application>
  <DocSecurity>0</DocSecurity>
  <Lines>145</Lines>
  <Paragraphs>41</Paragraphs>
  <ScaleCrop>false</ScaleCrop>
  <Company/>
  <LinksUpToDate>false</LinksUpToDate>
  <CharactersWithSpaces>20529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2023-10-23T04:11:00Z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