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spacing w:before="140" w:line="221" w:lineRule="auto"/>
        <w:ind w:left="3665"/>
        <w:rPr>
          <w:rFonts w:ascii="黑体" w:eastAsia="黑体" w:hAnsi="黑体" w:cs="黑体"/>
          <w:sz w:val="43"/>
          <w:szCs w:val="43"/>
        </w:rPr>
      </w:pPr>
      <w:bookmarkStart w:id="0" w:name="_GoBack"/>
      <w:bookmarkEnd w:id="0"/>
      <w:r>
        <w:rPr>
          <w:rFonts w:ascii="黑体" w:eastAsia="黑体" w:hAnsi="黑体" w:cs="黑体"/>
          <w:spacing w:val="-12"/>
          <w:sz w:val="43"/>
          <w:szCs w:val="43"/>
        </w:rPr>
        <w:t>造价咨询成果质量控制流程单</w:t>
      </w:r>
    </w:p>
    <w:p>
      <w:pPr>
        <w:spacing w:line="283" w:lineRule="auto"/>
      </w:pPr>
    </w:p>
    <w:p>
      <w:pPr>
        <w:spacing w:before="140" w:line="221" w:lineRule="auto"/>
        <w:ind w:left="285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11"/>
          <w:sz w:val="43"/>
          <w:szCs w:val="43"/>
        </w:rPr>
        <w:t>编号：</w:t>
      </w:r>
    </w:p>
    <w:p>
      <w:pPr>
        <w:spacing w:before="195"/>
      </w:pPr>
    </w:p>
    <w:tbl>
      <w:tblPr>
        <w:tblStyle w:val="TableNormal0"/>
        <w:tblW w:w="12789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13"/>
        <w:gridCol w:w="1729"/>
        <w:gridCol w:w="1779"/>
        <w:gridCol w:w="1768"/>
        <w:gridCol w:w="1359"/>
        <w:gridCol w:w="380"/>
        <w:gridCol w:w="1758"/>
        <w:gridCol w:w="1803"/>
      </w:tblGrid>
      <w:tr>
        <w:tblPrEx>
          <w:tblW w:w="12789" w:type="dxa"/>
          <w:tblInd w:w="5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64"/>
        </w:trPr>
        <w:tc>
          <w:tcPr>
            <w:tcW w:w="2213" w:type="dxa"/>
            <w:vAlign w:val="top"/>
          </w:tcPr>
          <w:p>
            <w:pPr>
              <w:pStyle w:val="TableText"/>
              <w:spacing w:before="201" w:line="953" w:lineRule="exact"/>
              <w:ind w:left="544"/>
              <w:rPr>
                <w:sz w:val="37"/>
                <w:szCs w:val="37"/>
              </w:rPr>
            </w:pPr>
            <w:r>
              <w:rPr>
                <w:spacing w:val="7"/>
                <w:position w:val="44"/>
                <w:sz w:val="37"/>
                <w:szCs w:val="37"/>
              </w:rPr>
              <w:t>咨询项</w:t>
            </w:r>
          </w:p>
          <w:p>
            <w:pPr>
              <w:pStyle w:val="TableText"/>
              <w:spacing w:line="221" w:lineRule="auto"/>
              <w:ind w:left="544"/>
              <w:rPr>
                <w:sz w:val="37"/>
                <w:szCs w:val="37"/>
              </w:rPr>
            </w:pPr>
            <w:r>
              <w:rPr>
                <w:spacing w:val="6"/>
                <w:sz w:val="37"/>
                <w:szCs w:val="37"/>
              </w:rPr>
              <w:t>目名称</w:t>
            </w:r>
          </w:p>
        </w:tc>
        <w:tc>
          <w:tcPr>
            <w:tcW w:w="6635" w:type="dxa"/>
            <w:gridSpan w:val="4"/>
            <w:vAlign w:val="top"/>
          </w:tcPr>
          <w:p/>
        </w:tc>
        <w:tc>
          <w:tcPr>
            <w:tcW w:w="2138" w:type="dxa"/>
            <w:gridSpan w:val="2"/>
            <w:vAlign w:val="top"/>
          </w:tcPr>
          <w:p>
            <w:pPr>
              <w:spacing w:line="318" w:lineRule="auto"/>
            </w:pPr>
          </w:p>
          <w:p>
            <w:pPr>
              <w:spacing w:line="318" w:lineRule="auto"/>
            </w:pPr>
          </w:p>
          <w:p>
            <w:pPr>
              <w:pStyle w:val="TableText"/>
              <w:spacing w:before="120" w:line="219" w:lineRule="auto"/>
              <w:ind w:left="327"/>
              <w:rPr>
                <w:sz w:val="37"/>
                <w:szCs w:val="37"/>
              </w:rPr>
            </w:pPr>
            <w:r>
              <w:rPr>
                <w:spacing w:val="7"/>
                <w:sz w:val="37"/>
                <w:szCs w:val="37"/>
              </w:rPr>
              <w:t>咨询类别</w:t>
            </w:r>
          </w:p>
        </w:tc>
        <w:tc>
          <w:tcPr>
            <w:tcW w:w="1803" w:type="dxa"/>
            <w:vAlign w:val="top"/>
          </w:tcPr>
          <w:p/>
        </w:tc>
      </w:tr>
      <w:tr>
        <w:tblPrEx>
          <w:tblW w:w="127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59"/>
        </w:trPr>
        <w:tc>
          <w:tcPr>
            <w:tcW w:w="2213" w:type="dxa"/>
            <w:vAlign w:val="top"/>
          </w:tcPr>
          <w:p>
            <w:pPr>
              <w:pStyle w:val="TableText"/>
              <w:spacing w:before="218" w:line="969" w:lineRule="exact"/>
              <w:ind w:left="724"/>
              <w:rPr>
                <w:sz w:val="37"/>
                <w:szCs w:val="37"/>
              </w:rPr>
            </w:pPr>
            <w:r>
              <w:rPr>
                <w:spacing w:val="7"/>
                <w:position w:val="46"/>
                <w:sz w:val="37"/>
                <w:szCs w:val="37"/>
              </w:rPr>
              <w:t>委托</w:t>
            </w:r>
          </w:p>
          <w:p>
            <w:pPr>
              <w:pStyle w:val="TableText"/>
              <w:spacing w:line="220" w:lineRule="auto"/>
              <w:ind w:left="724"/>
              <w:rPr>
                <w:sz w:val="37"/>
                <w:szCs w:val="37"/>
              </w:rPr>
            </w:pPr>
            <w:r>
              <w:rPr>
                <w:spacing w:val="7"/>
                <w:sz w:val="37"/>
                <w:szCs w:val="37"/>
              </w:rPr>
              <w:t>单位</w:t>
            </w:r>
          </w:p>
        </w:tc>
        <w:tc>
          <w:tcPr>
            <w:tcW w:w="6635" w:type="dxa"/>
            <w:gridSpan w:val="4"/>
            <w:vAlign w:val="top"/>
          </w:tcPr>
          <w:p/>
        </w:tc>
        <w:tc>
          <w:tcPr>
            <w:tcW w:w="2138" w:type="dxa"/>
            <w:gridSpan w:val="2"/>
            <w:vAlign w:val="top"/>
          </w:tcPr>
          <w:p>
            <w:pPr>
              <w:spacing w:line="316" w:lineRule="auto"/>
            </w:pPr>
          </w:p>
          <w:p>
            <w:pPr>
              <w:spacing w:line="316" w:lineRule="auto"/>
            </w:pPr>
          </w:p>
          <w:p>
            <w:pPr>
              <w:pStyle w:val="TableText"/>
              <w:spacing w:before="120" w:line="219" w:lineRule="auto"/>
              <w:ind w:left="327"/>
              <w:rPr>
                <w:sz w:val="37"/>
                <w:szCs w:val="37"/>
              </w:rPr>
            </w:pPr>
            <w:r>
              <w:rPr>
                <w:spacing w:val="5"/>
                <w:sz w:val="37"/>
                <w:szCs w:val="37"/>
              </w:rPr>
              <w:t>合同编号</w:t>
            </w:r>
          </w:p>
        </w:tc>
        <w:tc>
          <w:tcPr>
            <w:tcW w:w="1803" w:type="dxa"/>
            <w:vAlign w:val="top"/>
          </w:tcPr>
          <w:p/>
        </w:tc>
      </w:tr>
      <w:tr>
        <w:tblPrEx>
          <w:tblW w:w="127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9"/>
        </w:trPr>
        <w:tc>
          <w:tcPr>
            <w:tcW w:w="2213" w:type="dxa"/>
            <w:vAlign w:val="top"/>
          </w:tcPr>
          <w:p>
            <w:pPr>
              <w:spacing w:line="327" w:lineRule="auto"/>
            </w:pPr>
          </w:p>
          <w:p>
            <w:pPr>
              <w:spacing w:line="327" w:lineRule="auto"/>
            </w:pPr>
          </w:p>
          <w:p>
            <w:pPr>
              <w:pStyle w:val="TableText"/>
              <w:spacing w:before="120" w:line="220" w:lineRule="auto"/>
              <w:ind w:left="175"/>
              <w:rPr>
                <w:sz w:val="37"/>
                <w:szCs w:val="37"/>
              </w:rPr>
            </w:pPr>
            <w:r>
              <w:rPr>
                <w:spacing w:val="4"/>
                <w:sz w:val="37"/>
                <w:szCs w:val="37"/>
              </w:rPr>
              <w:t>约定作业期</w:t>
            </w:r>
          </w:p>
        </w:tc>
        <w:tc>
          <w:tcPr>
            <w:tcW w:w="6635" w:type="dxa"/>
            <w:gridSpan w:val="4"/>
            <w:vAlign w:val="top"/>
          </w:tcPr>
          <w:p>
            <w:pPr>
              <w:spacing w:line="326" w:lineRule="auto"/>
            </w:pPr>
          </w:p>
          <w:p>
            <w:pPr>
              <w:spacing w:line="327" w:lineRule="auto"/>
            </w:pPr>
          </w:p>
          <w:p>
            <w:pPr>
              <w:pStyle w:val="TableText"/>
              <w:spacing w:before="120" w:line="219" w:lineRule="auto"/>
              <w:ind w:left="431"/>
              <w:rPr>
                <w:sz w:val="37"/>
                <w:szCs w:val="37"/>
              </w:rPr>
            </w:pPr>
            <w:r>
              <w:rPr>
                <w:spacing w:val="-22"/>
                <w:sz w:val="37"/>
                <w:szCs w:val="37"/>
              </w:rPr>
              <w:t>年</w:t>
            </w:r>
            <w:r>
              <w:rPr>
                <w:spacing w:val="17"/>
                <w:sz w:val="37"/>
                <w:szCs w:val="37"/>
              </w:rPr>
              <w:t xml:space="preserve">  </w:t>
            </w:r>
            <w:r>
              <w:rPr>
                <w:spacing w:val="-22"/>
                <w:sz w:val="37"/>
                <w:szCs w:val="37"/>
              </w:rPr>
              <w:t>月</w:t>
            </w:r>
            <w:r>
              <w:rPr>
                <w:spacing w:val="31"/>
                <w:sz w:val="37"/>
                <w:szCs w:val="37"/>
              </w:rPr>
              <w:t xml:space="preserve">   </w:t>
            </w:r>
            <w:r>
              <w:rPr>
                <w:spacing w:val="-22"/>
                <w:sz w:val="37"/>
                <w:szCs w:val="37"/>
              </w:rPr>
              <w:t>日至</w:t>
            </w:r>
            <w:r>
              <w:rPr>
                <w:spacing w:val="13"/>
                <w:sz w:val="37"/>
                <w:szCs w:val="37"/>
              </w:rPr>
              <w:t xml:space="preserve">  </w:t>
            </w:r>
            <w:r>
              <w:rPr>
                <w:spacing w:val="-22"/>
                <w:sz w:val="37"/>
                <w:szCs w:val="37"/>
              </w:rPr>
              <w:t>年</w:t>
            </w:r>
            <w:r>
              <w:rPr>
                <w:spacing w:val="13"/>
                <w:sz w:val="37"/>
                <w:szCs w:val="37"/>
              </w:rPr>
              <w:t xml:space="preserve">   </w:t>
            </w:r>
            <w:r>
              <w:rPr>
                <w:spacing w:val="-22"/>
                <w:sz w:val="37"/>
                <w:szCs w:val="37"/>
              </w:rPr>
              <w:t>月</w:t>
            </w:r>
            <w:r>
              <w:rPr>
                <w:spacing w:val="20"/>
                <w:sz w:val="37"/>
                <w:szCs w:val="37"/>
              </w:rPr>
              <w:t xml:space="preserve">     </w:t>
            </w:r>
            <w:r>
              <w:rPr>
                <w:spacing w:val="-22"/>
                <w:sz w:val="37"/>
                <w:szCs w:val="37"/>
              </w:rPr>
              <w:t>日</w:t>
            </w:r>
          </w:p>
        </w:tc>
        <w:tc>
          <w:tcPr>
            <w:tcW w:w="2138" w:type="dxa"/>
            <w:gridSpan w:val="2"/>
            <w:vAlign w:val="top"/>
          </w:tcPr>
          <w:p>
            <w:pPr>
              <w:pStyle w:val="TableText"/>
              <w:spacing w:before="258" w:line="948" w:lineRule="exact"/>
              <w:ind w:left="696"/>
              <w:rPr>
                <w:sz w:val="37"/>
                <w:szCs w:val="37"/>
              </w:rPr>
            </w:pPr>
            <w:r>
              <w:rPr>
                <w:spacing w:val="-10"/>
                <w:position w:val="44"/>
                <w:sz w:val="37"/>
                <w:szCs w:val="37"/>
              </w:rPr>
              <w:t>项 目</w:t>
            </w:r>
          </w:p>
          <w:p>
            <w:pPr>
              <w:pStyle w:val="TableText"/>
              <w:spacing w:line="219" w:lineRule="auto"/>
              <w:ind w:left="506"/>
              <w:rPr>
                <w:sz w:val="37"/>
                <w:szCs w:val="37"/>
              </w:rPr>
            </w:pPr>
            <w:r>
              <w:rPr>
                <w:spacing w:val="5"/>
                <w:sz w:val="37"/>
                <w:szCs w:val="37"/>
              </w:rPr>
              <w:t>负责人</w:t>
            </w:r>
          </w:p>
        </w:tc>
        <w:tc>
          <w:tcPr>
            <w:tcW w:w="1803" w:type="dxa"/>
            <w:vAlign w:val="top"/>
          </w:tcPr>
          <w:p/>
        </w:tc>
      </w:tr>
      <w:tr>
        <w:tblPrEx>
          <w:tblW w:w="127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/>
        </w:trPr>
        <w:tc>
          <w:tcPr>
            <w:tcW w:w="2213" w:type="dxa"/>
            <w:vMerge w:val="restart"/>
            <w:tcBorders>
              <w:bottom w:val="nil"/>
            </w:tcBorders>
            <w:vAlign w:val="top"/>
          </w:tcPr>
          <w:p>
            <w:pPr>
              <w:spacing w:line="280" w:lineRule="auto"/>
            </w:pPr>
          </w:p>
          <w:p>
            <w:pPr>
              <w:spacing w:line="280" w:lineRule="auto"/>
            </w:pPr>
          </w:p>
          <w:p>
            <w:pPr>
              <w:spacing w:line="281" w:lineRule="auto"/>
            </w:pPr>
          </w:p>
          <w:p>
            <w:pPr>
              <w:spacing w:line="281" w:lineRule="auto"/>
            </w:pPr>
          </w:p>
          <w:p>
            <w:pPr>
              <w:pStyle w:val="TableText"/>
              <w:spacing w:before="120" w:line="220" w:lineRule="auto"/>
              <w:ind w:left="175"/>
              <w:rPr>
                <w:sz w:val="37"/>
                <w:szCs w:val="37"/>
              </w:rPr>
            </w:pPr>
            <w:r>
              <w:rPr>
                <w:spacing w:val="10"/>
                <w:sz w:val="37"/>
                <w:szCs w:val="37"/>
              </w:rPr>
              <w:t>专业咨询员</w:t>
            </w:r>
          </w:p>
        </w:tc>
        <w:tc>
          <w:tcPr>
            <w:tcW w:w="1729" w:type="dxa"/>
            <w:vAlign w:val="top"/>
          </w:tcPr>
          <w:p>
            <w:pPr>
              <w:pStyle w:val="TableText"/>
              <w:spacing w:before="298" w:line="219" w:lineRule="auto"/>
              <w:ind w:left="312"/>
              <w:rPr>
                <w:sz w:val="37"/>
                <w:szCs w:val="37"/>
              </w:rPr>
            </w:pPr>
            <w:r>
              <w:rPr>
                <w:spacing w:val="-8"/>
                <w:sz w:val="37"/>
                <w:szCs w:val="37"/>
              </w:rPr>
              <w:t>姓</w:t>
            </w:r>
            <w:r>
              <w:rPr>
                <w:spacing w:val="76"/>
                <w:sz w:val="37"/>
                <w:szCs w:val="37"/>
              </w:rPr>
              <w:t xml:space="preserve"> </w:t>
            </w:r>
            <w:r>
              <w:rPr>
                <w:spacing w:val="-8"/>
                <w:sz w:val="37"/>
                <w:szCs w:val="37"/>
              </w:rPr>
              <w:t>名</w:t>
            </w:r>
          </w:p>
        </w:tc>
        <w:tc>
          <w:tcPr>
            <w:tcW w:w="1779" w:type="dxa"/>
            <w:vAlign w:val="top"/>
          </w:tcPr>
          <w:p>
            <w:pPr>
              <w:pStyle w:val="TableText"/>
              <w:spacing w:before="299" w:line="220" w:lineRule="auto"/>
              <w:ind w:left="372"/>
              <w:rPr>
                <w:sz w:val="37"/>
                <w:szCs w:val="37"/>
              </w:rPr>
            </w:pPr>
            <w:r>
              <w:rPr>
                <w:spacing w:val="-8"/>
                <w:sz w:val="37"/>
                <w:szCs w:val="37"/>
              </w:rPr>
              <w:t>专</w:t>
            </w:r>
            <w:r>
              <w:rPr>
                <w:spacing w:val="5"/>
                <w:sz w:val="37"/>
                <w:szCs w:val="37"/>
              </w:rPr>
              <w:t xml:space="preserve">  </w:t>
            </w:r>
            <w:r>
              <w:rPr>
                <w:spacing w:val="-8"/>
                <w:sz w:val="37"/>
                <w:szCs w:val="37"/>
              </w:rPr>
              <w:t>业</w:t>
            </w:r>
          </w:p>
        </w:tc>
        <w:tc>
          <w:tcPr>
            <w:tcW w:w="1768" w:type="dxa"/>
            <w:vAlign w:val="top"/>
          </w:tcPr>
          <w:p>
            <w:pPr>
              <w:pStyle w:val="TableText"/>
              <w:spacing w:before="298" w:line="219" w:lineRule="auto"/>
              <w:ind w:left="323"/>
              <w:rPr>
                <w:sz w:val="37"/>
                <w:szCs w:val="37"/>
              </w:rPr>
            </w:pPr>
            <w:r>
              <w:rPr>
                <w:spacing w:val="-8"/>
                <w:sz w:val="37"/>
                <w:szCs w:val="37"/>
              </w:rPr>
              <w:t>姓</w:t>
            </w:r>
            <w:r>
              <w:rPr>
                <w:spacing w:val="40"/>
                <w:sz w:val="37"/>
                <w:szCs w:val="37"/>
              </w:rPr>
              <w:t xml:space="preserve">  </w:t>
            </w:r>
            <w:r>
              <w:rPr>
                <w:spacing w:val="-8"/>
                <w:sz w:val="37"/>
                <w:szCs w:val="37"/>
              </w:rPr>
              <w:t>名</w:t>
            </w:r>
          </w:p>
        </w:tc>
        <w:tc>
          <w:tcPr>
            <w:tcW w:w="1739" w:type="dxa"/>
            <w:gridSpan w:val="2"/>
            <w:vAlign w:val="top"/>
          </w:tcPr>
          <w:p>
            <w:pPr>
              <w:pStyle w:val="TableText"/>
              <w:spacing w:before="299" w:line="220" w:lineRule="auto"/>
              <w:ind w:left="326"/>
              <w:rPr>
                <w:sz w:val="37"/>
                <w:szCs w:val="37"/>
              </w:rPr>
            </w:pPr>
            <w:r>
              <w:rPr>
                <w:spacing w:val="-8"/>
                <w:sz w:val="37"/>
                <w:szCs w:val="37"/>
              </w:rPr>
              <w:t>专</w:t>
            </w:r>
            <w:r>
              <w:rPr>
                <w:spacing w:val="5"/>
                <w:sz w:val="37"/>
                <w:szCs w:val="37"/>
              </w:rPr>
              <w:t xml:space="preserve">  </w:t>
            </w:r>
            <w:r>
              <w:rPr>
                <w:spacing w:val="-8"/>
                <w:sz w:val="37"/>
                <w:szCs w:val="37"/>
              </w:rPr>
              <w:t>业</w:t>
            </w:r>
          </w:p>
        </w:tc>
        <w:tc>
          <w:tcPr>
            <w:tcW w:w="1758" w:type="dxa"/>
            <w:vAlign w:val="top"/>
          </w:tcPr>
          <w:p>
            <w:pPr>
              <w:pStyle w:val="TableText"/>
              <w:spacing w:before="298" w:line="219" w:lineRule="auto"/>
              <w:ind w:left="336"/>
              <w:rPr>
                <w:sz w:val="37"/>
                <w:szCs w:val="37"/>
              </w:rPr>
            </w:pPr>
            <w:r>
              <w:rPr>
                <w:spacing w:val="-8"/>
                <w:sz w:val="37"/>
                <w:szCs w:val="37"/>
              </w:rPr>
              <w:t>姓</w:t>
            </w:r>
            <w:r>
              <w:rPr>
                <w:spacing w:val="25"/>
                <w:sz w:val="37"/>
                <w:szCs w:val="37"/>
              </w:rPr>
              <w:t xml:space="preserve">  </w:t>
            </w:r>
            <w:r>
              <w:rPr>
                <w:spacing w:val="-8"/>
                <w:sz w:val="37"/>
                <w:szCs w:val="37"/>
              </w:rPr>
              <w:t>名</w:t>
            </w:r>
          </w:p>
        </w:tc>
        <w:tc>
          <w:tcPr>
            <w:tcW w:w="1803" w:type="dxa"/>
            <w:vAlign w:val="top"/>
          </w:tcPr>
          <w:p>
            <w:pPr>
              <w:pStyle w:val="TableText"/>
              <w:spacing w:before="299" w:line="220" w:lineRule="auto"/>
              <w:ind w:left="389"/>
              <w:rPr>
                <w:sz w:val="37"/>
                <w:szCs w:val="37"/>
              </w:rPr>
            </w:pPr>
            <w:r>
              <w:rPr>
                <w:spacing w:val="-8"/>
                <w:sz w:val="37"/>
                <w:szCs w:val="37"/>
              </w:rPr>
              <w:t>专</w:t>
            </w:r>
            <w:r>
              <w:rPr>
                <w:spacing w:val="5"/>
                <w:sz w:val="37"/>
                <w:szCs w:val="37"/>
              </w:rPr>
              <w:t xml:space="preserve">  </w:t>
            </w:r>
            <w:r>
              <w:rPr>
                <w:spacing w:val="-8"/>
                <w:sz w:val="37"/>
                <w:szCs w:val="37"/>
              </w:rPr>
              <w:t>业</w:t>
            </w:r>
          </w:p>
        </w:tc>
      </w:tr>
      <w:tr>
        <w:tblPrEx>
          <w:tblW w:w="127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0"/>
        </w:trPr>
        <w:tc>
          <w:tcPr>
            <w:tcW w:w="2213" w:type="dxa"/>
            <w:vMerge/>
            <w:tcBorders>
              <w:top w:val="nil"/>
              <w:bottom w:val="nil"/>
            </w:tcBorders>
            <w:vAlign w:val="top"/>
          </w:tcPr>
          <w:p/>
        </w:tc>
        <w:tc>
          <w:tcPr>
            <w:tcW w:w="1729" w:type="dxa"/>
            <w:vAlign w:val="top"/>
          </w:tcPr>
          <w:p/>
        </w:tc>
        <w:tc>
          <w:tcPr>
            <w:tcW w:w="1779" w:type="dxa"/>
            <w:vAlign w:val="top"/>
          </w:tcPr>
          <w:p/>
        </w:tc>
        <w:tc>
          <w:tcPr>
            <w:tcW w:w="1768" w:type="dxa"/>
            <w:vAlign w:val="top"/>
          </w:tcPr>
          <w:p/>
        </w:tc>
        <w:tc>
          <w:tcPr>
            <w:tcW w:w="1739" w:type="dxa"/>
            <w:gridSpan w:val="2"/>
            <w:vAlign w:val="top"/>
          </w:tcPr>
          <w:p/>
        </w:tc>
        <w:tc>
          <w:tcPr>
            <w:tcW w:w="1758" w:type="dxa"/>
            <w:vAlign w:val="top"/>
          </w:tcPr>
          <w:p/>
        </w:tc>
        <w:tc>
          <w:tcPr>
            <w:tcW w:w="1803" w:type="dxa"/>
            <w:vAlign w:val="top"/>
          </w:tcPr>
          <w:p/>
        </w:tc>
      </w:tr>
      <w:tr>
        <w:tblPrEx>
          <w:tblW w:w="127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/>
        </w:trPr>
        <w:tc>
          <w:tcPr>
            <w:tcW w:w="2213" w:type="dxa"/>
            <w:vMerge/>
            <w:tcBorders>
              <w:top w:val="nil"/>
            </w:tcBorders>
            <w:vAlign w:val="top"/>
          </w:tcPr>
          <w:p/>
        </w:tc>
        <w:tc>
          <w:tcPr>
            <w:tcW w:w="1729" w:type="dxa"/>
            <w:vAlign w:val="top"/>
          </w:tcPr>
          <w:p/>
        </w:tc>
        <w:tc>
          <w:tcPr>
            <w:tcW w:w="1779" w:type="dxa"/>
            <w:vAlign w:val="top"/>
          </w:tcPr>
          <w:p/>
        </w:tc>
        <w:tc>
          <w:tcPr>
            <w:tcW w:w="1768" w:type="dxa"/>
            <w:vAlign w:val="top"/>
          </w:tcPr>
          <w:p/>
        </w:tc>
        <w:tc>
          <w:tcPr>
            <w:tcW w:w="1739" w:type="dxa"/>
            <w:gridSpan w:val="2"/>
            <w:vAlign w:val="top"/>
          </w:tcPr>
          <w:p/>
        </w:tc>
        <w:tc>
          <w:tcPr>
            <w:tcW w:w="1758" w:type="dxa"/>
            <w:vAlign w:val="top"/>
          </w:tcPr>
          <w:p/>
        </w:tc>
        <w:tc>
          <w:tcPr>
            <w:tcW w:w="1803" w:type="dxa"/>
            <w:vAlign w:val="top"/>
          </w:tcPr>
          <w:p/>
        </w:tc>
      </w:tr>
      <w:tr>
        <w:tblPrEx>
          <w:tblW w:w="12789" w:type="dxa"/>
          <w:tblInd w:w="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0"/>
        </w:trPr>
        <w:tc>
          <w:tcPr>
            <w:tcW w:w="2213" w:type="dxa"/>
            <w:vAlign w:val="top"/>
          </w:tcPr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3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pStyle w:val="TableText"/>
              <w:spacing w:before="120" w:line="219" w:lineRule="auto"/>
              <w:ind w:left="355"/>
              <w:rPr>
                <w:sz w:val="37"/>
                <w:szCs w:val="37"/>
              </w:rPr>
            </w:pPr>
            <w:r>
              <w:rPr>
                <w:spacing w:val="4"/>
                <w:sz w:val="37"/>
                <w:szCs w:val="37"/>
              </w:rPr>
              <w:t>互校意见</w:t>
            </w:r>
          </w:p>
        </w:tc>
        <w:tc>
          <w:tcPr>
            <w:tcW w:w="10576" w:type="dxa"/>
            <w:gridSpan w:val="7"/>
            <w:vAlign w:val="top"/>
          </w:tcPr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6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pStyle w:val="TableText"/>
              <w:spacing w:before="120" w:line="901" w:lineRule="exact"/>
              <w:ind w:left="2787"/>
              <w:rPr>
                <w:sz w:val="37"/>
                <w:szCs w:val="37"/>
              </w:rPr>
            </w:pPr>
            <w:r>
              <w:rPr>
                <w:b/>
                <w:bCs/>
                <w:position w:val="40"/>
                <w:sz w:val="37"/>
                <w:szCs w:val="37"/>
              </w:rPr>
              <w:t>专业咨询员签名(并盖资格章):</w:t>
            </w:r>
          </w:p>
          <w:p>
            <w:pPr>
              <w:pStyle w:val="TableText"/>
              <w:spacing w:line="219" w:lineRule="auto"/>
              <w:ind w:left="3527"/>
              <w:rPr>
                <w:sz w:val="37"/>
                <w:szCs w:val="37"/>
              </w:rPr>
            </w:pPr>
            <w:r>
              <w:rPr>
                <w:b/>
                <w:bCs/>
                <w:spacing w:val="-26"/>
                <w:sz w:val="37"/>
                <w:szCs w:val="37"/>
              </w:rPr>
              <w:t>日期</w:t>
            </w:r>
            <w:r>
              <w:rPr>
                <w:spacing w:val="16"/>
                <w:sz w:val="37"/>
                <w:szCs w:val="37"/>
              </w:rPr>
              <w:t xml:space="preserve">    </w:t>
            </w:r>
            <w:r>
              <w:rPr>
                <w:b/>
                <w:bCs/>
                <w:spacing w:val="-26"/>
                <w:sz w:val="37"/>
                <w:szCs w:val="37"/>
              </w:rPr>
              <w:t>年</w:t>
            </w:r>
            <w:r>
              <w:rPr>
                <w:spacing w:val="28"/>
                <w:sz w:val="37"/>
                <w:szCs w:val="37"/>
              </w:rPr>
              <w:t xml:space="preserve">  </w:t>
            </w:r>
            <w:r>
              <w:rPr>
                <w:b/>
                <w:bCs/>
                <w:spacing w:val="-26"/>
                <w:sz w:val="37"/>
                <w:szCs w:val="37"/>
              </w:rPr>
              <w:t>月</w:t>
            </w:r>
            <w:r>
              <w:rPr>
                <w:spacing w:val="39"/>
                <w:sz w:val="37"/>
                <w:szCs w:val="37"/>
              </w:rPr>
              <w:t xml:space="preserve">   </w:t>
            </w:r>
            <w:r>
              <w:rPr>
                <w:b/>
                <w:bCs/>
                <w:spacing w:val="-26"/>
                <w:sz w:val="37"/>
                <w:szCs w:val="37"/>
              </w:rPr>
              <w:t>日</w:t>
            </w:r>
          </w:p>
        </w:tc>
      </w:tr>
    </w:tbl>
    <w:p/>
    <w:p>
      <w:pPr>
        <w:sectPr>
          <w:headerReference w:type="default" r:id="rId4"/>
          <w:pgSz w:w="17860" w:h="25260"/>
          <w:pgMar w:top="400" w:right="2665" w:bottom="0" w:left="2395" w:header="0" w:footer="0" w:gutter="0"/>
          <w:cols w:num="1" w:space="720"/>
        </w:sectPr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1"/>
      </w:pPr>
    </w:p>
    <w:p>
      <w:pPr>
        <w:spacing w:before="10"/>
      </w:pPr>
    </w:p>
    <w:p>
      <w:pPr>
        <w:spacing w:before="10"/>
      </w:pPr>
    </w:p>
    <w:p>
      <w:pPr>
        <w:spacing w:before="10"/>
      </w:pPr>
    </w:p>
    <w:tbl>
      <w:tblPr>
        <w:tblStyle w:val="TableNormal00"/>
        <w:tblW w:w="12769" w:type="dxa"/>
        <w:tblInd w:w="5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3"/>
        <w:gridCol w:w="10546"/>
      </w:tblGrid>
      <w:tr>
        <w:tblPrEx>
          <w:tblW w:w="12769" w:type="dxa"/>
          <w:tblInd w:w="52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9"/>
        </w:trPr>
        <w:tc>
          <w:tcPr>
            <w:tcW w:w="2223" w:type="dxa"/>
            <w:vAlign w:val="top"/>
          </w:tcPr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pStyle w:val="TableText"/>
              <w:spacing w:before="124" w:line="219" w:lineRule="auto"/>
              <w:ind w:left="350"/>
              <w:rPr>
                <w:sz w:val="38"/>
                <w:szCs w:val="38"/>
              </w:rPr>
            </w:pPr>
            <w:r>
              <w:rPr>
                <w:b/>
                <w:bCs/>
                <w:spacing w:val="-2"/>
                <w:sz w:val="38"/>
                <w:szCs w:val="38"/>
              </w:rPr>
              <w:t>复审意见</w:t>
            </w:r>
          </w:p>
        </w:tc>
        <w:tc>
          <w:tcPr>
            <w:tcW w:w="10546" w:type="dxa"/>
            <w:vAlign w:val="top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pStyle w:val="TableText"/>
              <w:spacing w:before="123" w:line="901" w:lineRule="exact"/>
              <w:ind w:left="2707"/>
              <w:rPr>
                <w:sz w:val="38"/>
                <w:szCs w:val="38"/>
              </w:rPr>
            </w:pPr>
            <w:r>
              <w:rPr>
                <w:b/>
                <w:bCs/>
                <w:position w:val="39"/>
                <w:sz w:val="38"/>
                <w:szCs w:val="38"/>
              </w:rPr>
              <w:t>项目负责人签名(并盖资格章):</w:t>
            </w:r>
          </w:p>
          <w:p>
            <w:pPr>
              <w:pStyle w:val="TableText"/>
              <w:spacing w:line="219" w:lineRule="auto"/>
              <w:ind w:left="3467"/>
              <w:rPr>
                <w:sz w:val="38"/>
                <w:szCs w:val="38"/>
              </w:rPr>
            </w:pPr>
            <w:r>
              <w:rPr>
                <w:b/>
                <w:bCs/>
                <w:spacing w:val="-26"/>
                <w:sz w:val="38"/>
                <w:szCs w:val="38"/>
              </w:rPr>
              <w:t>日期</w:t>
            </w:r>
            <w:r>
              <w:rPr>
                <w:spacing w:val="17"/>
                <w:sz w:val="38"/>
                <w:szCs w:val="38"/>
              </w:rPr>
              <w:t xml:space="preserve">    </w:t>
            </w:r>
            <w:r>
              <w:rPr>
                <w:b/>
                <w:bCs/>
                <w:spacing w:val="-26"/>
                <w:sz w:val="38"/>
                <w:szCs w:val="38"/>
              </w:rPr>
              <w:t>年</w:t>
            </w:r>
            <w:r>
              <w:rPr>
                <w:spacing w:val="28"/>
                <w:sz w:val="38"/>
                <w:szCs w:val="38"/>
              </w:rPr>
              <w:t xml:space="preserve">  </w:t>
            </w:r>
            <w:r>
              <w:rPr>
                <w:b/>
                <w:bCs/>
                <w:spacing w:val="-26"/>
                <w:sz w:val="38"/>
                <w:szCs w:val="38"/>
              </w:rPr>
              <w:t>月</w:t>
            </w:r>
            <w:r>
              <w:rPr>
                <w:spacing w:val="40"/>
                <w:sz w:val="38"/>
                <w:szCs w:val="38"/>
              </w:rPr>
              <w:t xml:space="preserve">   </w:t>
            </w:r>
            <w:r>
              <w:rPr>
                <w:b/>
                <w:bCs/>
                <w:spacing w:val="-26"/>
                <w:sz w:val="38"/>
                <w:szCs w:val="38"/>
              </w:rPr>
              <w:t>日</w:t>
            </w:r>
          </w:p>
        </w:tc>
      </w:tr>
      <w:tr>
        <w:tblPrEx>
          <w:tblW w:w="12769" w:type="dxa"/>
          <w:tblInd w:w="52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0"/>
        </w:trPr>
        <w:tc>
          <w:tcPr>
            <w:tcW w:w="2223" w:type="dxa"/>
            <w:vAlign w:val="top"/>
          </w:tcPr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4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spacing w:line="245" w:lineRule="auto"/>
            </w:pPr>
          </w:p>
          <w:p>
            <w:pPr>
              <w:pStyle w:val="TableText"/>
              <w:spacing w:before="123" w:line="219" w:lineRule="auto"/>
              <w:ind w:left="345"/>
              <w:rPr>
                <w:sz w:val="38"/>
                <w:szCs w:val="38"/>
              </w:rPr>
            </w:pPr>
            <w:r>
              <w:rPr>
                <w:spacing w:val="4"/>
                <w:sz w:val="38"/>
                <w:szCs w:val="38"/>
              </w:rPr>
              <w:t>审定意见</w:t>
            </w:r>
          </w:p>
        </w:tc>
        <w:tc>
          <w:tcPr>
            <w:tcW w:w="10546" w:type="dxa"/>
            <w:vAlign w:val="top"/>
          </w:tcPr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7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spacing w:line="248" w:lineRule="auto"/>
            </w:pPr>
          </w:p>
          <w:p>
            <w:pPr>
              <w:pStyle w:val="TableText"/>
              <w:spacing w:before="124" w:line="911" w:lineRule="exact"/>
              <w:ind w:left="2707"/>
              <w:rPr>
                <w:sz w:val="38"/>
                <w:szCs w:val="38"/>
              </w:rPr>
            </w:pPr>
            <w:r>
              <w:rPr>
                <w:b/>
                <w:bCs/>
                <w:position w:val="40"/>
                <w:sz w:val="38"/>
                <w:szCs w:val="38"/>
              </w:rPr>
              <w:t>部门负责人签名(并盖资格章):</w:t>
            </w:r>
          </w:p>
          <w:p>
            <w:pPr>
              <w:pStyle w:val="TableText"/>
              <w:spacing w:line="219" w:lineRule="auto"/>
              <w:ind w:left="3467"/>
              <w:rPr>
                <w:sz w:val="38"/>
                <w:szCs w:val="38"/>
              </w:rPr>
            </w:pPr>
            <w:r>
              <w:rPr>
                <w:b/>
                <w:bCs/>
                <w:spacing w:val="-26"/>
                <w:sz w:val="38"/>
                <w:szCs w:val="38"/>
              </w:rPr>
              <w:t>日期</w:t>
            </w:r>
            <w:r>
              <w:rPr>
                <w:spacing w:val="17"/>
                <w:sz w:val="38"/>
                <w:szCs w:val="38"/>
              </w:rPr>
              <w:t xml:space="preserve">    </w:t>
            </w:r>
            <w:r>
              <w:rPr>
                <w:b/>
                <w:bCs/>
                <w:spacing w:val="-26"/>
                <w:sz w:val="38"/>
                <w:szCs w:val="38"/>
              </w:rPr>
              <w:t>年</w:t>
            </w:r>
            <w:r>
              <w:rPr>
                <w:spacing w:val="28"/>
                <w:sz w:val="38"/>
                <w:szCs w:val="38"/>
              </w:rPr>
              <w:t xml:space="preserve">  </w:t>
            </w:r>
            <w:r>
              <w:rPr>
                <w:b/>
                <w:bCs/>
                <w:spacing w:val="-26"/>
                <w:sz w:val="38"/>
                <w:szCs w:val="38"/>
              </w:rPr>
              <w:t>月</w:t>
            </w:r>
            <w:r>
              <w:rPr>
                <w:spacing w:val="40"/>
                <w:sz w:val="38"/>
                <w:szCs w:val="38"/>
              </w:rPr>
              <w:t xml:space="preserve">   </w:t>
            </w:r>
            <w:r>
              <w:rPr>
                <w:b/>
                <w:bCs/>
                <w:spacing w:val="-26"/>
                <w:sz w:val="38"/>
                <w:szCs w:val="38"/>
              </w:rPr>
              <w:t>日</w:t>
            </w:r>
          </w:p>
        </w:tc>
      </w:tr>
    </w:tbl>
    <w:p>
      <w:pPr>
        <w:spacing w:line="313" w:lineRule="auto"/>
      </w:pPr>
    </w:p>
    <w:p>
      <w:pPr>
        <w:spacing w:line="314" w:lineRule="auto"/>
      </w:pPr>
    </w:p>
    <w:p>
      <w:pPr>
        <w:spacing w:line="314" w:lineRule="auto"/>
      </w:pPr>
    </w:p>
    <w:p>
      <w:pPr>
        <w:spacing w:before="136" w:line="222" w:lineRule="auto"/>
        <w:ind w:left="5676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b/>
          <w:bCs/>
          <w:spacing w:val="-7"/>
          <w:sz w:val="42"/>
          <w:szCs w:val="42"/>
        </w:rPr>
        <w:t>档案管理制度</w:t>
      </w:r>
    </w:p>
    <w:p>
      <w:pPr>
        <w:spacing w:before="361" w:line="222" w:lineRule="auto"/>
        <w:ind w:left="84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sz w:val="42"/>
          <w:szCs w:val="42"/>
        </w:rPr>
        <w:t>档案资料管理</w:t>
      </w:r>
    </w:p>
    <w:p>
      <w:pPr>
        <w:spacing w:before="315" w:line="365" w:lineRule="auto"/>
        <w:ind w:firstLine="84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为规范公司技术档案工作底稿的编制、复核、使用和管理，强化咨询质</w:t>
      </w:r>
      <w:r>
        <w:rPr>
          <w:rFonts w:ascii="黑体" w:eastAsia="黑体" w:hAnsi="黑体" w:cs="黑体"/>
          <w:spacing w:val="3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4"/>
          <w:sz w:val="42"/>
          <w:szCs w:val="42"/>
        </w:rPr>
        <w:t>量，降低咨询风险，促进提高整体水平，保证咨询资料的完整性、统一性、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7"/>
          <w:sz w:val="42"/>
          <w:szCs w:val="42"/>
        </w:rPr>
        <w:t>实用性，特制定本制度。</w:t>
      </w:r>
    </w:p>
    <w:p>
      <w:pPr>
        <w:spacing w:line="212" w:lineRule="auto"/>
        <w:rPr>
          <w:rFonts w:ascii="黑体" w:eastAsia="黑体" w:hAnsi="黑体" w:cs="黑体"/>
          <w:sz w:val="42"/>
          <w:szCs w:val="42"/>
        </w:rPr>
        <w:sectPr>
          <w:headerReference w:type="default" r:id="rId5"/>
          <w:pgSz w:w="17860" w:h="25260"/>
          <w:pgMar w:top="400" w:right="2156" w:bottom="0" w:left="1869" w:header="0" w:footer="0" w:gutter="0"/>
          <w:pgNumType w:start="2"/>
          <w:cols w:num="1" w:space="720"/>
        </w:sectPr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257" w:lineRule="auto"/>
      </w:pPr>
    </w:p>
    <w:p>
      <w:pPr>
        <w:spacing w:line="258" w:lineRule="auto"/>
      </w:pPr>
    </w:p>
    <w:p>
      <w:pPr>
        <w:spacing w:before="137" w:line="223" w:lineRule="auto"/>
        <w:ind w:left="99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5"/>
          <w:sz w:val="42"/>
          <w:szCs w:val="42"/>
        </w:rPr>
        <w:t>(1)档案的归档与管理</w:t>
      </w:r>
    </w:p>
    <w:p>
      <w:pPr>
        <w:spacing w:before="329" w:line="810" w:lineRule="exact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7"/>
          <w:position w:val="29"/>
          <w:sz w:val="42"/>
          <w:szCs w:val="42"/>
        </w:rPr>
        <w:t>1)公司的归档资料实行“项目归档”制度，每个项目完成后</w:t>
      </w:r>
      <w:r>
        <w:rPr>
          <w:rFonts w:ascii="黑体" w:eastAsia="黑体" w:hAnsi="黑体" w:cs="黑体"/>
          <w:spacing w:val="6"/>
          <w:position w:val="29"/>
          <w:sz w:val="42"/>
          <w:szCs w:val="42"/>
        </w:rPr>
        <w:t>及时进行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"/>
          <w:sz w:val="42"/>
          <w:szCs w:val="42"/>
        </w:rPr>
        <w:t>资料的归档工作；</w:t>
      </w:r>
    </w:p>
    <w:p>
      <w:pPr>
        <w:spacing w:before="365" w:line="820" w:lineRule="exact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7"/>
          <w:position w:val="30"/>
          <w:sz w:val="42"/>
          <w:szCs w:val="42"/>
        </w:rPr>
        <w:t>2)每个工程项目文档都要进行编号处理，并按文件类型再分成若</w:t>
      </w:r>
      <w:r>
        <w:rPr>
          <w:rFonts w:ascii="黑体" w:eastAsia="黑体" w:hAnsi="黑体" w:cs="黑体"/>
          <w:spacing w:val="6"/>
          <w:position w:val="30"/>
          <w:sz w:val="42"/>
          <w:szCs w:val="42"/>
        </w:rPr>
        <w:t>干个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"/>
          <w:sz w:val="42"/>
          <w:szCs w:val="42"/>
        </w:rPr>
        <w:t>子项以便查找；</w:t>
      </w:r>
    </w:p>
    <w:p>
      <w:pPr>
        <w:spacing w:before="375" w:line="828" w:lineRule="exact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7"/>
          <w:position w:val="31"/>
          <w:sz w:val="42"/>
          <w:szCs w:val="42"/>
        </w:rPr>
        <w:t>3)各部门专用的收、发文件资料，按文件的密级确定是否归</w:t>
      </w:r>
      <w:r>
        <w:rPr>
          <w:rFonts w:ascii="黑体" w:eastAsia="黑体" w:hAnsi="黑体" w:cs="黑体"/>
          <w:spacing w:val="6"/>
          <w:position w:val="31"/>
          <w:sz w:val="42"/>
          <w:szCs w:val="42"/>
        </w:rPr>
        <w:t>档。凡机</w:t>
      </w:r>
    </w:p>
    <w:p>
      <w:pPr>
        <w:spacing w:before="2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密以上级的文件必须把原件放入档案室。</w:t>
      </w:r>
    </w:p>
    <w:p>
      <w:pPr>
        <w:spacing w:before="320" w:line="213" w:lineRule="auto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4"/>
          <w:sz w:val="42"/>
          <w:szCs w:val="42"/>
        </w:rPr>
        <w:t>4)凡应该及时归档的资料，由档案管理员负责及时归档。</w:t>
      </w:r>
    </w:p>
    <w:p>
      <w:pPr>
        <w:spacing w:line="245" w:lineRule="auto"/>
      </w:pPr>
    </w:p>
    <w:p>
      <w:pPr>
        <w:spacing w:before="136" w:line="365" w:lineRule="auto"/>
        <w:ind w:right="205" w:firstLine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6"/>
          <w:sz w:val="42"/>
          <w:szCs w:val="42"/>
        </w:rPr>
        <w:t>5)档案管理员根据公司的《档案管理制度》实施档案归档整理。档案</w:t>
      </w:r>
      <w:r>
        <w:rPr>
          <w:rFonts w:ascii="黑体" w:eastAsia="黑体" w:hAnsi="黑体" w:cs="黑体"/>
          <w:spacing w:val="10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管理员职责：保证公司及各部门的原始资料齐全完整、安全保密和使用方</w:t>
      </w:r>
    </w:p>
    <w:p>
      <w:pPr>
        <w:spacing w:before="2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便。</w:t>
      </w:r>
    </w:p>
    <w:p>
      <w:pPr>
        <w:spacing w:before="371" w:line="222" w:lineRule="auto"/>
        <w:ind w:left="99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8"/>
          <w:sz w:val="42"/>
          <w:szCs w:val="42"/>
        </w:rPr>
        <w:t>(2)档案的收集及移交</w:t>
      </w:r>
    </w:p>
    <w:p>
      <w:pPr>
        <w:spacing w:before="316" w:line="367" w:lineRule="auto"/>
        <w:ind w:right="1" w:firstLine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工程造价咨询档案原则上由项目负责人负责整理归档，项目负责人必须</w:t>
      </w:r>
      <w:r>
        <w:rPr>
          <w:rFonts w:ascii="黑体" w:eastAsia="黑体" w:hAnsi="黑体" w:cs="黑体"/>
          <w:spacing w:val="11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7"/>
          <w:sz w:val="42"/>
          <w:szCs w:val="42"/>
        </w:rPr>
        <w:t xml:space="preserve">在咨询报告出具后30日内将完整的档案资料移交档案室；公司专职档案管 </w:t>
      </w:r>
      <w:r>
        <w:rPr>
          <w:rFonts w:ascii="黑体" w:eastAsia="黑体" w:hAnsi="黑体" w:cs="黑体"/>
          <w:spacing w:val="-1"/>
          <w:sz w:val="42"/>
          <w:szCs w:val="42"/>
        </w:rPr>
        <w:t>理员负责造价咨询档案的接收、装订立卷、保管、提供查阅等工作，档案管</w:t>
      </w:r>
      <w:r>
        <w:rPr>
          <w:rFonts w:ascii="黑体" w:eastAsia="黑体" w:hAnsi="黑体" w:cs="黑体"/>
          <w:spacing w:val="17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4"/>
          <w:sz w:val="42"/>
          <w:szCs w:val="42"/>
        </w:rPr>
        <w:t>理人员必须在档案移交后90</w:t>
      </w:r>
      <w:r>
        <w:rPr>
          <w:rFonts w:ascii="黑体" w:eastAsia="黑体" w:hAnsi="黑体" w:cs="黑体"/>
          <w:spacing w:val="81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4"/>
          <w:sz w:val="42"/>
          <w:szCs w:val="42"/>
        </w:rPr>
        <w:t>日内将档案装订归档，并</w:t>
      </w:r>
      <w:r>
        <w:rPr>
          <w:rFonts w:ascii="黑体" w:eastAsia="黑体" w:hAnsi="黑体" w:cs="黑体"/>
          <w:spacing w:val="3"/>
          <w:sz w:val="42"/>
          <w:szCs w:val="42"/>
        </w:rPr>
        <w:t>保证归档后档案的完</w:t>
      </w:r>
    </w:p>
    <w:p>
      <w:pPr>
        <w:spacing w:line="223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1"/>
          <w:sz w:val="42"/>
          <w:szCs w:val="42"/>
        </w:rPr>
        <w:t>整、安全。</w:t>
      </w:r>
    </w:p>
    <w:p>
      <w:pPr>
        <w:spacing w:before="359" w:line="222" w:lineRule="auto"/>
        <w:ind w:left="99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39"/>
          <w:sz w:val="42"/>
          <w:szCs w:val="42"/>
        </w:rPr>
        <w:t>(3)档案的保存</w:t>
      </w:r>
    </w:p>
    <w:p>
      <w:pPr>
        <w:spacing w:before="346" w:line="820" w:lineRule="exact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position w:val="30"/>
          <w:sz w:val="42"/>
          <w:szCs w:val="42"/>
        </w:rPr>
        <w:t>项目负责人在交付存档资料时要保证各种资料齐全，归档时填写资料清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单及页数，工程量计算书要求加封面，并分类装订完好，资料完整方能存</w:t>
      </w:r>
    </w:p>
    <w:p>
      <w:pPr>
        <w:spacing w:before="354" w:line="221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档。各种类型项目存档资料要求如下：</w:t>
      </w:r>
    </w:p>
    <w:p>
      <w:pPr>
        <w:spacing w:before="357" w:line="221" w:lineRule="auto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14"/>
          <w:sz w:val="42"/>
          <w:szCs w:val="42"/>
        </w:rPr>
        <w:t>1)工程标底、清单编制存档资料：</w:t>
      </w:r>
    </w:p>
    <w:p>
      <w:pPr>
        <w:spacing w:before="329" w:line="213" w:lineRule="auto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①存档资料目录；</w:t>
      </w:r>
    </w:p>
    <w:p>
      <w:pPr>
        <w:spacing w:before="372" w:line="220" w:lineRule="auto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12"/>
          <w:sz w:val="42"/>
          <w:szCs w:val="42"/>
        </w:rPr>
        <w:t>②工作总结(业务范围、完成时间、参加人员等);</w:t>
      </w:r>
    </w:p>
    <w:p>
      <w:pPr>
        <w:spacing w:line="220" w:lineRule="auto"/>
        <w:rPr>
          <w:rFonts w:ascii="黑体" w:eastAsia="黑体" w:hAnsi="黑体" w:cs="黑体"/>
          <w:sz w:val="42"/>
          <w:szCs w:val="42"/>
        </w:rPr>
        <w:sectPr>
          <w:headerReference w:type="default" r:id="rId6"/>
          <w:pgSz w:w="17860" w:h="25260"/>
          <w:pgMar w:top="400" w:right="2146" w:bottom="0" w:left="1839" w:header="0" w:footer="0" w:gutter="0"/>
          <w:pgNumType w:start="3"/>
          <w:cols w:num="1" w:space="720"/>
        </w:sectPr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before="140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12"/>
          <w:sz w:val="43"/>
          <w:szCs w:val="43"/>
        </w:rPr>
        <w:t>③工程造价(标底、清单)编制委托合同；</w:t>
      </w:r>
    </w:p>
    <w:p>
      <w:pPr>
        <w:spacing w:before="370" w:line="842" w:lineRule="exact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4"/>
          <w:position w:val="30"/>
          <w:sz w:val="43"/>
          <w:szCs w:val="43"/>
        </w:rPr>
        <w:t>④委托方交付的资料：建设方提供的招标文件、答疑文件(除图纸</w:t>
      </w:r>
    </w:p>
    <w:p>
      <w:pPr>
        <w:spacing w:line="225" w:lineRule="auto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44"/>
          <w:sz w:val="43"/>
          <w:szCs w:val="43"/>
        </w:rPr>
        <w:t>外);</w:t>
      </w:r>
    </w:p>
    <w:p>
      <w:pPr>
        <w:spacing w:before="314" w:line="220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20"/>
          <w:sz w:val="43"/>
          <w:szCs w:val="43"/>
        </w:rPr>
        <w:t>⑤成果文件：工程(概)预算书(电子版及纸质版);</w:t>
      </w:r>
    </w:p>
    <w:p>
      <w:pPr>
        <w:spacing w:before="320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7"/>
          <w:sz w:val="43"/>
          <w:szCs w:val="43"/>
        </w:rPr>
        <w:t>⑥三级复核表；</w:t>
      </w:r>
    </w:p>
    <w:p>
      <w:pPr>
        <w:spacing w:before="351" w:line="220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9"/>
          <w:sz w:val="43"/>
          <w:szCs w:val="43"/>
        </w:rPr>
        <w:t>⑦工程量计算书(电子版及手稿);</w:t>
      </w:r>
    </w:p>
    <w:p>
      <w:pPr>
        <w:spacing w:before="337" w:line="220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22"/>
          <w:sz w:val="43"/>
          <w:szCs w:val="43"/>
        </w:rPr>
        <w:t>⑧委托方评价意见。</w:t>
      </w:r>
    </w:p>
    <w:p>
      <w:pPr>
        <w:spacing w:before="290" w:line="222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21"/>
          <w:sz w:val="43"/>
          <w:szCs w:val="43"/>
        </w:rPr>
        <w:t>2)工程造价审核：</w:t>
      </w:r>
    </w:p>
    <w:p>
      <w:pPr>
        <w:spacing w:before="344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8"/>
          <w:sz w:val="43"/>
          <w:szCs w:val="43"/>
        </w:rPr>
        <w:t>①存档资料目录；</w:t>
      </w:r>
    </w:p>
    <w:p>
      <w:pPr>
        <w:spacing w:before="351" w:line="220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3"/>
          <w:sz w:val="43"/>
          <w:szCs w:val="43"/>
        </w:rPr>
        <w:t>②工作总结(业务范围、完成时间、参加人员等);</w:t>
      </w:r>
    </w:p>
    <w:p>
      <w:pPr>
        <w:spacing w:before="310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10"/>
          <w:sz w:val="43"/>
          <w:szCs w:val="43"/>
        </w:rPr>
        <w:t>③工程造价审核委托合同；</w:t>
      </w:r>
    </w:p>
    <w:p>
      <w:pPr>
        <w:spacing w:before="361" w:line="833" w:lineRule="exact"/>
        <w:jc w:val="right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9"/>
          <w:position w:val="29"/>
          <w:sz w:val="43"/>
          <w:szCs w:val="43"/>
        </w:rPr>
        <w:t>④成果文件：审核报告、定案表、单位工程预(结)算书(电子版及纸</w:t>
      </w:r>
    </w:p>
    <w:p>
      <w:pPr>
        <w:spacing w:before="2" w:line="221" w:lineRule="auto"/>
        <w:ind w:left="4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25"/>
          <w:sz w:val="43"/>
          <w:szCs w:val="43"/>
        </w:rPr>
        <w:t>质版);</w:t>
      </w:r>
    </w:p>
    <w:p>
      <w:pPr>
        <w:spacing w:before="303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9"/>
          <w:sz w:val="43"/>
          <w:szCs w:val="43"/>
        </w:rPr>
        <w:t>⑤计算书底稿、工程量确认单；</w:t>
      </w:r>
    </w:p>
    <w:p>
      <w:pPr>
        <w:spacing w:before="361" w:line="823" w:lineRule="exact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12"/>
          <w:position w:val="28"/>
          <w:sz w:val="43"/>
          <w:szCs w:val="43"/>
        </w:rPr>
        <w:t>⑥委托方交付的相关资料：施工合同及补充协议、经济签证、变更资</w:t>
      </w:r>
    </w:p>
    <w:p>
      <w:pPr>
        <w:spacing w:before="2" w:line="212" w:lineRule="auto"/>
        <w:ind w:left="4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13"/>
          <w:sz w:val="43"/>
          <w:szCs w:val="43"/>
        </w:rPr>
        <w:t>料、洽商记录、对方报送预(结)算书等；</w:t>
      </w:r>
    </w:p>
    <w:p>
      <w:pPr>
        <w:spacing w:before="364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5"/>
          <w:sz w:val="43"/>
          <w:szCs w:val="43"/>
        </w:rPr>
        <w:t>⑦三级复核表；</w:t>
      </w:r>
    </w:p>
    <w:p>
      <w:pPr>
        <w:spacing w:before="332" w:line="220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20"/>
          <w:sz w:val="43"/>
          <w:szCs w:val="43"/>
        </w:rPr>
        <w:t>⑧委托方评价意见。</w:t>
      </w:r>
    </w:p>
    <w:p>
      <w:pPr>
        <w:spacing w:before="310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9"/>
          <w:sz w:val="43"/>
          <w:szCs w:val="43"/>
        </w:rPr>
        <w:t>3)工程造价过程控制(根据项目要求，统一编号，分</w:t>
      </w:r>
      <w:r>
        <w:rPr>
          <w:rFonts w:ascii="黑体" w:eastAsia="黑体" w:hAnsi="黑体" w:cs="黑体"/>
          <w:spacing w:val="8"/>
          <w:sz w:val="43"/>
          <w:szCs w:val="43"/>
        </w:rPr>
        <w:t>批存档):</w:t>
      </w:r>
    </w:p>
    <w:p>
      <w:pPr>
        <w:spacing w:before="354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8"/>
          <w:sz w:val="43"/>
          <w:szCs w:val="43"/>
        </w:rPr>
        <w:t>①存档资料目录；</w:t>
      </w:r>
    </w:p>
    <w:p>
      <w:pPr>
        <w:spacing w:before="361" w:line="220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3"/>
          <w:sz w:val="43"/>
          <w:szCs w:val="43"/>
        </w:rPr>
        <w:t>②工作总结(业务范围、完成时间、参加人员等);</w:t>
      </w:r>
    </w:p>
    <w:p>
      <w:pPr>
        <w:spacing w:before="327" w:line="220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15"/>
          <w:sz w:val="43"/>
          <w:szCs w:val="43"/>
        </w:rPr>
        <w:t>③审核付款定案表、单位工程预(结)算书(</w:t>
      </w:r>
      <w:r>
        <w:rPr>
          <w:rFonts w:ascii="黑体" w:eastAsia="黑体" w:hAnsi="黑体" w:cs="黑体"/>
          <w:spacing w:val="14"/>
          <w:sz w:val="43"/>
          <w:szCs w:val="43"/>
        </w:rPr>
        <w:t>电子版及纸质版);</w:t>
      </w:r>
    </w:p>
    <w:p>
      <w:pPr>
        <w:spacing w:before="318" w:line="220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12"/>
          <w:sz w:val="43"/>
          <w:szCs w:val="43"/>
        </w:rPr>
        <w:t>④最终审批支付单(尽可能);</w:t>
      </w:r>
    </w:p>
    <w:p>
      <w:pPr>
        <w:spacing w:before="330" w:line="213" w:lineRule="auto"/>
        <w:ind w:left="87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10"/>
          <w:sz w:val="43"/>
          <w:szCs w:val="43"/>
        </w:rPr>
        <w:t>⑤计算书底稿、工程量确认单；</w:t>
      </w:r>
    </w:p>
    <w:p>
      <w:pPr>
        <w:spacing w:line="213" w:lineRule="auto"/>
        <w:rPr>
          <w:rFonts w:ascii="黑体" w:eastAsia="黑体" w:hAnsi="黑体" w:cs="黑体"/>
          <w:sz w:val="43"/>
          <w:szCs w:val="43"/>
        </w:rPr>
        <w:sectPr>
          <w:headerReference w:type="default" r:id="rId7"/>
          <w:pgSz w:w="17860" w:h="25260"/>
          <w:pgMar w:top="400" w:right="2201" w:bottom="0" w:left="1819" w:header="0" w:footer="0" w:gutter="0"/>
          <w:pgNumType w:start="4"/>
          <w:cols w:num="1" w:space="720"/>
        </w:sectPr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before="140" w:line="803" w:lineRule="exact"/>
        <w:ind w:left="83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12"/>
          <w:position w:val="27"/>
          <w:sz w:val="43"/>
          <w:szCs w:val="43"/>
        </w:rPr>
        <w:t>⑥委托方交付的相关资料：施工合同及补充协议、经济签证、变更资</w:t>
      </w:r>
    </w:p>
    <w:p>
      <w:pPr>
        <w:spacing w:before="2" w:line="212" w:lineRule="auto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9"/>
          <w:sz w:val="43"/>
          <w:szCs w:val="43"/>
        </w:rPr>
        <w:t>料、洽商记录、对方报送结算书等；</w:t>
      </w:r>
    </w:p>
    <w:p/>
    <w:p>
      <w:pPr>
        <w:spacing w:before="139" w:line="220" w:lineRule="auto"/>
        <w:ind w:left="83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24"/>
          <w:sz w:val="43"/>
          <w:szCs w:val="43"/>
        </w:rPr>
        <w:t>⑦三级复核表。</w:t>
      </w:r>
    </w:p>
    <w:p>
      <w:pPr>
        <w:spacing w:before="319" w:line="222" w:lineRule="auto"/>
        <w:ind w:left="83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24"/>
          <w:sz w:val="43"/>
          <w:szCs w:val="43"/>
        </w:rPr>
        <w:t>4)文件成果要求</w:t>
      </w:r>
    </w:p>
    <w:p>
      <w:pPr>
        <w:spacing w:before="343" w:line="213" w:lineRule="auto"/>
        <w:ind w:left="830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-21"/>
          <w:sz w:val="41"/>
          <w:szCs w:val="41"/>
        </w:rPr>
        <w:t>① 外封面；</w:t>
      </w:r>
    </w:p>
    <w:p>
      <w:pPr>
        <w:spacing w:before="354" w:line="822" w:lineRule="exact"/>
        <w:ind w:left="83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4"/>
          <w:position w:val="28"/>
          <w:sz w:val="43"/>
          <w:szCs w:val="43"/>
        </w:rPr>
        <w:t>②内封面(要求有工程名称、建设单位、设计单位、编制单位、编制</w:t>
      </w:r>
    </w:p>
    <w:p>
      <w:pPr>
        <w:spacing w:before="2" w:line="220" w:lineRule="auto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5"/>
          <w:sz w:val="43"/>
          <w:szCs w:val="43"/>
        </w:rPr>
        <w:t>人、审核人、编制时间、文件成果编号等);</w:t>
      </w:r>
    </w:p>
    <w:p>
      <w:pPr>
        <w:spacing w:before="347" w:line="213" w:lineRule="auto"/>
        <w:ind w:left="830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-12"/>
          <w:sz w:val="41"/>
          <w:szCs w:val="41"/>
        </w:rPr>
        <w:t>③</w:t>
      </w:r>
      <w:r>
        <w:rPr>
          <w:rFonts w:ascii="黑体" w:eastAsia="黑体" w:hAnsi="黑体" w:cs="黑体"/>
          <w:spacing w:val="-78"/>
          <w:sz w:val="41"/>
          <w:szCs w:val="41"/>
        </w:rPr>
        <w:t xml:space="preserve"> </w:t>
      </w:r>
      <w:r>
        <w:rPr>
          <w:rFonts w:ascii="黑体" w:eastAsia="黑体" w:hAnsi="黑体" w:cs="黑体"/>
          <w:spacing w:val="-12"/>
          <w:sz w:val="41"/>
          <w:szCs w:val="41"/>
        </w:rPr>
        <w:t>汇总表；</w:t>
      </w:r>
    </w:p>
    <w:p>
      <w:pPr>
        <w:spacing w:line="242" w:lineRule="auto"/>
      </w:pPr>
    </w:p>
    <w:p>
      <w:pPr>
        <w:spacing w:before="134" w:line="213" w:lineRule="auto"/>
        <w:ind w:left="830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9"/>
          <w:sz w:val="41"/>
          <w:szCs w:val="41"/>
        </w:rPr>
        <w:t>④编制说明；</w:t>
      </w:r>
    </w:p>
    <w:p>
      <w:pPr>
        <w:spacing w:before="316" w:line="213" w:lineRule="auto"/>
        <w:ind w:left="83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30"/>
          <w:sz w:val="43"/>
          <w:szCs w:val="43"/>
        </w:rPr>
        <w:t>⑤各分项预(结)算书；</w:t>
      </w:r>
    </w:p>
    <w:p>
      <w:pPr>
        <w:spacing w:before="380" w:line="219" w:lineRule="auto"/>
        <w:ind w:left="83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16"/>
          <w:sz w:val="43"/>
          <w:szCs w:val="43"/>
        </w:rPr>
        <w:t>⑥单位资质证书、营业执照、造价师注册证书。</w:t>
      </w:r>
    </w:p>
    <w:p>
      <w:pPr>
        <w:spacing w:before="347" w:line="223" w:lineRule="auto"/>
        <w:ind w:left="999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43"/>
          <w:sz w:val="41"/>
          <w:szCs w:val="41"/>
        </w:rPr>
        <w:t>(4)档案的借阅</w:t>
      </w:r>
    </w:p>
    <w:p>
      <w:pPr>
        <w:spacing w:before="359" w:line="221" w:lineRule="auto"/>
        <w:ind w:left="830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24"/>
          <w:sz w:val="41"/>
          <w:szCs w:val="41"/>
        </w:rPr>
        <w:t>1)凡本公司职工均可通过公司档案管理员借阅并办理借阅签字手</w:t>
      </w:r>
    </w:p>
    <w:p>
      <w:pPr>
        <w:spacing w:before="302" w:line="828" w:lineRule="exact"/>
        <w:jc w:val="right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9"/>
          <w:position w:val="32"/>
          <w:sz w:val="41"/>
          <w:szCs w:val="41"/>
        </w:rPr>
        <w:t>续，但需妥善保管，不得涂改遗失，如经发现涂改遗失要受到经济处罚，后</w:t>
      </w:r>
    </w:p>
    <w:p>
      <w:pPr>
        <w:spacing w:before="2" w:line="220" w:lineRule="auto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3"/>
          <w:sz w:val="41"/>
          <w:szCs w:val="41"/>
        </w:rPr>
        <w:t>果严重者要开除处理或追究刑事责任。</w:t>
      </w:r>
    </w:p>
    <w:p>
      <w:pPr>
        <w:spacing w:before="362" w:line="800" w:lineRule="exact"/>
        <w:ind w:left="83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2"/>
          <w:position w:val="27"/>
          <w:sz w:val="43"/>
          <w:szCs w:val="43"/>
        </w:rPr>
        <w:t>2)因工作需要，公司的其他人员需借阅非密级档案时，填写《借阅档</w:t>
      </w:r>
    </w:p>
    <w:p>
      <w:pPr>
        <w:spacing w:before="2" w:line="212" w:lineRule="auto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16"/>
          <w:sz w:val="43"/>
          <w:szCs w:val="43"/>
        </w:rPr>
        <w:t>案申请表》备案，并按要求及时归还。</w:t>
      </w:r>
    </w:p>
    <w:p>
      <w:pPr>
        <w:spacing w:line="270" w:lineRule="auto"/>
      </w:pPr>
    </w:p>
    <w:p>
      <w:pPr>
        <w:spacing w:before="133" w:line="369" w:lineRule="auto"/>
        <w:ind w:right="9" w:firstLine="830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16"/>
          <w:sz w:val="41"/>
          <w:szCs w:val="41"/>
        </w:rPr>
        <w:t>3)借阅者用毕后应及时归还。对借阅份数过多</w:t>
      </w:r>
      <w:r>
        <w:rPr>
          <w:rFonts w:ascii="黑体" w:eastAsia="黑体" w:hAnsi="黑体" w:cs="黑体"/>
          <w:spacing w:val="15"/>
          <w:sz w:val="41"/>
          <w:szCs w:val="41"/>
        </w:rPr>
        <w:t xml:space="preserve">及时间过长者，档案管 </w:t>
      </w:r>
      <w:r>
        <w:rPr>
          <w:rFonts w:ascii="黑体" w:eastAsia="黑体" w:hAnsi="黑体" w:cs="黑体"/>
          <w:spacing w:val="9"/>
          <w:sz w:val="41"/>
          <w:szCs w:val="41"/>
        </w:rPr>
        <w:t>理员有权催还。接催还通知后，应即刻归还。如确</w:t>
      </w:r>
      <w:r>
        <w:rPr>
          <w:rFonts w:ascii="黑体" w:eastAsia="黑体" w:hAnsi="黑体" w:cs="黑体"/>
          <w:spacing w:val="8"/>
          <w:sz w:val="41"/>
          <w:szCs w:val="41"/>
        </w:rPr>
        <w:t>实需要使用，应向档案管</w:t>
      </w:r>
    </w:p>
    <w:p>
      <w:pPr>
        <w:spacing w:before="2" w:line="212" w:lineRule="auto"/>
        <w:rPr>
          <w:rFonts w:ascii="黑体" w:eastAsia="黑体" w:hAnsi="黑体" w:cs="黑体"/>
          <w:sz w:val="41"/>
          <w:szCs w:val="41"/>
        </w:rPr>
      </w:pPr>
      <w:r>
        <w:rPr>
          <w:rFonts w:ascii="黑体" w:eastAsia="黑体" w:hAnsi="黑体" w:cs="黑体"/>
          <w:spacing w:val="2"/>
          <w:sz w:val="41"/>
          <w:szCs w:val="41"/>
        </w:rPr>
        <w:t>理员办理续借手续，经同意后续借。</w:t>
      </w:r>
    </w:p>
    <w:p>
      <w:pPr>
        <w:spacing w:line="248" w:lineRule="auto"/>
      </w:pPr>
    </w:p>
    <w:p>
      <w:pPr>
        <w:spacing w:before="140" w:line="356" w:lineRule="auto"/>
        <w:ind w:right="5" w:firstLine="830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3"/>
          <w:sz w:val="43"/>
          <w:szCs w:val="43"/>
        </w:rPr>
        <w:t>4)公司技术档案密级分为绝密、机密、秘密三个级</w:t>
      </w:r>
      <w:r>
        <w:rPr>
          <w:rFonts w:ascii="黑体" w:eastAsia="黑体" w:hAnsi="黑体" w:cs="黑体"/>
          <w:spacing w:val="-4"/>
          <w:sz w:val="43"/>
          <w:szCs w:val="43"/>
        </w:rPr>
        <w:t xml:space="preserve">别，绝密级档案禁 </w:t>
      </w:r>
      <w:r>
        <w:rPr>
          <w:rFonts w:ascii="黑体" w:eastAsia="黑体" w:hAnsi="黑体" w:cs="黑体"/>
          <w:spacing w:val="-11"/>
          <w:sz w:val="43"/>
          <w:szCs w:val="43"/>
        </w:rPr>
        <w:t>止调阅，机密级档案只能在档案室阅览，不准外借；秘密级</w:t>
      </w:r>
      <w:r>
        <w:rPr>
          <w:rFonts w:ascii="黑体" w:eastAsia="黑体" w:hAnsi="黑体" w:cs="黑体"/>
          <w:spacing w:val="-12"/>
          <w:sz w:val="43"/>
          <w:szCs w:val="43"/>
        </w:rPr>
        <w:t>档案经审批可以</w:t>
      </w:r>
      <w:r>
        <w:rPr>
          <w:rFonts w:ascii="黑体" w:eastAsia="黑体" w:hAnsi="黑体" w:cs="黑体"/>
          <w:sz w:val="43"/>
          <w:szCs w:val="43"/>
        </w:rPr>
        <w:t xml:space="preserve"> </w:t>
      </w:r>
      <w:r>
        <w:rPr>
          <w:rFonts w:ascii="黑体" w:eastAsia="黑体" w:hAnsi="黑体" w:cs="黑体"/>
          <w:spacing w:val="-3"/>
          <w:sz w:val="43"/>
          <w:szCs w:val="43"/>
        </w:rPr>
        <w:t>借阅，但借阅时间不得超过8小时。秘密级档案的借阅必须由总经理或总</w:t>
      </w:r>
    </w:p>
    <w:p>
      <w:pPr>
        <w:spacing w:before="3" w:line="212" w:lineRule="auto"/>
        <w:rPr>
          <w:rFonts w:ascii="黑体" w:eastAsia="黑体" w:hAnsi="黑体" w:cs="黑体"/>
          <w:sz w:val="43"/>
          <w:szCs w:val="43"/>
        </w:rPr>
      </w:pPr>
      <w:r>
        <w:rPr>
          <w:rFonts w:ascii="黑体" w:eastAsia="黑体" w:hAnsi="黑体" w:cs="黑体"/>
          <w:spacing w:val="-7"/>
          <w:sz w:val="43"/>
          <w:szCs w:val="43"/>
        </w:rPr>
        <w:t>经理办公室主任批准；</w:t>
      </w:r>
    </w:p>
    <w:p>
      <w:pPr>
        <w:spacing w:line="212" w:lineRule="auto"/>
        <w:rPr>
          <w:rFonts w:ascii="黑体" w:eastAsia="黑体" w:hAnsi="黑体" w:cs="黑体"/>
          <w:sz w:val="43"/>
          <w:szCs w:val="43"/>
        </w:rPr>
        <w:sectPr>
          <w:headerReference w:type="default" r:id="rId8"/>
          <w:pgSz w:w="17860" w:h="25260"/>
          <w:pgMar w:top="400" w:right="2173" w:bottom="0" w:left="1859" w:header="0" w:footer="0" w:gutter="0"/>
          <w:pgNumType w:start="5"/>
          <w:cols w:num="1" w:space="720"/>
        </w:sectPr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5" w:lineRule="auto"/>
      </w:pPr>
    </w:p>
    <w:p>
      <w:pPr>
        <w:spacing w:before="137" w:line="221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2"/>
          <w:sz w:val="42"/>
          <w:szCs w:val="42"/>
        </w:rPr>
        <w:t>5)档案借阅者必须做到：</w:t>
      </w:r>
    </w:p>
    <w:p>
      <w:pPr>
        <w:spacing w:before="329" w:line="213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8"/>
          <w:sz w:val="42"/>
          <w:szCs w:val="42"/>
        </w:rPr>
        <w:t>①爱护档案，保持整洁，严禁涂改。</w:t>
      </w:r>
    </w:p>
    <w:p>
      <w:pPr>
        <w:spacing w:before="355" w:line="213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②注意安全保密，严禁擅自翻印、抄录、转借、遗</w:t>
      </w:r>
      <w:r>
        <w:rPr>
          <w:rFonts w:ascii="黑体" w:eastAsia="黑体" w:hAnsi="黑体" w:cs="黑体"/>
          <w:spacing w:val="-7"/>
          <w:sz w:val="42"/>
          <w:szCs w:val="42"/>
        </w:rPr>
        <w:t>失。</w:t>
      </w:r>
    </w:p>
    <w:p/>
    <w:p>
      <w:pPr>
        <w:spacing w:before="136" w:line="223" w:lineRule="auto"/>
        <w:ind w:left="99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36"/>
          <w:sz w:val="42"/>
          <w:szCs w:val="42"/>
        </w:rPr>
        <w:t>(5)档案的销毁</w:t>
      </w:r>
    </w:p>
    <w:p>
      <w:pPr>
        <w:spacing w:before="318" w:line="222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4"/>
          <w:sz w:val="42"/>
          <w:szCs w:val="42"/>
        </w:rPr>
        <w:t>1)公司任何个人或部门非经允许不得销毁公司档案资料。</w:t>
      </w:r>
    </w:p>
    <w:p>
      <w:pPr>
        <w:spacing w:before="316" w:line="830" w:lineRule="exact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6"/>
          <w:position w:val="31"/>
          <w:sz w:val="42"/>
          <w:szCs w:val="42"/>
        </w:rPr>
        <w:t>2)当某些档案到销毁期时，由档案管理员填写《公司档案资料销毁审</w:t>
      </w:r>
    </w:p>
    <w:p>
      <w:pPr>
        <w:spacing w:before="3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批表》交总经理办公室主任审核，经总经理批准后执行。</w:t>
      </w:r>
    </w:p>
    <w:p>
      <w:pPr>
        <w:spacing w:before="365" w:line="820" w:lineRule="exact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3"/>
          <w:position w:val="30"/>
          <w:sz w:val="42"/>
          <w:szCs w:val="42"/>
        </w:rPr>
        <w:t>3)凡属于密级的档案资料必须由总经理批准方可销</w:t>
      </w:r>
      <w:r>
        <w:rPr>
          <w:rFonts w:ascii="黑体" w:eastAsia="黑体" w:hAnsi="黑体" w:cs="黑体"/>
          <w:spacing w:val="-4"/>
          <w:position w:val="30"/>
          <w:sz w:val="42"/>
          <w:szCs w:val="42"/>
        </w:rPr>
        <w:t>毁；</w:t>
      </w:r>
      <w:r>
        <w:rPr>
          <w:rFonts w:ascii="黑体" w:eastAsia="黑体" w:hAnsi="黑体" w:cs="黑体"/>
          <w:spacing w:val="108"/>
          <w:position w:val="30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4"/>
          <w:position w:val="30"/>
          <w:sz w:val="42"/>
          <w:szCs w:val="42"/>
        </w:rPr>
        <w:t>一般的档案资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料，由总经理办公室主任批准后方可销毁。</w:t>
      </w:r>
    </w:p>
    <w:p>
      <w:pPr>
        <w:spacing w:before="376" w:line="213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7"/>
          <w:sz w:val="42"/>
          <w:szCs w:val="42"/>
        </w:rPr>
        <w:t>4)经批准销毁的公司技术档案，档案管理员须认真核对，将批准的</w:t>
      </w:r>
    </w:p>
    <w:p>
      <w:pPr>
        <w:spacing w:before="365" w:line="830" w:lineRule="exact"/>
        <w:ind w:left="1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position w:val="30"/>
          <w:sz w:val="42"/>
          <w:szCs w:val="42"/>
        </w:rPr>
        <w:t>《公司档案资料销毁审批表》和将要销毁的档案资料做好登记并归档。登记</w:t>
      </w:r>
    </w:p>
    <w:p>
      <w:pPr>
        <w:spacing w:before="1" w:line="221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1"/>
          <w:sz w:val="42"/>
          <w:szCs w:val="42"/>
        </w:rPr>
        <w:t>表永久保存。</w:t>
      </w:r>
    </w:p>
    <w:p>
      <w:pPr>
        <w:spacing w:before="377" w:line="798" w:lineRule="exact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6"/>
          <w:position w:val="28"/>
          <w:sz w:val="42"/>
          <w:szCs w:val="42"/>
        </w:rPr>
        <w:t>5)在销毁公司技术档案资料时，必须由总经理或总经理办</w:t>
      </w:r>
      <w:r>
        <w:rPr>
          <w:rFonts w:ascii="黑体" w:eastAsia="黑体" w:hAnsi="黑体" w:cs="黑体"/>
          <w:spacing w:val="5"/>
          <w:position w:val="28"/>
          <w:sz w:val="42"/>
          <w:szCs w:val="42"/>
        </w:rPr>
        <w:t>公室主任指</w:t>
      </w:r>
    </w:p>
    <w:p>
      <w:pPr>
        <w:spacing w:before="1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定专人监督销毁。</w:t>
      </w: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5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line="246" w:lineRule="auto"/>
      </w:pPr>
    </w:p>
    <w:p>
      <w:pPr>
        <w:spacing w:before="137" w:line="222" w:lineRule="auto"/>
        <w:ind w:left="5706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b/>
          <w:bCs/>
          <w:spacing w:val="-8"/>
          <w:sz w:val="42"/>
          <w:szCs w:val="42"/>
        </w:rPr>
        <w:t>人事管理制度</w:t>
      </w:r>
    </w:p>
    <w:p>
      <w:pPr>
        <w:spacing w:before="321" w:line="365" w:lineRule="auto"/>
        <w:ind w:firstLine="860"/>
        <w:jc w:val="both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为了提升企业经营管理水平和技术创新能力，提高员工队伍素质，深入</w:t>
      </w:r>
      <w:r>
        <w:rPr>
          <w:rFonts w:ascii="黑体" w:eastAsia="黑体" w:hAnsi="黑体" w:cs="黑体"/>
          <w:spacing w:val="3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开展创建学习型组织，规范公司理论学习的组织与管理程序，增强学习的自</w:t>
      </w:r>
      <w:r>
        <w:rPr>
          <w:rFonts w:ascii="黑体" w:eastAsia="黑体" w:hAnsi="黑体" w:cs="黑体"/>
          <w:spacing w:val="8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觉性，让员工在工作中学习，在学习中工作，变组织中每位成员的个体学习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为团队学习，加强沟通，增强学习实效，提高员工的业务水平和综合分析判</w:t>
      </w:r>
    </w:p>
    <w:p>
      <w:pPr>
        <w:spacing w:line="212" w:lineRule="auto"/>
        <w:rPr>
          <w:rFonts w:ascii="黑体" w:eastAsia="黑体" w:hAnsi="黑体" w:cs="黑体"/>
          <w:sz w:val="42"/>
          <w:szCs w:val="42"/>
        </w:rPr>
        <w:sectPr>
          <w:headerReference w:type="default" r:id="rId9"/>
          <w:pgSz w:w="17860" w:h="25260"/>
          <w:pgMar w:top="400" w:right="2156" w:bottom="0" w:left="1849" w:header="0" w:footer="0" w:gutter="0"/>
          <w:pgNumType w:start="6"/>
          <w:cols w:num="1" w:space="720"/>
        </w:sectPr>
      </w:pPr>
    </w:p>
    <w:p>
      <w:pPr>
        <w:spacing w:line="252" w:lineRule="auto"/>
      </w:pPr>
    </w:p>
    <w:p>
      <w:pPr>
        <w:spacing w:line="252" w:lineRule="auto"/>
      </w:pPr>
    </w:p>
    <w:p>
      <w:pPr>
        <w:spacing w:line="252" w:lineRule="auto"/>
      </w:pPr>
    </w:p>
    <w:p>
      <w:pPr>
        <w:spacing w:line="252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before="136" w:line="365" w:lineRule="auto"/>
        <w:ind w:right="18"/>
        <w:jc w:val="both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断能力，加快信息经验在团队内部的交流共享，实现团队能力的最大化，培</w:t>
      </w:r>
      <w:r>
        <w:rPr>
          <w:rFonts w:ascii="黑体" w:eastAsia="黑体" w:hAnsi="黑体" w:cs="黑体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"/>
          <w:sz w:val="42"/>
          <w:szCs w:val="42"/>
        </w:rPr>
        <w:t>养一支年轻化、高素质、高起点、高水平、实践经验丰富和战斗力强的社会</w:t>
      </w:r>
      <w:r>
        <w:rPr>
          <w:rFonts w:ascii="黑体" w:eastAsia="黑体" w:hAnsi="黑体" w:cs="黑体"/>
          <w:spacing w:val="13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"/>
          <w:sz w:val="42"/>
          <w:szCs w:val="42"/>
        </w:rPr>
        <w:t>中介队伍，为公司的发展提供人力资源保障</w:t>
      </w:r>
      <w:r>
        <w:rPr>
          <w:rFonts w:ascii="黑体" w:eastAsia="黑体" w:hAnsi="黑体" w:cs="黑体"/>
          <w:spacing w:val="-3"/>
          <w:sz w:val="42"/>
          <w:szCs w:val="42"/>
        </w:rPr>
        <w:t>，推动公司事业的健康可持续发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1"/>
          <w:sz w:val="42"/>
          <w:szCs w:val="42"/>
        </w:rPr>
        <w:t>展，实现共同愿景。</w:t>
      </w:r>
    </w:p>
    <w:p>
      <w:pPr>
        <w:spacing w:line="250" w:lineRule="auto"/>
      </w:pPr>
    </w:p>
    <w:p>
      <w:pPr>
        <w:spacing w:before="136" w:line="223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6"/>
          <w:sz w:val="42"/>
          <w:szCs w:val="42"/>
        </w:rPr>
        <w:t>1.职业培训体系</w:t>
      </w:r>
    </w:p>
    <w:p>
      <w:pPr>
        <w:spacing w:before="337" w:line="221" w:lineRule="auto"/>
        <w:ind w:right="71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4"/>
          <w:sz w:val="42"/>
          <w:szCs w:val="42"/>
        </w:rPr>
        <w:t>培训体系包含二个模块：即新员工入职职业培训、内部日常职业培训。</w:t>
      </w:r>
    </w:p>
    <w:p>
      <w:pPr>
        <w:spacing w:before="337" w:line="221" w:lineRule="auto"/>
        <w:ind w:left="101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2"/>
          <w:sz w:val="42"/>
          <w:szCs w:val="42"/>
        </w:rPr>
        <w:t>(1)新员工入职职业培训</w:t>
      </w:r>
    </w:p>
    <w:p>
      <w:pPr>
        <w:spacing w:before="356" w:line="220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8"/>
          <w:sz w:val="42"/>
          <w:szCs w:val="42"/>
        </w:rPr>
        <w:t>①培训对象：所有新进人员。</w:t>
      </w:r>
    </w:p>
    <w:p>
      <w:pPr>
        <w:spacing w:before="343" w:line="790" w:lineRule="exact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position w:val="27"/>
          <w:sz w:val="42"/>
          <w:szCs w:val="42"/>
        </w:rPr>
        <w:t>②培训目的：协助新进人员尽快适应新的工作环境，融入企</w:t>
      </w:r>
      <w:r>
        <w:rPr>
          <w:rFonts w:ascii="黑体" w:eastAsia="黑体" w:hAnsi="黑体" w:cs="黑体"/>
          <w:spacing w:val="-2"/>
          <w:position w:val="27"/>
          <w:sz w:val="42"/>
          <w:szCs w:val="42"/>
        </w:rPr>
        <w:t>业文化，完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8"/>
          <w:sz w:val="42"/>
          <w:szCs w:val="42"/>
        </w:rPr>
        <w:t>成职业转化，顺利进入工作状态。</w:t>
      </w:r>
    </w:p>
    <w:p>
      <w:pPr>
        <w:spacing w:line="254" w:lineRule="auto"/>
      </w:pPr>
    </w:p>
    <w:p>
      <w:pPr>
        <w:spacing w:before="137" w:line="220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8"/>
          <w:sz w:val="42"/>
          <w:szCs w:val="42"/>
        </w:rPr>
        <w:t>③培训形式：新员工入职培训。</w:t>
      </w:r>
    </w:p>
    <w:p>
      <w:pPr>
        <w:spacing w:before="333" w:line="848" w:lineRule="exact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7"/>
          <w:position w:val="32"/>
          <w:sz w:val="42"/>
          <w:szCs w:val="42"/>
        </w:rPr>
        <w:t>④培训内容：公司简介(包括公司发展史及企业文化，各部门职能</w:t>
      </w:r>
    </w:p>
    <w:p>
      <w:pPr>
        <w:spacing w:before="2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3"/>
          <w:sz w:val="42"/>
          <w:szCs w:val="42"/>
        </w:rPr>
        <w:t>等)、公司制度介绍、业务介绍与市场分析、</w:t>
      </w:r>
      <w:r>
        <w:rPr>
          <w:rFonts w:ascii="黑体" w:eastAsia="黑体" w:hAnsi="黑体" w:cs="黑体"/>
          <w:spacing w:val="-4"/>
          <w:sz w:val="42"/>
          <w:szCs w:val="42"/>
        </w:rPr>
        <w:t>前景预测及公司发展目标。</w:t>
      </w:r>
    </w:p>
    <w:p>
      <w:pPr>
        <w:spacing w:before="336" w:line="220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z w:val="42"/>
          <w:szCs w:val="42"/>
        </w:rPr>
        <w:t>⑤培训要求</w:t>
      </w:r>
    </w:p>
    <w:p>
      <w:pPr>
        <w:spacing w:before="343" w:line="810" w:lineRule="exact"/>
        <w:ind w:right="80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Times New Roman" w:eastAsia="Times New Roman" w:hAnsi="Times New Roman" w:cs="Times New Roman"/>
          <w:spacing w:val="6"/>
          <w:position w:val="29"/>
          <w:sz w:val="42"/>
          <w:szCs w:val="42"/>
        </w:rPr>
        <w:t>a</w:t>
      </w:r>
      <w:r>
        <w:rPr>
          <w:rFonts w:ascii="Times New Roman" w:eastAsia="Times New Roman" w:hAnsi="Times New Roman" w:cs="Times New Roman"/>
          <w:spacing w:val="44"/>
          <w:position w:val="29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6"/>
          <w:position w:val="29"/>
          <w:sz w:val="42"/>
          <w:szCs w:val="42"/>
        </w:rPr>
        <w:t>员工一般在入职培训，以后可在岗位由部门经理</w:t>
      </w:r>
      <w:r>
        <w:rPr>
          <w:rFonts w:ascii="黑体" w:eastAsia="黑体" w:hAnsi="黑体" w:cs="黑体"/>
          <w:spacing w:val="5"/>
          <w:position w:val="29"/>
          <w:sz w:val="42"/>
          <w:szCs w:val="42"/>
        </w:rPr>
        <w:t>进行岗位培训(一般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3"/>
          <w:sz w:val="42"/>
          <w:szCs w:val="42"/>
        </w:rPr>
        <w:t>为一周),对一些特殊岗位，可根据需要将培训时间延长。</w:t>
      </w:r>
    </w:p>
    <w:p>
      <w:pPr>
        <w:pStyle w:val="BodyText"/>
        <w:spacing w:before="355" w:line="863" w:lineRule="exact"/>
        <w:ind w:right="79"/>
        <w:jc w:val="right"/>
        <w:rPr>
          <w:rFonts w:ascii="黑体" w:eastAsia="黑体" w:hAnsi="黑体" w:cs="黑体"/>
          <w:sz w:val="42"/>
          <w:szCs w:val="42"/>
        </w:rPr>
      </w:pPr>
      <w:r>
        <w:rPr>
          <w:spacing w:val="-1"/>
          <w:position w:val="34"/>
          <w:sz w:val="42"/>
          <w:szCs w:val="42"/>
        </w:rPr>
        <w:t>b</w:t>
      </w:r>
      <w:r>
        <w:rPr>
          <w:spacing w:val="-85"/>
          <w:position w:val="34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position w:val="34"/>
          <w:sz w:val="42"/>
          <w:szCs w:val="42"/>
        </w:rPr>
        <w:t>培训科目由相应部门的内部负责人担纲主讲，制定考核内容并负责考</w:t>
      </w:r>
    </w:p>
    <w:p>
      <w:pPr>
        <w:spacing w:line="223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3"/>
          <w:sz w:val="42"/>
          <w:szCs w:val="42"/>
        </w:rPr>
        <w:t>核结果。</w:t>
      </w:r>
    </w:p>
    <w:p>
      <w:pPr>
        <w:pStyle w:val="BodyText"/>
        <w:spacing w:before="290" w:line="213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sz w:val="42"/>
          <w:szCs w:val="42"/>
        </w:rPr>
        <w:t>c</w:t>
      </w:r>
      <w:r>
        <w:rPr>
          <w:rFonts w:ascii="黑体" w:eastAsia="黑体" w:hAnsi="黑体" w:cs="黑体"/>
          <w:sz w:val="42"/>
          <w:szCs w:val="42"/>
        </w:rPr>
        <w:t>学员必须按时参加培训，严格遵守培训制度。</w:t>
      </w:r>
    </w:p>
    <w:p>
      <w:pPr>
        <w:spacing w:before="310" w:line="895" w:lineRule="exact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Arial" w:eastAsia="Arial" w:hAnsi="Arial" w:cs="Arial"/>
          <w:spacing w:val="13"/>
          <w:position w:val="29"/>
          <w:sz w:val="42"/>
          <w:szCs w:val="42"/>
        </w:rPr>
        <w:t xml:space="preserve">d </w:t>
      </w:r>
      <w:r>
        <w:rPr>
          <w:rFonts w:ascii="黑体" w:eastAsia="黑体" w:hAnsi="黑体" w:cs="黑体"/>
          <w:spacing w:val="13"/>
          <w:position w:val="29"/>
          <w:sz w:val="42"/>
          <w:szCs w:val="42"/>
        </w:rPr>
        <w:t>试岗期结束(一周),以笔试的形式考核培训效果，成绩合格者方可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计入试用期；不合格者依具体情况进行补修或重试。</w:t>
      </w:r>
    </w:p>
    <w:p>
      <w:pPr>
        <w:spacing w:before="378" w:line="222" w:lineRule="auto"/>
        <w:ind w:left="8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1"/>
          <w:sz w:val="42"/>
          <w:szCs w:val="42"/>
        </w:rPr>
        <w:t>2.内部日常职业培训</w:t>
      </w:r>
    </w:p>
    <w:p>
      <w:pPr>
        <w:spacing w:before="361" w:line="820" w:lineRule="exact"/>
        <w:ind w:left="101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9"/>
          <w:position w:val="29"/>
          <w:sz w:val="42"/>
          <w:szCs w:val="42"/>
        </w:rPr>
        <w:t>(1)培训对象：所有员工均需要参加既定职业培训计划要求的相关培</w:t>
      </w:r>
    </w:p>
    <w:p>
      <w:pPr>
        <w:spacing w:before="2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训课程。</w:t>
      </w:r>
    </w:p>
    <w:p>
      <w:pPr>
        <w:spacing w:line="220" w:lineRule="auto"/>
        <w:rPr>
          <w:rFonts w:ascii="黑体" w:eastAsia="黑体" w:hAnsi="黑体" w:cs="黑体"/>
          <w:sz w:val="42"/>
          <w:szCs w:val="42"/>
        </w:rPr>
        <w:sectPr>
          <w:headerReference w:type="default" r:id="rId10"/>
          <w:pgSz w:w="17860" w:h="25260"/>
          <w:pgMar w:top="400" w:right="2184" w:bottom="0" w:left="1829" w:header="0" w:footer="0" w:gutter="0"/>
          <w:pgNumType w:start="7"/>
          <w:cols w:num="1" w:space="720"/>
        </w:sectPr>
      </w:pPr>
    </w:p>
    <w:p>
      <w:pPr>
        <w:spacing w:line="255" w:lineRule="auto"/>
      </w:pPr>
    </w:p>
    <w:p>
      <w:pPr>
        <w:spacing w:line="255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line="256" w:lineRule="auto"/>
      </w:pPr>
    </w:p>
    <w:p>
      <w:pPr>
        <w:spacing w:before="136" w:line="360" w:lineRule="auto"/>
        <w:ind w:right="193" w:firstLine="97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8"/>
          <w:sz w:val="42"/>
          <w:szCs w:val="42"/>
        </w:rPr>
        <w:t>(2)培训目的：提高员工专业技能，增强员工对企业文化的了解，提</w:t>
      </w:r>
      <w:r>
        <w:rPr>
          <w:rFonts w:ascii="黑体" w:eastAsia="黑体" w:hAnsi="黑体" w:cs="黑体"/>
          <w:spacing w:val="7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升团队凝聚力，加强内部的沟通与交流，在公司内形成互帮互助</w:t>
      </w:r>
      <w:r>
        <w:rPr>
          <w:rFonts w:ascii="黑体" w:eastAsia="黑体" w:hAnsi="黑体" w:cs="黑体"/>
          <w:spacing w:val="-2"/>
          <w:sz w:val="42"/>
          <w:szCs w:val="42"/>
        </w:rPr>
        <w:t>的学习氛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8"/>
          <w:sz w:val="42"/>
          <w:szCs w:val="42"/>
        </w:rPr>
        <w:t>围，并丰富员工的业余学习生活。</w:t>
      </w:r>
    </w:p>
    <w:p>
      <w:pPr>
        <w:spacing w:line="265" w:lineRule="auto"/>
      </w:pPr>
    </w:p>
    <w:p>
      <w:pPr>
        <w:spacing w:before="137" w:line="830" w:lineRule="exact"/>
        <w:ind w:left="97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5"/>
          <w:position w:val="30"/>
          <w:sz w:val="42"/>
          <w:szCs w:val="42"/>
        </w:rPr>
        <w:t>(3)培训形式：在公司内部以听讲或研讨会、交流会、请领导讲授、</w:t>
      </w:r>
    </w:p>
    <w:p>
      <w:pPr>
        <w:spacing w:before="1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专业知识自学等形式进行。</w:t>
      </w:r>
    </w:p>
    <w:p>
      <w:pPr>
        <w:spacing w:before="357" w:line="800" w:lineRule="exact"/>
        <w:ind w:left="97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5"/>
          <w:position w:val="28"/>
          <w:sz w:val="42"/>
          <w:szCs w:val="42"/>
        </w:rPr>
        <w:t>(4)培训内容：公司发展指导纲要、专业技能知识、员工基本素质、</w:t>
      </w:r>
    </w:p>
    <w:p>
      <w:pPr>
        <w:spacing w:before="2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4"/>
          <w:sz w:val="42"/>
          <w:szCs w:val="42"/>
        </w:rPr>
        <w:t>员工心理素质、企业凝聚力以及员工感兴趣的业余知识、信息等。</w:t>
      </w:r>
    </w:p>
    <w:p>
      <w:pPr>
        <w:spacing w:before="341" w:line="222" w:lineRule="auto"/>
        <w:ind w:left="97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6"/>
          <w:sz w:val="42"/>
          <w:szCs w:val="42"/>
        </w:rPr>
        <w:t>(5)内部培训的时间：每周六上午9点-11点。</w:t>
      </w:r>
    </w:p>
    <w:p>
      <w:pPr>
        <w:spacing w:before="365" w:line="222" w:lineRule="auto"/>
        <w:ind w:left="97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41"/>
          <w:sz w:val="42"/>
          <w:szCs w:val="42"/>
        </w:rPr>
        <w:t>(6)培训要求</w:t>
      </w:r>
    </w:p>
    <w:p>
      <w:pPr>
        <w:spacing w:before="323" w:line="810" w:lineRule="exact"/>
        <w:ind w:right="5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position w:val="29"/>
          <w:sz w:val="42"/>
          <w:szCs w:val="42"/>
        </w:rPr>
        <w:t>①充分挖掘公司内部可用资源，培养内部培训人才，重点培养部门负责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2"/>
          <w:sz w:val="42"/>
          <w:szCs w:val="42"/>
        </w:rPr>
        <w:t>人</w:t>
      </w:r>
      <w:r>
        <w:rPr>
          <w:rFonts w:ascii="黑体" w:eastAsia="黑体" w:hAnsi="黑体" w:cs="黑体"/>
          <w:spacing w:val="-70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2"/>
          <w:sz w:val="42"/>
          <w:szCs w:val="42"/>
        </w:rPr>
        <w:t>；</w:t>
      </w:r>
    </w:p>
    <w:p>
      <w:pPr>
        <w:spacing w:before="376" w:line="213" w:lineRule="auto"/>
        <w:ind w:left="84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②不断充实和完善内部培训课程，形成重点课程的逐渐固定和循环；</w:t>
      </w:r>
    </w:p>
    <w:p>
      <w:pPr>
        <w:spacing w:before="365" w:line="213" w:lineRule="auto"/>
        <w:ind w:left="84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1"/>
          <w:sz w:val="42"/>
          <w:szCs w:val="42"/>
        </w:rPr>
        <w:t>③职业培训参与人员应严格遵守培训规范；</w:t>
      </w:r>
    </w:p>
    <w:p>
      <w:pPr>
        <w:spacing w:before="336" w:line="857" w:lineRule="exact"/>
        <w:ind w:left="84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position w:val="33"/>
          <w:sz w:val="42"/>
          <w:szCs w:val="42"/>
        </w:rPr>
        <w:t>④根据课程需要对学员进行考核，考核结果纳入员工绩效考核范</w:t>
      </w:r>
      <w:r>
        <w:rPr>
          <w:rFonts w:ascii="黑体" w:eastAsia="黑体" w:hAnsi="黑体" w:cs="黑体"/>
          <w:spacing w:val="-3"/>
          <w:position w:val="33"/>
          <w:sz w:val="42"/>
          <w:szCs w:val="42"/>
        </w:rPr>
        <w:t>围之</w:t>
      </w:r>
    </w:p>
    <w:p>
      <w:pPr>
        <w:spacing w:before="1" w:line="225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5"/>
          <w:sz w:val="42"/>
          <w:szCs w:val="42"/>
        </w:rPr>
        <w:t>内。</w:t>
      </w:r>
    </w:p>
    <w:p>
      <w:pPr>
        <w:spacing w:before="311" w:line="222" w:lineRule="auto"/>
        <w:ind w:left="84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4"/>
          <w:sz w:val="42"/>
          <w:szCs w:val="42"/>
        </w:rPr>
        <w:t>3.培训计划的拟订</w:t>
      </w:r>
    </w:p>
    <w:p>
      <w:pPr>
        <w:spacing w:before="325" w:line="369" w:lineRule="auto"/>
        <w:ind w:firstLine="97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8"/>
          <w:sz w:val="42"/>
          <w:szCs w:val="42"/>
        </w:rPr>
        <w:t xml:space="preserve">(1)结合公司指导纲要目标及发展计划，依据各部门对内部员工职业 </w:t>
      </w:r>
      <w:r>
        <w:rPr>
          <w:rFonts w:ascii="黑体" w:eastAsia="黑体" w:hAnsi="黑体" w:cs="黑体"/>
          <w:spacing w:val="-1"/>
          <w:sz w:val="42"/>
          <w:szCs w:val="42"/>
        </w:rPr>
        <w:t>培训需求调查的结果，以及公司相关培训的政策，统筹各</w:t>
      </w:r>
      <w:r>
        <w:rPr>
          <w:rFonts w:ascii="黑体" w:eastAsia="黑体" w:hAnsi="黑体" w:cs="黑体"/>
          <w:spacing w:val="-2"/>
          <w:sz w:val="42"/>
          <w:szCs w:val="42"/>
        </w:rPr>
        <w:t>部门的培训需求，</w:t>
      </w:r>
    </w:p>
    <w:p>
      <w:pPr>
        <w:spacing w:before="1" w:line="221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每月拟订《职业培训计划》,并呈报总经理审定。</w:t>
      </w:r>
    </w:p>
    <w:p>
      <w:pPr>
        <w:spacing w:before="366" w:line="800" w:lineRule="exact"/>
        <w:ind w:left="97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9"/>
          <w:position w:val="28"/>
          <w:sz w:val="42"/>
          <w:szCs w:val="42"/>
        </w:rPr>
        <w:t>(2)各部门应根据各自业务发展的需要，确</w:t>
      </w:r>
      <w:r>
        <w:rPr>
          <w:rFonts w:ascii="黑体" w:eastAsia="黑体" w:hAnsi="黑体" w:cs="黑体"/>
          <w:spacing w:val="8"/>
          <w:position w:val="28"/>
          <w:sz w:val="42"/>
          <w:szCs w:val="42"/>
        </w:rPr>
        <w:t>定部门职业培训需求计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划，并报办公室统筹规划。</w:t>
      </w:r>
    </w:p>
    <w:p>
      <w:pPr>
        <w:spacing w:line="269" w:lineRule="auto"/>
      </w:pPr>
    </w:p>
    <w:p>
      <w:pPr>
        <w:spacing w:before="137" w:line="222" w:lineRule="auto"/>
        <w:ind w:left="97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31"/>
          <w:sz w:val="42"/>
          <w:szCs w:val="42"/>
        </w:rPr>
        <w:t>(3)出勤及培训要求</w:t>
      </w:r>
    </w:p>
    <w:p>
      <w:pPr>
        <w:spacing w:before="293" w:line="213" w:lineRule="auto"/>
        <w:ind w:left="84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①所有学习受训人员须提前做好安排，除特殊原因外，应准时参加。</w:t>
      </w:r>
    </w:p>
    <w:p>
      <w:pPr>
        <w:spacing w:before="375" w:line="213" w:lineRule="auto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②凡在公司内部举办的职业培训课，参加人员</w:t>
      </w:r>
      <w:r>
        <w:rPr>
          <w:rFonts w:ascii="黑体" w:eastAsia="黑体" w:hAnsi="黑体" w:cs="黑体"/>
          <w:spacing w:val="-2"/>
          <w:sz w:val="42"/>
          <w:szCs w:val="42"/>
        </w:rPr>
        <w:t>必须严格遵守培训规范，</w:t>
      </w:r>
    </w:p>
    <w:p>
      <w:pPr>
        <w:spacing w:line="213" w:lineRule="auto"/>
        <w:rPr>
          <w:rFonts w:ascii="黑体" w:eastAsia="黑体" w:hAnsi="黑体" w:cs="黑体"/>
          <w:sz w:val="42"/>
          <w:szCs w:val="42"/>
        </w:rPr>
        <w:sectPr>
          <w:headerReference w:type="default" r:id="rId11"/>
          <w:pgSz w:w="17860" w:h="25260"/>
          <w:pgMar w:top="400" w:right="2179" w:bottom="0" w:left="1859" w:header="0" w:footer="0" w:gutter="0"/>
          <w:pgNumType w:start="8"/>
          <w:cols w:num="1" w:space="720"/>
        </w:sectPr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8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before="136" w:line="213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课前签到，考勤状况将作为培训考核的一个参考因素。</w:t>
      </w:r>
    </w:p>
    <w:p>
      <w:pPr>
        <w:spacing w:line="247" w:lineRule="auto"/>
      </w:pPr>
    </w:p>
    <w:p>
      <w:pPr>
        <w:spacing w:before="137" w:line="809" w:lineRule="exact"/>
        <w:ind w:right="17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position w:val="29"/>
          <w:sz w:val="42"/>
          <w:szCs w:val="42"/>
        </w:rPr>
        <w:t>③参加培训时手机需调整为静音状态，提前做好工作安排，不得中途退</w:t>
      </w:r>
    </w:p>
    <w:p>
      <w:pPr>
        <w:pStyle w:val="BodyText"/>
        <w:spacing w:before="1" w:line="221" w:lineRule="auto"/>
        <w:rPr>
          <w:sz w:val="49"/>
          <w:szCs w:val="49"/>
        </w:rPr>
      </w:pPr>
      <w:r>
        <w:rPr>
          <w:spacing w:val="-19"/>
          <w:sz w:val="49"/>
          <w:szCs w:val="49"/>
        </w:rPr>
        <w:t>出；</w:t>
      </w:r>
    </w:p>
    <w:p>
      <w:pPr>
        <w:spacing w:before="301" w:line="222" w:lineRule="auto"/>
        <w:ind w:left="85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4.职业培训的考核、评价及奖惩</w:t>
      </w:r>
    </w:p>
    <w:p>
      <w:pPr>
        <w:spacing w:before="336" w:line="810" w:lineRule="exact"/>
        <w:ind w:left="98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9"/>
          <w:position w:val="29"/>
          <w:sz w:val="42"/>
          <w:szCs w:val="42"/>
        </w:rPr>
        <w:t>(1)各部门组织的职业培训都应有考核成绩，考核成绩记入员工档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3"/>
          <w:sz w:val="42"/>
          <w:szCs w:val="42"/>
        </w:rPr>
        <w:t>案，作为员工提薪、升职的必要条件之一。</w:t>
      </w:r>
    </w:p>
    <w:p>
      <w:pPr>
        <w:spacing w:line="245" w:lineRule="auto"/>
      </w:pPr>
    </w:p>
    <w:p>
      <w:pPr>
        <w:spacing w:before="137" w:line="221" w:lineRule="auto"/>
        <w:ind w:left="98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1"/>
          <w:sz w:val="42"/>
          <w:szCs w:val="42"/>
        </w:rPr>
        <w:t>(2)员工每月至少参加6学时的职业培训。</w:t>
      </w:r>
    </w:p>
    <w:p>
      <w:pPr>
        <w:spacing w:before="309" w:line="830" w:lineRule="exact"/>
        <w:ind w:left="98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9"/>
          <w:position w:val="31"/>
          <w:sz w:val="42"/>
          <w:szCs w:val="42"/>
        </w:rPr>
        <w:t>(3)公司统一组织的培训由办公室负责考核；各部门自行组织的职业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培训，由各部门自己组织考核，办公室负责检查并备案。</w:t>
      </w:r>
    </w:p>
    <w:p>
      <w:pPr>
        <w:spacing w:before="376" w:line="848" w:lineRule="exact"/>
        <w:ind w:left="98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9"/>
          <w:position w:val="32"/>
          <w:sz w:val="42"/>
          <w:szCs w:val="42"/>
        </w:rPr>
        <w:t>(4)办公室要对组织的各项培训作出分析，不断总结提高，以使职业</w:t>
      </w:r>
    </w:p>
    <w:p>
      <w:pPr>
        <w:spacing w:before="2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培训能真正起到应有的效果。</w:t>
      </w:r>
    </w:p>
    <w:p>
      <w:pPr>
        <w:spacing w:before="349" w:line="850" w:lineRule="exact"/>
        <w:ind w:left="98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16"/>
          <w:position w:val="32"/>
          <w:sz w:val="42"/>
          <w:szCs w:val="42"/>
        </w:rPr>
        <w:t>(5)对无故不参加职业培训，公司将给予行</w:t>
      </w:r>
      <w:r>
        <w:rPr>
          <w:rFonts w:ascii="黑体" w:eastAsia="黑体" w:hAnsi="黑体" w:cs="黑体"/>
          <w:spacing w:val="15"/>
          <w:position w:val="32"/>
          <w:sz w:val="42"/>
          <w:szCs w:val="42"/>
        </w:rPr>
        <w:t>政或经济上的处罚(每次</w:t>
      </w:r>
    </w:p>
    <w:p>
      <w:pPr>
        <w:spacing w:before="2" w:line="221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7"/>
          <w:sz w:val="42"/>
          <w:szCs w:val="42"/>
        </w:rPr>
        <w:t>罚款50元)。</w:t>
      </w: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before="137" w:line="221" w:lineRule="auto"/>
        <w:ind w:left="6076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b/>
          <w:bCs/>
          <w:sz w:val="42"/>
          <w:szCs w:val="42"/>
        </w:rPr>
        <w:t>保密制度</w:t>
      </w:r>
    </w:p>
    <w:p>
      <w:pPr>
        <w:spacing w:before="354" w:line="222" w:lineRule="auto"/>
        <w:ind w:left="57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5"/>
          <w:sz w:val="42"/>
          <w:szCs w:val="42"/>
        </w:rPr>
        <w:t>第一章</w:t>
      </w:r>
      <w:r>
        <w:rPr>
          <w:rFonts w:ascii="黑体" w:eastAsia="黑体" w:hAnsi="黑体" w:cs="黑体"/>
          <w:spacing w:val="67"/>
          <w:sz w:val="42"/>
          <w:szCs w:val="42"/>
        </w:rPr>
        <w:t xml:space="preserve">  </w:t>
      </w:r>
      <w:r>
        <w:rPr>
          <w:rFonts w:ascii="黑体" w:eastAsia="黑体" w:hAnsi="黑体" w:cs="黑体"/>
          <w:spacing w:val="5"/>
          <w:sz w:val="42"/>
          <w:szCs w:val="42"/>
        </w:rPr>
        <w:t>总  则</w:t>
      </w:r>
    </w:p>
    <w:p>
      <w:pPr>
        <w:spacing w:before="338" w:line="360" w:lineRule="auto"/>
        <w:ind w:firstLine="850"/>
        <w:jc w:val="both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sz w:val="42"/>
          <w:szCs w:val="42"/>
        </w:rPr>
        <w:t>第一条</w:t>
      </w:r>
      <w:r>
        <w:rPr>
          <w:rFonts w:ascii="黑体" w:eastAsia="黑体" w:hAnsi="黑体" w:cs="黑体"/>
          <w:spacing w:val="66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2"/>
          <w:sz w:val="42"/>
          <w:szCs w:val="42"/>
        </w:rPr>
        <w:t>为保证本公司执业信誉，在公众中树立良好的职业形象，维</w:t>
      </w:r>
      <w:r>
        <w:rPr>
          <w:rFonts w:ascii="黑体" w:eastAsia="黑体" w:hAnsi="黑体" w:cs="黑体"/>
          <w:spacing w:val="2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护客户和本公司的利益，根据《中华人民共和国保守国家秘密法》及国家有</w:t>
      </w:r>
    </w:p>
    <w:p>
      <w:pPr>
        <w:spacing w:before="3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关法律、行政规章、部门规章、规范化文件，结合我公司实际情况，制定如</w:t>
      </w:r>
    </w:p>
    <w:p>
      <w:pPr>
        <w:spacing w:line="212" w:lineRule="auto"/>
        <w:rPr>
          <w:rFonts w:ascii="黑体" w:eastAsia="黑体" w:hAnsi="黑体" w:cs="黑体"/>
          <w:sz w:val="42"/>
          <w:szCs w:val="42"/>
        </w:rPr>
        <w:sectPr>
          <w:headerReference w:type="default" r:id="rId12"/>
          <w:pgSz w:w="17860" w:h="25260"/>
          <w:pgMar w:top="400" w:right="2158" w:bottom="0" w:left="1859" w:header="0" w:footer="0" w:gutter="0"/>
          <w:pgNumType w:start="9"/>
          <w:cols w:num="1" w:space="720"/>
        </w:sectPr>
      </w:pPr>
    </w:p>
    <w:p>
      <w:pPr>
        <w:spacing w:line="253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line="254" w:lineRule="auto"/>
      </w:pPr>
    </w:p>
    <w:p>
      <w:pPr>
        <w:spacing w:before="136" w:line="22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6"/>
          <w:sz w:val="42"/>
          <w:szCs w:val="42"/>
        </w:rPr>
        <w:t>下制度。</w:t>
      </w:r>
    </w:p>
    <w:p>
      <w:pPr>
        <w:spacing w:before="109"/>
      </w:pPr>
    </w:p>
    <w:tbl>
      <w:tblPr>
        <w:tblStyle w:val="TableNormal01"/>
        <w:tblW w:w="12571" w:type="dxa"/>
        <w:tblInd w:w="8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52"/>
        <w:gridCol w:w="10919"/>
      </w:tblGrid>
      <w:tr>
        <w:tblPrEx>
          <w:tblW w:w="12571" w:type="dxa"/>
          <w:tblInd w:w="830" w:type="dxa"/>
          <w:tblBorders>
            <w:top w:val="nil"/>
            <w:left w:val="nil"/>
            <w:bottom w:val="nil"/>
            <w:right w:val="nil"/>
            <w:insideH w:val="nil"/>
            <w:insideV w:val="nil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66"/>
        </w:trPr>
        <w:tc>
          <w:tcPr>
            <w:tcW w:w="1652" w:type="dxa"/>
            <w:vAlign w:val="top"/>
          </w:tcPr>
          <w:p>
            <w:pPr>
              <w:spacing w:before="1" w:line="221" w:lineRule="auto"/>
              <w:rPr>
                <w:rFonts w:ascii="黑体" w:eastAsia="黑体" w:hAnsi="黑体" w:cs="黑体"/>
                <w:sz w:val="42"/>
                <w:szCs w:val="42"/>
              </w:rPr>
            </w:pPr>
            <w:r>
              <w:rPr>
                <w:rFonts w:ascii="黑体" w:eastAsia="黑体" w:hAnsi="黑体" w:cs="黑体"/>
                <w:spacing w:val="-4"/>
                <w:sz w:val="42"/>
                <w:szCs w:val="42"/>
              </w:rPr>
              <w:t>第二条</w:t>
            </w:r>
          </w:p>
        </w:tc>
        <w:tc>
          <w:tcPr>
            <w:tcW w:w="10919" w:type="dxa"/>
            <w:vAlign w:val="top"/>
          </w:tcPr>
          <w:p>
            <w:pPr>
              <w:spacing w:line="813" w:lineRule="exact"/>
              <w:ind w:left="437"/>
              <w:rPr>
                <w:rFonts w:ascii="黑体" w:eastAsia="黑体" w:hAnsi="黑体" w:cs="黑体"/>
                <w:sz w:val="42"/>
                <w:szCs w:val="42"/>
              </w:rPr>
            </w:pPr>
            <w:r>
              <w:rPr>
                <w:rFonts w:ascii="黑体" w:eastAsia="黑体" w:hAnsi="黑体" w:cs="黑体"/>
                <w:spacing w:val="-4"/>
                <w:position w:val="29"/>
                <w:sz w:val="42"/>
                <w:szCs w:val="42"/>
              </w:rPr>
              <w:t>本公司工程造价咨询人员均应遵守执行本制度。</w:t>
            </w:r>
          </w:p>
          <w:p>
            <w:pPr>
              <w:spacing w:before="1" w:line="220" w:lineRule="auto"/>
              <w:ind w:left="2777"/>
              <w:rPr>
                <w:rFonts w:ascii="黑体" w:eastAsia="黑体" w:hAnsi="黑体" w:cs="黑体"/>
                <w:sz w:val="42"/>
                <w:szCs w:val="42"/>
              </w:rPr>
            </w:pPr>
            <w:r>
              <w:rPr>
                <w:rFonts w:ascii="黑体" w:eastAsia="黑体" w:hAnsi="黑体" w:cs="黑体"/>
                <w:spacing w:val="2"/>
                <w:sz w:val="42"/>
                <w:szCs w:val="42"/>
              </w:rPr>
              <w:t>第二章</w:t>
            </w:r>
            <w:r>
              <w:rPr>
                <w:rFonts w:ascii="黑体" w:eastAsia="黑体" w:hAnsi="黑体" w:cs="黑体"/>
                <w:spacing w:val="190"/>
                <w:sz w:val="42"/>
                <w:szCs w:val="42"/>
              </w:rPr>
              <w:t xml:space="preserve"> </w:t>
            </w:r>
            <w:r>
              <w:rPr>
                <w:rFonts w:ascii="黑体" w:eastAsia="黑体" w:hAnsi="黑体" w:cs="黑体"/>
                <w:spacing w:val="2"/>
                <w:sz w:val="42"/>
                <w:szCs w:val="42"/>
              </w:rPr>
              <w:t>保守客户秘密</w:t>
            </w:r>
          </w:p>
        </w:tc>
      </w:tr>
      <w:tr>
        <w:tblPrEx>
          <w:tblW w:w="12571" w:type="dxa"/>
          <w:tblInd w:w="8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/>
        </w:trPr>
        <w:tc>
          <w:tcPr>
            <w:tcW w:w="1652" w:type="dxa"/>
            <w:vAlign w:val="top"/>
          </w:tcPr>
          <w:p>
            <w:pPr>
              <w:spacing w:before="226" w:line="183" w:lineRule="auto"/>
              <w:rPr>
                <w:rFonts w:ascii="黑体" w:eastAsia="黑体" w:hAnsi="黑体" w:cs="黑体"/>
                <w:sz w:val="42"/>
                <w:szCs w:val="42"/>
              </w:rPr>
            </w:pPr>
            <w:r>
              <w:rPr>
                <w:rFonts w:ascii="黑体" w:eastAsia="黑体" w:hAnsi="黑体" w:cs="黑体"/>
                <w:spacing w:val="-4"/>
                <w:sz w:val="42"/>
                <w:szCs w:val="42"/>
              </w:rPr>
              <w:t>第三条</w:t>
            </w:r>
          </w:p>
        </w:tc>
        <w:tc>
          <w:tcPr>
            <w:tcW w:w="10919" w:type="dxa"/>
            <w:vAlign w:val="top"/>
          </w:tcPr>
          <w:p>
            <w:pPr>
              <w:spacing w:before="226" w:line="183" w:lineRule="auto"/>
              <w:jc w:val="right"/>
              <w:rPr>
                <w:rFonts w:ascii="黑体" w:eastAsia="黑体" w:hAnsi="黑体" w:cs="黑体"/>
                <w:sz w:val="42"/>
                <w:szCs w:val="42"/>
              </w:rPr>
            </w:pPr>
            <w:r>
              <w:rPr>
                <w:rFonts w:ascii="黑体" w:eastAsia="黑体" w:hAnsi="黑体" w:cs="黑体"/>
                <w:sz w:val="42"/>
                <w:szCs w:val="42"/>
              </w:rPr>
              <w:t>工程造价咨询项目的清查、核实、审计、估算阶段完成以</w:t>
            </w:r>
          </w:p>
        </w:tc>
      </w:tr>
    </w:tbl>
    <w:p/>
    <w:p>
      <w:pPr>
        <w:spacing w:before="137" w:line="360" w:lineRule="auto"/>
        <w:ind w:right="6"/>
        <w:jc w:val="both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sz w:val="42"/>
          <w:szCs w:val="42"/>
        </w:rPr>
        <w:t>后，各工程造价咨询成员的工作底稿、有关的数据资料，应无保留地</w:t>
      </w:r>
      <w:r>
        <w:rPr>
          <w:rFonts w:ascii="黑体" w:eastAsia="黑体" w:hAnsi="黑体" w:cs="黑体"/>
          <w:spacing w:val="-3"/>
          <w:sz w:val="42"/>
          <w:szCs w:val="42"/>
        </w:rPr>
        <w:t>交与报</w:t>
      </w:r>
      <w:r>
        <w:rPr>
          <w:rFonts w:ascii="黑体" w:eastAsia="黑体" w:hAnsi="黑体" w:cs="黑体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告复核人。报告复核人应将工程造价咨询报告及咨询业务中产生的所有原始</w:t>
      </w:r>
      <w:r>
        <w:rPr>
          <w:rFonts w:ascii="黑体" w:eastAsia="黑体" w:hAnsi="黑体" w:cs="黑体"/>
          <w:spacing w:val="8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资料整理后，交与项目负责人。工程造价咨询报告及所有工作底稿经项目负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4"/>
          <w:sz w:val="42"/>
          <w:szCs w:val="42"/>
        </w:rPr>
        <w:t>责人审查后，再由报告复核人整理归档，未归档的资料及时销毁。</w:t>
      </w:r>
    </w:p>
    <w:p>
      <w:pPr>
        <w:spacing w:line="285" w:lineRule="auto"/>
      </w:pPr>
    </w:p>
    <w:p>
      <w:pPr>
        <w:spacing w:before="136" w:line="812" w:lineRule="exact"/>
        <w:ind w:right="50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position w:val="29"/>
          <w:sz w:val="42"/>
          <w:szCs w:val="42"/>
        </w:rPr>
        <w:t>第四条</w:t>
      </w:r>
      <w:r>
        <w:rPr>
          <w:rFonts w:ascii="黑体" w:eastAsia="黑体" w:hAnsi="黑体" w:cs="黑体"/>
          <w:spacing w:val="60"/>
          <w:position w:val="29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1"/>
          <w:position w:val="29"/>
          <w:sz w:val="42"/>
          <w:szCs w:val="42"/>
        </w:rPr>
        <w:t>工程造价咨询人员除非得到客户的书面许可或依法律、法规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要求公布的，不得将任何资料和情况提供或泄</w:t>
      </w:r>
      <w:r>
        <w:rPr>
          <w:rFonts w:ascii="黑体" w:eastAsia="黑体" w:hAnsi="黑体" w:cs="黑体"/>
          <w:spacing w:val="-6"/>
          <w:sz w:val="42"/>
          <w:szCs w:val="42"/>
        </w:rPr>
        <w:t>露给第三者。</w:t>
      </w:r>
    </w:p>
    <w:p>
      <w:pPr>
        <w:spacing w:before="373" w:line="839" w:lineRule="exact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position w:val="31"/>
          <w:sz w:val="42"/>
          <w:szCs w:val="42"/>
        </w:rPr>
        <w:t>第五条</w:t>
      </w:r>
      <w:r>
        <w:rPr>
          <w:rFonts w:ascii="黑体" w:eastAsia="黑体" w:hAnsi="黑体" w:cs="黑体"/>
          <w:spacing w:val="67"/>
          <w:position w:val="31"/>
          <w:sz w:val="42"/>
          <w:szCs w:val="42"/>
        </w:rPr>
        <w:t xml:space="preserve">   </w:t>
      </w:r>
      <w:r>
        <w:rPr>
          <w:rFonts w:ascii="黑体" w:eastAsia="黑体" w:hAnsi="黑体" w:cs="黑体"/>
          <w:position w:val="31"/>
          <w:sz w:val="42"/>
          <w:szCs w:val="42"/>
        </w:rPr>
        <w:t>工程造价咨询人员不得在公共场所和家属、子女、亲友及任</w:t>
      </w:r>
    </w:p>
    <w:p>
      <w:pPr>
        <w:spacing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何第三者面前谈论与工程造价咨询项目有关的情况。</w:t>
      </w:r>
    </w:p>
    <w:p>
      <w:pPr>
        <w:spacing w:before="361" w:line="792" w:lineRule="exact"/>
        <w:ind w:right="115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3"/>
          <w:position w:val="27"/>
          <w:sz w:val="42"/>
          <w:szCs w:val="42"/>
        </w:rPr>
        <w:t>第六条</w:t>
      </w:r>
      <w:r>
        <w:rPr>
          <w:rFonts w:ascii="黑体" w:eastAsia="黑体" w:hAnsi="黑体" w:cs="黑体"/>
          <w:spacing w:val="59"/>
          <w:position w:val="27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3"/>
          <w:position w:val="27"/>
          <w:sz w:val="42"/>
          <w:szCs w:val="42"/>
        </w:rPr>
        <w:t>工程造价咨询人员不得携带工程造价相关资料游览</w:t>
      </w:r>
      <w:r>
        <w:rPr>
          <w:rFonts w:ascii="黑体" w:eastAsia="黑体" w:hAnsi="黑体" w:cs="黑体"/>
          <w:spacing w:val="-4"/>
          <w:position w:val="27"/>
          <w:sz w:val="42"/>
          <w:szCs w:val="42"/>
        </w:rPr>
        <w:t>、参观、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探亲、访友，不得在公共场所展示客户资料。</w:t>
      </w:r>
    </w:p>
    <w:p>
      <w:pPr>
        <w:spacing w:line="265" w:lineRule="auto"/>
      </w:pPr>
    </w:p>
    <w:p>
      <w:pPr>
        <w:spacing w:before="137" w:line="832" w:lineRule="exact"/>
        <w:ind w:right="37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position w:val="30"/>
          <w:sz w:val="42"/>
          <w:szCs w:val="42"/>
        </w:rPr>
        <w:t>第七条</w:t>
      </w:r>
      <w:r>
        <w:rPr>
          <w:rFonts w:ascii="黑体" w:eastAsia="黑体" w:hAnsi="黑体" w:cs="黑体"/>
          <w:spacing w:val="64"/>
          <w:position w:val="30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1"/>
          <w:position w:val="30"/>
          <w:sz w:val="42"/>
          <w:szCs w:val="42"/>
        </w:rPr>
        <w:t>工程造价咨询人员不得在不利于保密的地方存放和使用有关</w:t>
      </w:r>
    </w:p>
    <w:p>
      <w:pPr>
        <w:spacing w:before="1" w:line="221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1"/>
          <w:sz w:val="42"/>
          <w:szCs w:val="42"/>
        </w:rPr>
        <w:t>工程造价咨询资料。</w:t>
      </w:r>
    </w:p>
    <w:p>
      <w:pPr>
        <w:spacing w:before="364" w:line="810" w:lineRule="exact"/>
        <w:ind w:right="115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3"/>
          <w:position w:val="28"/>
          <w:sz w:val="42"/>
          <w:szCs w:val="42"/>
        </w:rPr>
        <w:t>第八条</w:t>
      </w:r>
      <w:r>
        <w:rPr>
          <w:rFonts w:ascii="黑体" w:eastAsia="黑体" w:hAnsi="黑体" w:cs="黑体"/>
          <w:spacing w:val="59"/>
          <w:position w:val="28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3"/>
          <w:position w:val="28"/>
          <w:sz w:val="42"/>
          <w:szCs w:val="42"/>
        </w:rPr>
        <w:t>工程造价咨询人员不得泄露本公司的工作方针、经</w:t>
      </w:r>
      <w:r>
        <w:rPr>
          <w:rFonts w:ascii="黑体" w:eastAsia="黑体" w:hAnsi="黑体" w:cs="黑体"/>
          <w:spacing w:val="-4"/>
          <w:position w:val="28"/>
          <w:sz w:val="42"/>
          <w:szCs w:val="42"/>
        </w:rPr>
        <w:t>营原则、</w:t>
      </w:r>
    </w:p>
    <w:p>
      <w:pPr>
        <w:spacing w:before="2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发展规划及有关经济活动和内部掌握的政策和策略。</w:t>
      </w:r>
    </w:p>
    <w:p>
      <w:pPr>
        <w:spacing w:before="348" w:line="821" w:lineRule="exact"/>
        <w:ind w:right="50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position w:val="29"/>
          <w:sz w:val="42"/>
          <w:szCs w:val="42"/>
        </w:rPr>
        <w:t>第九条</w:t>
      </w:r>
      <w:r>
        <w:rPr>
          <w:rFonts w:ascii="黑体" w:eastAsia="黑体" w:hAnsi="黑体" w:cs="黑体"/>
          <w:spacing w:val="62"/>
          <w:position w:val="29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1"/>
          <w:position w:val="29"/>
          <w:sz w:val="42"/>
          <w:szCs w:val="42"/>
        </w:rPr>
        <w:t>工程造价咨询人员未经同意不得将未完成的工</w:t>
      </w:r>
      <w:r>
        <w:rPr>
          <w:rFonts w:ascii="黑体" w:eastAsia="黑体" w:hAnsi="黑体" w:cs="黑体"/>
          <w:spacing w:val="-2"/>
          <w:position w:val="29"/>
          <w:sz w:val="42"/>
          <w:szCs w:val="42"/>
        </w:rPr>
        <w:t>程造价咨询工</w:t>
      </w:r>
    </w:p>
    <w:p>
      <w:pPr>
        <w:spacing w:before="2" w:line="221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4"/>
          <w:sz w:val="42"/>
          <w:szCs w:val="42"/>
        </w:rPr>
        <w:t>作带回家作业。</w:t>
      </w:r>
    </w:p>
    <w:p>
      <w:pPr>
        <w:spacing w:before="333" w:line="221" w:lineRule="auto"/>
        <w:ind w:left="505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8"/>
          <w:sz w:val="42"/>
          <w:szCs w:val="42"/>
        </w:rPr>
        <w:t>第三章</w:t>
      </w:r>
      <w:r>
        <w:rPr>
          <w:rFonts w:ascii="黑体" w:eastAsia="黑体" w:hAnsi="黑体" w:cs="黑体"/>
          <w:spacing w:val="45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8"/>
          <w:sz w:val="42"/>
          <w:szCs w:val="42"/>
        </w:rPr>
        <w:t>保守公司秘密</w:t>
      </w:r>
    </w:p>
    <w:p>
      <w:pPr>
        <w:spacing w:before="348" w:line="221" w:lineRule="auto"/>
        <w:ind w:right="46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第十条</w:t>
      </w:r>
      <w:r>
        <w:rPr>
          <w:rFonts w:ascii="黑体" w:eastAsia="黑体" w:hAnsi="黑体" w:cs="黑体"/>
          <w:spacing w:val="61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1"/>
          <w:sz w:val="42"/>
          <w:szCs w:val="42"/>
        </w:rPr>
        <w:t>工程造价咨询人员不得擅自将本公司工程造价咨询依据资料</w:t>
      </w:r>
    </w:p>
    <w:p>
      <w:pPr>
        <w:spacing w:before="326" w:line="223" w:lineRule="auto"/>
        <w:ind w:left="6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b/>
          <w:bCs/>
          <w:spacing w:val="-14"/>
          <w:sz w:val="42"/>
          <w:szCs w:val="42"/>
        </w:rPr>
        <w:t>外借。</w:t>
      </w:r>
    </w:p>
    <w:p>
      <w:pPr>
        <w:spacing w:before="306" w:line="213" w:lineRule="auto"/>
        <w:ind w:right="60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第十一条</w:t>
      </w:r>
      <w:r>
        <w:rPr>
          <w:rFonts w:ascii="黑体" w:eastAsia="黑体" w:hAnsi="黑体" w:cs="黑体"/>
          <w:spacing w:val="58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1"/>
          <w:sz w:val="42"/>
          <w:szCs w:val="42"/>
        </w:rPr>
        <w:t>工程造价咨询人员查阅有关的工程造价咨询</w:t>
      </w:r>
      <w:r>
        <w:rPr>
          <w:rFonts w:ascii="黑体" w:eastAsia="黑体" w:hAnsi="黑体" w:cs="黑体"/>
          <w:spacing w:val="-2"/>
          <w:sz w:val="42"/>
          <w:szCs w:val="42"/>
        </w:rPr>
        <w:t>档案，须经本</w:t>
      </w:r>
    </w:p>
    <w:p>
      <w:pPr>
        <w:spacing w:line="213" w:lineRule="auto"/>
        <w:rPr>
          <w:rFonts w:ascii="黑体" w:eastAsia="黑体" w:hAnsi="黑体" w:cs="黑体"/>
          <w:sz w:val="42"/>
          <w:szCs w:val="42"/>
        </w:rPr>
        <w:sectPr>
          <w:headerReference w:type="default" r:id="rId13"/>
          <w:pgSz w:w="17860" w:h="25260"/>
          <w:pgMar w:top="400" w:right="2177" w:bottom="0" w:left="1839" w:header="0" w:footer="0" w:gutter="0"/>
          <w:pgNumType w:start="10"/>
          <w:cols w:num="1" w:space="720"/>
        </w:sectPr>
      </w:pPr>
    </w:p>
    <w:p>
      <w:pPr>
        <w:spacing w:line="250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before="136" w:line="221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7"/>
          <w:sz w:val="42"/>
          <w:szCs w:val="42"/>
        </w:rPr>
        <w:t>公司业务负责人同意办理相关手续后方可查阅。</w:t>
      </w:r>
    </w:p>
    <w:p>
      <w:pPr>
        <w:spacing w:line="249" w:lineRule="auto"/>
      </w:pPr>
    </w:p>
    <w:p>
      <w:pPr>
        <w:spacing w:before="137" w:line="814" w:lineRule="exact"/>
        <w:ind w:right="5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position w:val="29"/>
          <w:sz w:val="42"/>
          <w:szCs w:val="42"/>
        </w:rPr>
        <w:t>第十二条</w:t>
      </w:r>
      <w:r>
        <w:rPr>
          <w:rFonts w:ascii="黑体" w:eastAsia="黑体" w:hAnsi="黑体" w:cs="黑体"/>
          <w:spacing w:val="64"/>
          <w:position w:val="29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1"/>
          <w:position w:val="29"/>
          <w:sz w:val="42"/>
          <w:szCs w:val="42"/>
        </w:rPr>
        <w:t>工程造价咨询人员不得泄露本公司开发重要社会活动的情</w:t>
      </w:r>
    </w:p>
    <w:p>
      <w:pPr>
        <w:spacing w:line="223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况。</w:t>
      </w:r>
    </w:p>
    <w:p>
      <w:pPr>
        <w:spacing w:before="362" w:line="358" w:lineRule="auto"/>
        <w:ind w:firstLine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z w:val="42"/>
          <w:szCs w:val="42"/>
        </w:rPr>
        <w:t>第十三条</w:t>
      </w:r>
      <w:r>
        <w:rPr>
          <w:rFonts w:ascii="黑体" w:eastAsia="黑体" w:hAnsi="黑体" w:cs="黑体"/>
          <w:spacing w:val="58"/>
          <w:sz w:val="42"/>
          <w:szCs w:val="42"/>
        </w:rPr>
        <w:t xml:space="preserve">   </w:t>
      </w:r>
      <w:r>
        <w:rPr>
          <w:rFonts w:ascii="黑体" w:eastAsia="黑体" w:hAnsi="黑体" w:cs="黑体"/>
          <w:sz w:val="42"/>
          <w:szCs w:val="42"/>
        </w:rPr>
        <w:t>工程造价咨询人员除非接受有关主管部门或</w:t>
      </w:r>
      <w:r>
        <w:rPr>
          <w:rFonts w:ascii="黑体" w:eastAsia="黑体" w:hAnsi="黑体" w:cs="黑体"/>
          <w:spacing w:val="-1"/>
          <w:sz w:val="42"/>
          <w:szCs w:val="42"/>
        </w:rPr>
        <w:t>协会检查不得</w:t>
      </w:r>
      <w:r>
        <w:rPr>
          <w:rFonts w:ascii="黑体" w:eastAsia="黑体" w:hAnsi="黑体" w:cs="黑体"/>
          <w:spacing w:val="2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将本公司的造价管理制度、操作规范、工作底稿范本等科研成果提供或泄露</w:t>
      </w:r>
      <w:r>
        <w:rPr>
          <w:rFonts w:ascii="黑体" w:eastAsia="黑体" w:hAnsi="黑体" w:cs="黑体"/>
          <w:spacing w:val="17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"/>
          <w:sz w:val="42"/>
          <w:szCs w:val="42"/>
        </w:rPr>
        <w:t>给本公司以外的单位或个人；在与同行经验交流，或向公开媒体投稿时应就</w:t>
      </w:r>
      <w:r>
        <w:rPr>
          <w:rFonts w:ascii="黑体" w:eastAsia="黑体" w:hAnsi="黑体" w:cs="黑体"/>
          <w:spacing w:val="18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披露的内容事先征得负责人书面同意，除工作需要，不得将上述资料私自带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8"/>
          <w:sz w:val="42"/>
          <w:szCs w:val="42"/>
        </w:rPr>
        <w:t>出公司，不得擅自复制、抄录。</w:t>
      </w:r>
    </w:p>
    <w:p>
      <w:pPr>
        <w:spacing w:line="296" w:lineRule="auto"/>
      </w:pPr>
    </w:p>
    <w:p>
      <w:pPr>
        <w:spacing w:before="136" w:line="222" w:lineRule="auto"/>
        <w:ind w:left="589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2"/>
          <w:sz w:val="42"/>
          <w:szCs w:val="42"/>
        </w:rPr>
        <w:t>第四章</w:t>
      </w:r>
      <w:r>
        <w:rPr>
          <w:rFonts w:ascii="黑体" w:eastAsia="黑体" w:hAnsi="黑体" w:cs="黑体"/>
          <w:spacing w:val="199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2"/>
          <w:sz w:val="42"/>
          <w:szCs w:val="42"/>
        </w:rPr>
        <w:t>附</w:t>
      </w:r>
      <w:r>
        <w:rPr>
          <w:rFonts w:ascii="黑体" w:eastAsia="黑体" w:hAnsi="黑体" w:cs="黑体"/>
          <w:spacing w:val="15"/>
          <w:sz w:val="42"/>
          <w:szCs w:val="42"/>
        </w:rPr>
        <w:t xml:space="preserve">  </w:t>
      </w:r>
      <w:r>
        <w:rPr>
          <w:rFonts w:ascii="黑体" w:eastAsia="黑体" w:hAnsi="黑体" w:cs="黑体"/>
          <w:spacing w:val="-12"/>
          <w:sz w:val="42"/>
          <w:szCs w:val="42"/>
        </w:rPr>
        <w:t>则</w:t>
      </w:r>
    </w:p>
    <w:p>
      <w:pPr>
        <w:spacing w:before="316" w:line="820" w:lineRule="exact"/>
        <w:ind w:right="5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position w:val="30"/>
          <w:sz w:val="42"/>
          <w:szCs w:val="42"/>
        </w:rPr>
        <w:t>第十四条</w:t>
      </w:r>
      <w:r>
        <w:rPr>
          <w:rFonts w:ascii="黑体" w:eastAsia="黑体" w:hAnsi="黑体" w:cs="黑体"/>
          <w:spacing w:val="64"/>
          <w:position w:val="30"/>
          <w:sz w:val="42"/>
          <w:szCs w:val="42"/>
        </w:rPr>
        <w:t xml:space="preserve">   </w:t>
      </w:r>
      <w:r>
        <w:rPr>
          <w:rFonts w:ascii="黑体" w:eastAsia="黑体" w:hAnsi="黑体" w:cs="黑体"/>
          <w:spacing w:val="-1"/>
          <w:position w:val="30"/>
          <w:sz w:val="42"/>
          <w:szCs w:val="42"/>
        </w:rPr>
        <w:t>违反本制度，按本公司的有关规定处理，情节严重、构成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犯罪的，由司法机关追究其刑事责任。</w:t>
      </w:r>
    </w:p>
    <w:p>
      <w:pPr>
        <w:spacing w:before="373" w:line="221" w:lineRule="auto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第十五条    由公司负责解释和修订。</w:t>
      </w: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1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line="242" w:lineRule="auto"/>
      </w:pPr>
    </w:p>
    <w:p>
      <w:pPr>
        <w:spacing w:before="137" w:line="222" w:lineRule="auto"/>
        <w:ind w:left="5706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b/>
          <w:bCs/>
          <w:spacing w:val="-11"/>
          <w:sz w:val="42"/>
          <w:szCs w:val="42"/>
        </w:rPr>
        <w:t>内部控制制度</w:t>
      </w:r>
    </w:p>
    <w:p>
      <w:pPr>
        <w:pStyle w:val="BodyText"/>
        <w:spacing w:before="350" w:line="221" w:lineRule="auto"/>
        <w:ind w:left="1079"/>
        <w:rPr>
          <w:rFonts w:ascii="黑体" w:eastAsia="黑体" w:hAnsi="黑体" w:cs="黑体"/>
          <w:sz w:val="42"/>
          <w:szCs w:val="42"/>
        </w:rPr>
      </w:pPr>
      <w:r>
        <w:rPr>
          <w:rFonts w:ascii="Arial" w:eastAsia="Arial" w:hAnsi="Arial" w:cs="Arial"/>
          <w:spacing w:val="5"/>
          <w:sz w:val="42"/>
          <w:szCs w:val="42"/>
        </w:rPr>
        <w:t>l</w:t>
      </w:r>
      <w:r>
        <w:rPr>
          <w:spacing w:val="5"/>
          <w:sz w:val="42"/>
          <w:szCs w:val="42"/>
        </w:rPr>
        <w:t>、</w:t>
      </w:r>
      <w:r>
        <w:rPr>
          <w:rFonts w:ascii="黑体" w:eastAsia="黑体" w:hAnsi="黑体" w:cs="黑体"/>
          <w:spacing w:val="5"/>
          <w:sz w:val="42"/>
          <w:szCs w:val="42"/>
        </w:rPr>
        <w:t>三级复核</w:t>
      </w:r>
    </w:p>
    <w:p>
      <w:pPr>
        <w:spacing w:before="348" w:line="802" w:lineRule="exact"/>
        <w:ind w:left="8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position w:val="28"/>
          <w:sz w:val="42"/>
          <w:szCs w:val="42"/>
        </w:rPr>
        <w:t>(1)项目负责人必须对工程师的审计思路、审计方法及计算底稿等进行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sz w:val="42"/>
          <w:szCs w:val="42"/>
        </w:rPr>
        <w:t>全过程复核，随时检查，并做好记录；</w:t>
      </w:r>
    </w:p>
    <w:p>
      <w:pPr>
        <w:spacing w:before="365" w:line="213" w:lineRule="auto"/>
        <w:ind w:left="109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(2)部门主任必须掌握每个项目的审计进度和审计质量，并随机抽查进</w:t>
      </w:r>
    </w:p>
    <w:p>
      <w:pPr>
        <w:spacing w:line="213" w:lineRule="auto"/>
        <w:rPr>
          <w:rFonts w:ascii="黑体" w:eastAsia="黑体" w:hAnsi="黑体" w:cs="黑体"/>
          <w:sz w:val="42"/>
          <w:szCs w:val="42"/>
        </w:rPr>
        <w:sectPr>
          <w:headerReference w:type="default" r:id="rId14"/>
          <w:pgSz w:w="17860" w:h="25260"/>
          <w:pgMar w:top="400" w:right="2168" w:bottom="0" w:left="1839" w:header="0" w:footer="0" w:gutter="0"/>
          <w:pgNumType w:start="11"/>
          <w:cols w:num="1" w:space="720"/>
        </w:sectPr>
      </w:pPr>
    </w:p>
    <w:p>
      <w:pPr>
        <w:spacing w:line="249" w:lineRule="auto"/>
      </w:pPr>
    </w:p>
    <w:p>
      <w:pPr>
        <w:spacing w:line="249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before="136" w:line="213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2"/>
          <w:sz w:val="42"/>
          <w:szCs w:val="42"/>
        </w:rPr>
        <w:t>度和质量情况；</w:t>
      </w:r>
    </w:p>
    <w:p>
      <w:pPr>
        <w:spacing w:line="245" w:lineRule="auto"/>
      </w:pPr>
    </w:p>
    <w:p>
      <w:pPr>
        <w:spacing w:before="137" w:line="832" w:lineRule="exact"/>
        <w:ind w:left="106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position w:val="30"/>
          <w:sz w:val="42"/>
          <w:szCs w:val="42"/>
        </w:rPr>
        <w:t>(3)技术负责人对所有项目的审核情况、计算底稿等资料根据不同进度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情况进行复核，提出整改意见并签字；</w:t>
      </w:r>
    </w:p>
    <w:p>
      <w:pPr>
        <w:spacing w:before="373" w:line="365" w:lineRule="auto"/>
        <w:ind w:firstLine="106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(4)审计人员对送审的工程结算造价逐项进行审计，编制《工程审计计</w:t>
      </w:r>
      <w:r>
        <w:rPr>
          <w:rFonts w:ascii="黑体" w:eastAsia="黑体" w:hAnsi="黑体" w:cs="黑体"/>
          <w:spacing w:val="12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算书》和审计调整明细表征求意见稿，拟写初审意见，交项目负责人复核；</w:t>
      </w:r>
      <w:r>
        <w:rPr>
          <w:rFonts w:ascii="黑体" w:eastAsia="黑体" w:hAnsi="黑体" w:cs="黑体"/>
          <w:spacing w:val="2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项目负责人复核同意后，将初审意见和征求意见稿交送部门主任及技术负责</w:t>
      </w:r>
      <w:r>
        <w:rPr>
          <w:rFonts w:ascii="黑体" w:eastAsia="黑体" w:hAnsi="黑体" w:cs="黑体"/>
          <w:spacing w:val="15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人：审核通过后交送委托人，由委托人送交</w:t>
      </w:r>
      <w:r>
        <w:rPr>
          <w:rFonts w:ascii="黑体" w:eastAsia="黑体" w:hAnsi="黑体" w:cs="黑体"/>
          <w:spacing w:val="-2"/>
          <w:sz w:val="42"/>
          <w:szCs w:val="42"/>
        </w:rPr>
        <w:t>建设方和施工方征求意见；委托</w:t>
      </w:r>
      <w:r>
        <w:rPr>
          <w:rFonts w:ascii="黑体" w:eastAsia="黑体" w:hAnsi="黑体" w:cs="黑体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人、建设方、施工方对审计的工程结算造价达成一致意见后，项目负责人将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审定意见交部主任、技术负责人进行最终审定；</w:t>
      </w:r>
    </w:p>
    <w:p>
      <w:pPr>
        <w:spacing w:line="246" w:lineRule="auto"/>
      </w:pPr>
    </w:p>
    <w:p>
      <w:pPr>
        <w:spacing w:before="136" w:line="222" w:lineRule="auto"/>
        <w:ind w:left="106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(5)出具审核报告书程序</w:t>
      </w:r>
    </w:p>
    <w:p>
      <w:pPr>
        <w:spacing w:line="248" w:lineRule="auto"/>
      </w:pPr>
    </w:p>
    <w:p>
      <w:pPr>
        <w:spacing w:before="137" w:line="361" w:lineRule="auto"/>
        <w:ind w:right="6" w:firstLine="106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8"/>
          <w:sz w:val="42"/>
          <w:szCs w:val="42"/>
        </w:rPr>
        <w:t>项目负责人草拟《工程结算造价审计报告书》,《工程结算造价审计报</w:t>
      </w:r>
      <w:r>
        <w:rPr>
          <w:rFonts w:ascii="黑体" w:eastAsia="黑体" w:hAnsi="黑体" w:cs="黑体"/>
          <w:sz w:val="42"/>
          <w:szCs w:val="42"/>
        </w:rPr>
        <w:t xml:space="preserve">  </w:t>
      </w:r>
      <w:r>
        <w:rPr>
          <w:rFonts w:ascii="黑体" w:eastAsia="黑体" w:hAnsi="黑体" w:cs="黑体"/>
          <w:spacing w:val="-1"/>
          <w:sz w:val="42"/>
          <w:szCs w:val="42"/>
        </w:rPr>
        <w:t>告书》由技术负责人签发，编号后打印成文，并盖上项目负责人执业资格专</w:t>
      </w:r>
      <w:r>
        <w:rPr>
          <w:rFonts w:ascii="黑体" w:eastAsia="黑体" w:hAnsi="黑体" w:cs="黑体"/>
          <w:spacing w:val="8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7"/>
          <w:sz w:val="42"/>
          <w:szCs w:val="42"/>
        </w:rPr>
        <w:t>用章和咨询单位专用章。《工程结算造价审计报告书》</w:t>
      </w:r>
      <w:r>
        <w:rPr>
          <w:rFonts w:ascii="黑体" w:eastAsia="黑体" w:hAnsi="黑体" w:cs="黑体"/>
          <w:spacing w:val="-8"/>
          <w:sz w:val="42"/>
          <w:szCs w:val="42"/>
        </w:rPr>
        <w:t>送交委托人要办理送</w:t>
      </w:r>
    </w:p>
    <w:p>
      <w:pPr>
        <w:spacing w:before="2" w:line="223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4"/>
          <w:sz w:val="42"/>
          <w:szCs w:val="42"/>
        </w:rPr>
        <w:t>达手续。</w:t>
      </w:r>
    </w:p>
    <w:p>
      <w:pPr>
        <w:spacing w:before="338" w:line="222" w:lineRule="auto"/>
        <w:ind w:left="106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6"/>
          <w:sz w:val="42"/>
          <w:szCs w:val="42"/>
        </w:rPr>
        <w:t>2、</w:t>
      </w:r>
      <w:r>
        <w:rPr>
          <w:rFonts w:ascii="黑体" w:eastAsia="黑体" w:hAnsi="黑体" w:cs="黑体"/>
          <w:spacing w:val="-77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6"/>
          <w:sz w:val="42"/>
          <w:szCs w:val="42"/>
        </w:rPr>
        <w:t>日常检查</w:t>
      </w:r>
    </w:p>
    <w:p>
      <w:pPr>
        <w:spacing w:before="347" w:line="360" w:lineRule="auto"/>
        <w:ind w:right="5" w:firstLine="106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公司总经理、技术负责人及部门主任定期抽查或不定期检查，强化执 业人员的质量意识，做到防控结合，以防为主。对于执业过程中的重大问题</w:t>
      </w:r>
      <w:r>
        <w:rPr>
          <w:rFonts w:ascii="黑体" w:eastAsia="黑体" w:hAnsi="黑体" w:cs="黑体"/>
          <w:spacing w:val="10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要及时发现、及时处理、及时纠正，并通报所有执业人员，提</w:t>
      </w:r>
      <w:r>
        <w:rPr>
          <w:rFonts w:ascii="黑体" w:eastAsia="黑体" w:hAnsi="黑体" w:cs="黑体"/>
          <w:spacing w:val="-2"/>
          <w:sz w:val="42"/>
          <w:szCs w:val="42"/>
        </w:rPr>
        <w:t>起注意，以防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以后再出现类似情况，必要时还可采取一定的惩罚措施。</w:t>
      </w:r>
    </w:p>
    <w:p>
      <w:pPr>
        <w:spacing w:line="265" w:lineRule="auto"/>
      </w:pPr>
    </w:p>
    <w:p>
      <w:pPr>
        <w:spacing w:before="136" w:line="221" w:lineRule="auto"/>
        <w:ind w:left="12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9"/>
          <w:sz w:val="42"/>
          <w:szCs w:val="42"/>
        </w:rPr>
        <w:t>3、</w:t>
      </w:r>
      <w:r>
        <w:rPr>
          <w:rFonts w:ascii="黑体" w:eastAsia="黑体" w:hAnsi="黑体" w:cs="黑体"/>
          <w:spacing w:val="-121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9"/>
          <w:sz w:val="42"/>
          <w:szCs w:val="42"/>
        </w:rPr>
        <w:t>业务总结</w:t>
      </w:r>
    </w:p>
    <w:p>
      <w:pPr>
        <w:spacing w:before="330" w:line="848" w:lineRule="exact"/>
        <w:ind w:right="25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position w:val="32"/>
          <w:sz w:val="42"/>
          <w:szCs w:val="42"/>
        </w:rPr>
        <w:t>项目结束后，项目负责人及审计人员都应编写审计业务工作总结，记</w:t>
      </w:r>
    </w:p>
    <w:p>
      <w:pPr>
        <w:spacing w:before="2" w:line="220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录审计过程中的重大问题及解决方法。</w:t>
      </w:r>
    </w:p>
    <w:p>
      <w:pPr>
        <w:spacing w:before="327" w:line="221" w:lineRule="auto"/>
        <w:ind w:left="12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0"/>
          <w:sz w:val="42"/>
          <w:szCs w:val="42"/>
        </w:rPr>
        <w:t>4、</w:t>
      </w:r>
      <w:r>
        <w:rPr>
          <w:rFonts w:ascii="黑体" w:eastAsia="黑体" w:hAnsi="黑体" w:cs="黑体"/>
          <w:spacing w:val="-95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0"/>
          <w:sz w:val="42"/>
          <w:szCs w:val="42"/>
        </w:rPr>
        <w:t>绩效评价</w:t>
      </w:r>
    </w:p>
    <w:p>
      <w:pPr>
        <w:spacing w:before="319" w:line="213" w:lineRule="auto"/>
        <w:ind w:left="126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4"/>
          <w:sz w:val="42"/>
          <w:szCs w:val="42"/>
        </w:rPr>
        <w:t>对项目负责人及各个执业人员要有合理、公正地评定，为人员晋升、</w:t>
      </w:r>
    </w:p>
    <w:p>
      <w:pPr>
        <w:spacing w:line="213" w:lineRule="auto"/>
        <w:rPr>
          <w:rFonts w:ascii="黑体" w:eastAsia="黑体" w:hAnsi="黑体" w:cs="黑体"/>
          <w:sz w:val="42"/>
          <w:szCs w:val="42"/>
        </w:rPr>
        <w:sectPr>
          <w:headerReference w:type="default" r:id="rId15"/>
          <w:pgSz w:w="17860" w:h="25260"/>
          <w:pgMar w:top="400" w:right="2166" w:bottom="0" w:left="1849" w:header="0" w:footer="0" w:gutter="0"/>
          <w:pgNumType w:start="12"/>
          <w:cols w:num="1" w:space="720"/>
        </w:sectPr>
      </w:pPr>
    </w:p>
    <w:p>
      <w:pPr>
        <w:spacing w:line="252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line="253" w:lineRule="auto"/>
      </w:pPr>
    </w:p>
    <w:p>
      <w:pPr>
        <w:spacing w:before="136" w:line="22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1"/>
          <w:sz w:val="42"/>
          <w:szCs w:val="42"/>
        </w:rPr>
        <w:t>奖金分配提供参考。</w:t>
      </w:r>
    </w:p>
    <w:p>
      <w:pPr>
        <w:spacing w:before="350" w:line="363" w:lineRule="auto"/>
        <w:ind w:right="126" w:firstLine="130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6"/>
          <w:sz w:val="42"/>
          <w:szCs w:val="42"/>
        </w:rPr>
        <w:t>(1)公司相关领导参考项目组成人员对项目负责人的评价对项目负责</w:t>
      </w:r>
      <w:r>
        <w:rPr>
          <w:rFonts w:ascii="黑体" w:eastAsia="黑体" w:hAnsi="黑体" w:cs="黑体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4"/>
          <w:sz w:val="42"/>
          <w:szCs w:val="42"/>
        </w:rPr>
        <w:t>人的沟通协调能力(包括与业主单位的沟通能力、项</w:t>
      </w:r>
      <w:r>
        <w:rPr>
          <w:rFonts w:ascii="黑体" w:eastAsia="黑体" w:hAnsi="黑体" w:cs="黑体"/>
          <w:spacing w:val="-5"/>
          <w:sz w:val="42"/>
          <w:szCs w:val="42"/>
        </w:rPr>
        <w:t>目组内部协调能力、与 公司领导的信息反馈情况等)、项目计划的完成情况(包括审核质量、完成时</w:t>
      </w:r>
      <w:r>
        <w:rPr>
          <w:rFonts w:ascii="黑体" w:eastAsia="黑体" w:hAnsi="黑体" w:cs="黑体"/>
          <w:spacing w:val="3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3"/>
          <w:sz w:val="42"/>
          <w:szCs w:val="42"/>
        </w:rPr>
        <w:t>间、底稿的规范性、报告的质量等)、报告复</w:t>
      </w:r>
      <w:r>
        <w:rPr>
          <w:rFonts w:ascii="黑体" w:eastAsia="黑体" w:hAnsi="黑体" w:cs="黑体"/>
          <w:spacing w:val="-4"/>
          <w:sz w:val="42"/>
          <w:szCs w:val="42"/>
        </w:rPr>
        <w:t>核重大问题的发现及解决情况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z w:val="42"/>
          <w:szCs w:val="42"/>
        </w:rPr>
        <w:t>等进行打分评定，分为称职、基本称职、不称</w:t>
      </w:r>
      <w:r>
        <w:rPr>
          <w:rFonts w:ascii="黑体" w:eastAsia="黑体" w:hAnsi="黑体" w:cs="黑体"/>
          <w:spacing w:val="-1"/>
          <w:sz w:val="42"/>
          <w:szCs w:val="42"/>
        </w:rPr>
        <w:t>职；</w:t>
      </w:r>
    </w:p>
    <w:p>
      <w:pPr>
        <w:spacing w:line="284" w:lineRule="auto"/>
      </w:pPr>
    </w:p>
    <w:p>
      <w:pPr>
        <w:spacing w:before="137" w:line="361" w:lineRule="auto"/>
        <w:ind w:right="286" w:firstLine="108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7"/>
          <w:sz w:val="42"/>
          <w:szCs w:val="42"/>
        </w:rPr>
        <w:t>(2)项目负责人对项目组成员项目计划的完成情况(包括审计质量、完</w:t>
      </w:r>
      <w:r>
        <w:rPr>
          <w:rFonts w:ascii="黑体" w:eastAsia="黑体" w:hAnsi="黑体" w:cs="黑体"/>
          <w:spacing w:val="5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4"/>
          <w:sz w:val="42"/>
          <w:szCs w:val="42"/>
        </w:rPr>
        <w:t>成时间、底稿的规范性、报告的质量等)进行打分评定，分为称职、基本称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5"/>
          <w:sz w:val="42"/>
          <w:szCs w:val="42"/>
        </w:rPr>
        <w:t>职、不称职；</w:t>
      </w:r>
    </w:p>
    <w:p>
      <w:pPr>
        <w:spacing w:before="363" w:line="368" w:lineRule="auto"/>
        <w:ind w:firstLine="1089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5"/>
          <w:sz w:val="42"/>
          <w:szCs w:val="42"/>
        </w:rPr>
        <w:t>(3)连续三次评定为称职的项目负责人，进行相应的奖励；连续三次评</w:t>
      </w:r>
      <w:r>
        <w:rPr>
          <w:rFonts w:ascii="黑体" w:eastAsia="黑体" w:hAnsi="黑体" w:cs="黑体"/>
          <w:spacing w:val="3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定为不称职的项目负责人，降级使用，并进</w:t>
      </w:r>
      <w:r>
        <w:rPr>
          <w:rFonts w:ascii="黑体" w:eastAsia="黑体" w:hAnsi="黑体" w:cs="黑体"/>
          <w:spacing w:val="-2"/>
          <w:sz w:val="42"/>
          <w:szCs w:val="42"/>
        </w:rPr>
        <w:t>行相应处罚；连续三次评定为称</w:t>
      </w:r>
      <w:r>
        <w:rPr>
          <w:rFonts w:ascii="黑体" w:eastAsia="黑体" w:hAnsi="黑体" w:cs="黑体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1"/>
          <w:sz w:val="42"/>
          <w:szCs w:val="42"/>
        </w:rPr>
        <w:t>职的项目组成员，进行相应奖励；连续三次评定为不称职的</w:t>
      </w:r>
      <w:r>
        <w:rPr>
          <w:rFonts w:ascii="黑体" w:eastAsia="黑体" w:hAnsi="黑体" w:cs="黑体"/>
          <w:spacing w:val="-2"/>
          <w:sz w:val="42"/>
          <w:szCs w:val="42"/>
        </w:rPr>
        <w:t>项目组成员，并</w:t>
      </w:r>
    </w:p>
    <w:p>
      <w:pPr>
        <w:spacing w:before="1" w:line="221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2"/>
          <w:sz w:val="42"/>
          <w:szCs w:val="42"/>
        </w:rPr>
        <w:t>进行相应处罚。</w:t>
      </w: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0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line="251" w:lineRule="auto"/>
      </w:pPr>
    </w:p>
    <w:p>
      <w:pPr>
        <w:spacing w:before="136" w:line="221" w:lineRule="auto"/>
        <w:ind w:left="5676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b/>
          <w:bCs/>
          <w:spacing w:val="-8"/>
          <w:sz w:val="42"/>
          <w:szCs w:val="42"/>
        </w:rPr>
        <w:t>财务管理制度</w:t>
      </w:r>
    </w:p>
    <w:p>
      <w:pPr>
        <w:spacing w:before="294" w:line="841" w:lineRule="exact"/>
        <w:ind w:left="52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3"/>
          <w:position w:val="31"/>
          <w:sz w:val="42"/>
          <w:szCs w:val="42"/>
        </w:rPr>
        <w:t>公司财务管理制度</w:t>
      </w:r>
    </w:p>
    <w:p>
      <w:pPr>
        <w:spacing w:before="2" w:line="221" w:lineRule="auto"/>
        <w:ind w:left="5770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0"/>
          <w:sz w:val="42"/>
          <w:szCs w:val="42"/>
        </w:rPr>
        <w:t>第</w:t>
      </w:r>
      <w:r>
        <w:rPr>
          <w:rFonts w:ascii="黑体" w:eastAsia="黑体" w:hAnsi="黑体" w:cs="黑体"/>
          <w:spacing w:val="-54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0"/>
          <w:sz w:val="42"/>
          <w:szCs w:val="42"/>
        </w:rPr>
        <w:t>1</w:t>
      </w:r>
      <w:r>
        <w:rPr>
          <w:rFonts w:ascii="黑体" w:eastAsia="黑体" w:hAnsi="黑体" w:cs="黑体"/>
          <w:spacing w:val="-75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0"/>
          <w:sz w:val="42"/>
          <w:szCs w:val="42"/>
        </w:rPr>
        <w:t>章</w:t>
      </w:r>
      <w:r>
        <w:rPr>
          <w:rFonts w:ascii="黑体" w:eastAsia="黑体" w:hAnsi="黑体" w:cs="黑体"/>
          <w:spacing w:val="-68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0"/>
          <w:sz w:val="42"/>
          <w:szCs w:val="42"/>
        </w:rPr>
        <w:t>总</w:t>
      </w:r>
      <w:r>
        <w:rPr>
          <w:rFonts w:ascii="黑体" w:eastAsia="黑体" w:hAnsi="黑体" w:cs="黑体"/>
          <w:spacing w:val="-79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0"/>
          <w:sz w:val="42"/>
          <w:szCs w:val="42"/>
        </w:rPr>
        <w:t>则</w:t>
      </w:r>
    </w:p>
    <w:p>
      <w:pPr>
        <w:spacing w:before="346" w:line="800" w:lineRule="exact"/>
        <w:ind w:right="6"/>
        <w:jc w:val="right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2"/>
          <w:position w:val="28"/>
          <w:sz w:val="42"/>
          <w:szCs w:val="42"/>
        </w:rPr>
        <w:t>第一条</w:t>
      </w:r>
      <w:r>
        <w:rPr>
          <w:rFonts w:ascii="黑体" w:eastAsia="黑体" w:hAnsi="黑体" w:cs="黑体"/>
          <w:spacing w:val="203"/>
          <w:position w:val="28"/>
          <w:sz w:val="42"/>
          <w:szCs w:val="42"/>
        </w:rPr>
        <w:t xml:space="preserve"> </w:t>
      </w:r>
      <w:r>
        <w:rPr>
          <w:rFonts w:ascii="黑体" w:eastAsia="黑体" w:hAnsi="黑体" w:cs="黑体"/>
          <w:spacing w:val="-2"/>
          <w:position w:val="28"/>
          <w:sz w:val="42"/>
          <w:szCs w:val="42"/>
        </w:rPr>
        <w:t>为了加强公司内部财务管理和会计核算工作，规范公司内部财</w:t>
      </w:r>
    </w:p>
    <w:p>
      <w:pPr>
        <w:spacing w:before="2"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pacing w:val="-1"/>
          <w:sz w:val="42"/>
          <w:szCs w:val="42"/>
        </w:rPr>
        <w:t>务管理行为，使公司稳步、健康、协调发展，根据《中华人民共和国会计</w:t>
      </w:r>
    </w:p>
    <w:p>
      <w:pPr>
        <w:spacing w:line="212" w:lineRule="auto"/>
        <w:rPr>
          <w:rFonts w:ascii="黑体" w:eastAsia="黑体" w:hAnsi="黑体" w:cs="黑体"/>
          <w:sz w:val="42"/>
          <w:szCs w:val="42"/>
        </w:rPr>
      </w:pPr>
      <w:r>
        <w:rPr>
          <w:rFonts w:ascii="黑体" w:eastAsia="黑体" w:hAnsi="黑体" w:cs="黑体"/>
          <w:sz w:val="42"/>
          <w:szCs w:val="42"/>
        </w:rPr>
        <w:br/>
      </w:r>
      <w:r>
        <w:rPr>
          <w:rFonts w:ascii="黑体" w:eastAsia="黑体" w:hAnsi="黑体" w:cs="黑体"/>
          <w:sz w:val="42"/>
          <w:szCs w:val="42"/>
        </w:rPr>
        <w:br/>
      </w:r>
    </w:p>
    <w:p>
      <w:pPr>
        <w:kinsoku/>
        <w:autoSpaceDE/>
        <w:autoSpaceDN/>
        <w:adjustRightInd/>
        <w:snapToGrid/>
        <w:spacing w:line="240" w:lineRule="auto"/>
        <w:jc w:val="left"/>
        <w:textAlignment w:val="auto"/>
        <w:rPr>
          <w:rFonts w:ascii="SimSun" w:eastAsia="SimSun" w:hAnsi="SimSun" w:cs="SimSun"/>
          <w:b/>
          <w:bCs/>
          <w:snapToGrid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snapToGrid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snapToGrid/>
            <w:color w:val="0000EE"/>
            <w:kern w:val="0"/>
            <w:sz w:val="30"/>
            <w:szCs w:val="30"/>
            <w:u w:val="single" w:color="0000EE"/>
          </w:rPr>
          <w:t>https://d.book118.com/158001132004006046</w:t>
        </w:r>
      </w:hyperlink>
    </w:p>
    <w:p>
      <w:pPr>
        <w:spacing w:line="212" w:lineRule="auto"/>
        <w:rPr>
          <w:rFonts w:ascii="黑体" w:eastAsia="黑体" w:hAnsi="黑体" w:cs="黑体"/>
          <w:sz w:val="42"/>
          <w:szCs w:val="42"/>
        </w:rPr>
      </w:pPr>
    </w:p>
    <w:sectPr>
      <w:headerReference w:type="default" r:id="rId17"/>
      <w:pgSz w:w="17860" w:h="25260"/>
      <w:pgMar w:top="400" w:right="2188" w:bottom="0" w:left="1849" w:header="0" w:footer="0" w:gutter="0"/>
      <w:pgNumType w:start="13"/>
      <w:cols w:num="1"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86"/>
    <w:family w:val="auto"/>
    <w:pitch w:val="default"/>
    <w:sig w:usb0="E0002EFF" w:usb1="C000785B" w:usb2="00000009" w:usb3="00000000" w:csb0="4004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2D2105FA"/>
  </w:rsids>
  <w:docVars>
    <w:docVar w:name="commondata" w:val="eyJoZGlkIjoiMzVkODZmNjEyMzk3M2I5NmIxMTNkMDc4ZTRiNTllNjEifQ=="/>
  </w:docVar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uiPriority="0" w:unhideWhenUsed="0" w:qFormat="1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semiHidden/>
    <w:qFormat/>
    <w:rPr>
      <w:rFonts w:ascii="宋体" w:eastAsia="宋体" w:hAnsi="宋体" w:cs="宋体"/>
      <w:sz w:val="36"/>
      <w:szCs w:val="36"/>
      <w:lang w:val="en-US" w:eastAsia="en-US" w:bidi="ar-SA"/>
    </w:rPr>
  </w:style>
  <w:style w:type="table" w:customStyle="1" w:styleId="TableNormal0">
    <w:name w:val="Table Normal_0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Text">
    <w:name w:val="Table Text"/>
    <w:basedOn w:val="Normal"/>
    <w:autoRedefine/>
    <w:semiHidden/>
    <w:qFormat/>
    <w:rPr>
      <w:rFonts w:ascii="宋体" w:eastAsia="宋体" w:hAnsi="宋体" w:cs="宋体"/>
      <w:sz w:val="28"/>
      <w:szCs w:val="28"/>
      <w:lang w:val="en-US" w:eastAsia="en-US" w:bidi="ar-SA"/>
    </w:rPr>
  </w:style>
  <w:style w:type="table" w:customStyle="1" w:styleId="TableNormal00">
    <w:name w:val="Table Normal_0_0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1">
    <w:name w:val="Table Normal_0_1"/>
    <w:autoRedefine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7.xml" /><Relationship Id="rId11" Type="http://schemas.openxmlformats.org/officeDocument/2006/relationships/header" Target="header8.xml" /><Relationship Id="rId12" Type="http://schemas.openxmlformats.org/officeDocument/2006/relationships/header" Target="header9.xml" /><Relationship Id="rId13" Type="http://schemas.openxmlformats.org/officeDocument/2006/relationships/header" Target="header10.xml" /><Relationship Id="rId14" Type="http://schemas.openxmlformats.org/officeDocument/2006/relationships/header" Target="header11.xml" /><Relationship Id="rId15" Type="http://schemas.openxmlformats.org/officeDocument/2006/relationships/header" Target="header12.xml" /><Relationship Id="rId16" Type="http://schemas.openxmlformats.org/officeDocument/2006/relationships/hyperlink" Target="https://d.book118.com/158001132004006046" TargetMode="External" /><Relationship Id="rId17" Type="http://schemas.openxmlformats.org/officeDocument/2006/relationships/header" Target="header13.xml" /><Relationship Id="rId18" Type="http://schemas.openxmlformats.org/officeDocument/2006/relationships/theme" Target="theme/theme1.xml" /><Relationship Id="rId19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header" Target="header3.xml" /><Relationship Id="rId7" Type="http://schemas.openxmlformats.org/officeDocument/2006/relationships/header" Target="header4.xml" /><Relationship Id="rId8" Type="http://schemas.openxmlformats.org/officeDocument/2006/relationships/header" Target="header5.xml" /><Relationship Id="rId9" Type="http://schemas.openxmlformats.org/officeDocument/2006/relationships/header" Target="header6.xml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13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GH</dc:creator>
  <cp:lastModifiedBy>小布尔什维克</cp:lastModifiedBy>
  <cp:revision>0</cp:revision>
  <dcterms:created xsi:type="dcterms:W3CDTF">2024-03-15T15:15:00Z</dcterms:created>
  <dcterms:modified xsi:type="dcterms:W3CDTF">2024-03-15T13:40:00Z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2024-03-15T15:15:28Z</vt:filetime>
  </property>
  <property fmtid="{D5CDD505-2E9C-101B-9397-08002B2CF9AE}" pid="3" name="CRO">
    <vt:lpwstr>wqlLaW5nc29mdCBQREYgdG8gV1BTIDkw</vt:lpwstr>
  </property>
  <property fmtid="{D5CDD505-2E9C-101B-9397-08002B2CF9AE}" pid="4" name="ICV">
    <vt:lpwstr>6F520B7B33434FC0939DB937A7DE673E_12</vt:lpwstr>
  </property>
  <property fmtid="{D5CDD505-2E9C-101B-9397-08002B2CF9AE}" pid="5" name="KSOProductBuildVer">
    <vt:lpwstr>2052-12.1.0.16399</vt:lpwstr>
  </property>
  <property fmtid="{D5CDD505-2E9C-101B-9397-08002B2CF9AE}" pid="6" name="UsrData">
    <vt:lpwstr>65f3f58554cdff001fd5d709wl</vt:lpwstr>
  </property>
</Properties>
</file>