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68"/>
        <w:ind w:left="1131"/>
        <w:rPr>
          <w:rFonts w:ascii="黑体"/>
        </w:rPr>
      </w:pPr>
      <w:r>
        <w:rPr>
          <w:rFonts w:ascii="Times New Roman"/>
          <w:position w:val="2"/>
        </w:rPr>
        <w:t xml:space="preserve">ICS </w:t>
      </w:r>
      <w:r>
        <w:rPr>
          <w:rFonts w:ascii="黑体"/>
        </w:rPr>
        <w:t>81.060.01</w:t>
      </w:r>
    </w:p>
    <w:p>
      <w:pPr>
        <w:pStyle w:val="BodyText"/>
        <w:spacing w:before="37"/>
        <w:ind w:left="1131"/>
        <w:rPr>
          <w:rFonts w:ascii="黑体"/>
        </w:rPr>
      </w:pPr>
      <w:r>
        <w:drawing>
          <wp:anchor distT="0" distB="0" distL="0" distR="0" simplePos="0" relativeHeight="251658240" behindDoc="0" locked="0" layoutInCell="1" allowOverlap="1">
            <wp:simplePos x="0" y="0"/>
            <wp:positionH relativeFrom="page">
              <wp:posOffset>4852417</wp:posOffset>
            </wp:positionH>
            <wp:positionV relativeFrom="paragraph">
              <wp:posOffset>217996</wp:posOffset>
            </wp:positionV>
            <wp:extent cx="803966" cy="401383"/>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03966" cy="401383"/>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5" type="#_x0000_t202" style="width:62.4pt;height:53.2pt;margin-top:5.88pt;margin-left:451.8pt;mso-position-horizontal-relative:page;position:absolute;z-index:251659264" filled="f" stroked="f">
            <v:textbox inset="0,0,0,0">
              <w:txbxContent>
                <w:p>
                  <w:pPr>
                    <w:spacing w:before="0" w:line="1063" w:lineRule="exact"/>
                    <w:ind w:left="0" w:right="0" w:firstLine="0"/>
                    <w:jc w:val="left"/>
                    <w:rPr>
                      <w:rFonts w:ascii="Times New Roman"/>
                      <w:b/>
                      <w:sz w:val="96"/>
                    </w:rPr>
                  </w:pPr>
                  <w:r>
                    <w:rPr>
                      <w:rFonts w:ascii="Times New Roman"/>
                      <w:b/>
                      <w:w w:val="125"/>
                      <w:sz w:val="96"/>
                    </w:rPr>
                    <w:t>43</w:t>
                  </w:r>
                </w:p>
              </w:txbxContent>
            </v:textbox>
          </v:shape>
        </w:pict>
      </w:r>
      <w:r>
        <w:rPr>
          <w:rFonts w:ascii="Times New Roman"/>
          <w:position w:val="2"/>
        </w:rPr>
        <w:t xml:space="preserve">CCS </w:t>
      </w:r>
      <w:r>
        <w:rPr>
          <w:rFonts w:ascii="黑体"/>
        </w:rPr>
        <w:t>Q32</w:t>
      </w:r>
    </w:p>
    <w:p>
      <w:pPr>
        <w:pStyle w:val="BodyText"/>
        <w:rPr>
          <w:rFonts w:ascii="黑体"/>
          <w:sz w:val="20"/>
        </w:rPr>
      </w:pPr>
    </w:p>
    <w:p>
      <w:pPr>
        <w:tabs>
          <w:tab w:val="left" w:pos="2591"/>
          <w:tab w:val="left" w:pos="4115"/>
          <w:tab w:val="left" w:pos="5644"/>
          <w:tab w:val="left" w:pos="7168"/>
          <w:tab w:val="left" w:pos="8695"/>
          <w:tab w:val="left" w:pos="10223"/>
        </w:tabs>
        <w:spacing w:before="172"/>
        <w:ind w:left="1064" w:right="0" w:firstLine="0"/>
        <w:jc w:val="left"/>
        <w:rPr>
          <w:rFonts w:ascii="黑体" w:eastAsia="黑体" w:hint="eastAsia"/>
          <w:sz w:val="48"/>
        </w:rPr>
      </w:pPr>
      <w:r>
        <w:rPr>
          <w:rFonts w:ascii="黑体" w:eastAsia="黑体" w:hint="eastAsia"/>
          <w:sz w:val="48"/>
        </w:rPr>
        <w:t>湖</w:t>
        <w:tab/>
        <w:t>南</w:t>
        <w:tab/>
        <w:t>省</w:t>
        <w:tab/>
        <w:t>地</w:t>
        <w:tab/>
        <w:t>方</w:t>
        <w:tab/>
        <w:t>标</w:t>
        <w:tab/>
        <w:t>准</w:t>
      </w:r>
    </w:p>
    <w:p>
      <w:pPr>
        <w:spacing w:before="341"/>
        <w:ind w:left="0" w:right="874" w:firstLine="0"/>
        <w:jc w:val="right"/>
        <w:rPr>
          <w:rFonts w:ascii="黑体" w:hAnsi="黑体"/>
          <w:sz w:val="28"/>
        </w:rPr>
      </w:pPr>
      <w:r>
        <w:rPr>
          <w:rFonts w:ascii="黑体" w:hAnsi="黑体"/>
          <w:sz w:val="28"/>
        </w:rPr>
        <w:t>DB 43/T</w:t>
      </w:r>
      <w:r>
        <w:rPr>
          <w:rFonts w:ascii="黑体" w:hAnsi="黑体"/>
          <w:spacing w:val="-64"/>
          <w:sz w:val="28"/>
        </w:rPr>
        <w:t xml:space="preserve"> </w:t>
      </w:r>
      <w:r>
        <w:rPr>
          <w:rFonts w:ascii="黑体" w:hAnsi="黑体"/>
          <w:sz w:val="28"/>
        </w:rPr>
        <w:t>839—2023</w:t>
      </w:r>
    </w:p>
    <w:p>
      <w:pPr>
        <w:pStyle w:val="BodyText"/>
        <w:spacing w:before="47"/>
        <w:ind w:right="873"/>
        <w:jc w:val="right"/>
        <w:rPr>
          <w:rFonts w:ascii="黑体"/>
        </w:rPr>
      </w:pPr>
      <w:r>
        <w:rPr>
          <w:rFonts w:ascii="黑体"/>
        </w:rPr>
        <w:t>DB43/T</w:t>
      </w:r>
      <w:r>
        <w:rPr>
          <w:rFonts w:ascii="黑体"/>
          <w:spacing w:val="-1"/>
        </w:rPr>
        <w:t xml:space="preserve"> </w:t>
      </w:r>
      <w:r>
        <w:rPr>
          <w:rFonts w:ascii="黑体"/>
        </w:rPr>
        <w:t>839-2013</w:t>
      </w:r>
    </w:p>
    <w:p>
      <w:pPr>
        <w:pStyle w:val="BodyText"/>
        <w:spacing w:before="8"/>
        <w:rPr>
          <w:rFonts w:ascii="黑体"/>
          <w:sz w:val="23"/>
        </w:rPr>
      </w:pPr>
      <w:r>
        <w:pict>
          <v:shape id="_x0000_s1026" style="width:481.85pt;height:0.1pt;margin-top:17.53pt;margin-left:70.9pt;mso-position-horizontal-relative:page;mso-wrap-distance-left:0;mso-wrap-distance-right:0;position:absolute;z-index:-251655168" coordorigin="1418,351" coordsize="9637,0" path="m1418,351l11055,351e" filled="f" stroked="t" strokecolor="black" strokeweight="0.75pt">
            <v:stroke dashstyle="solid"/>
            <v:path arrowok="t"/>
            <w10:wrap type="topAndBottom"/>
          </v:shape>
        </w:pic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5"/>
        <w:rPr>
          <w:rFonts w:ascii="黑体"/>
          <w:sz w:val="28"/>
        </w:rPr>
      </w:pPr>
    </w:p>
    <w:p>
      <w:pPr>
        <w:spacing w:before="0"/>
        <w:ind w:left="579" w:right="0" w:firstLine="0"/>
        <w:jc w:val="center"/>
        <w:rPr>
          <w:rFonts w:ascii="黑体" w:eastAsia="黑体" w:hint="eastAsia"/>
          <w:sz w:val="52"/>
        </w:rPr>
      </w:pPr>
      <w:r>
        <w:rPr>
          <w:rFonts w:ascii="黑体" w:eastAsia="黑体" w:hint="eastAsia"/>
          <w:sz w:val="52"/>
        </w:rPr>
        <w:t>地理标志产品 铜官陶瓷</w:t>
      </w:r>
    </w:p>
    <w:p>
      <w:pPr>
        <w:spacing w:before="389"/>
        <w:ind w:left="580" w:right="0" w:firstLine="0"/>
        <w:jc w:val="center"/>
        <w:rPr>
          <w:rFonts w:ascii="Times New Roman"/>
          <w:sz w:val="28"/>
        </w:rPr>
      </w:pPr>
      <w:r>
        <w:pict>
          <v:group id="_x0000_s1027" style="width:560pt;height:384pt;margin-top:57.12pt;margin-left:17pt;mso-position-horizontal-relative:page;position:absolute;z-index:251660288" coordorigin="340,1142" coordsize="11200,7680">
            <v:line id="_x0000_s1028" style="position:absolute" from="1417,7458" to="11054,7458" stroked="t" strokecolor="black" strokeweight="0.75pt">
              <v:stroke dashstyle="solid"/>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width:11200;height:7680;left:340;position:absolute;top:1142" stroked="f">
              <v:imagedata r:id="rId5" o:title=""/>
            </v:shape>
          </v:group>
        </w:pict>
      </w:r>
      <w:r>
        <w:rPr>
          <w:rFonts w:ascii="Times New Roman"/>
          <w:sz w:val="28"/>
        </w:rPr>
        <w:t>Product of geographical indication - Tongguan ceramic</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8"/>
        <w:rPr>
          <w:rFonts w:ascii="Times New Roman"/>
          <w:sz w:val="12"/>
        </w:rPr>
      </w:pPr>
      <w:r>
        <w:pict>
          <v:group id="_x0000_s1030" style="width:484.6pt;height:73.4pt;margin-top:9.26pt;margin-left:70.8pt;mso-position-horizontal-relative:page;mso-wrap-distance-left:0;mso-wrap-distance-right:0;position:absolute;z-index:-251654144" coordorigin="1416,185" coordsize="9692,1468">
            <v:shape id="_x0000_s1031" type="#_x0000_t202" style="width:2336;height:280;left:1416;position:absolute;top:185" filled="f" stroked="f">
              <v:textbox inset="0,0,0,0">
                <w:txbxContent>
                  <w:p>
                    <w:pPr>
                      <w:spacing w:before="0" w:line="280" w:lineRule="exact"/>
                      <w:ind w:left="0" w:right="0" w:firstLine="0"/>
                      <w:jc w:val="left"/>
                      <w:rPr>
                        <w:rFonts w:ascii="黑体" w:eastAsia="黑体" w:hint="eastAsia"/>
                        <w:sz w:val="28"/>
                      </w:rPr>
                    </w:pPr>
                    <w:r>
                      <w:rPr>
                        <w:rFonts w:ascii="黑体" w:eastAsia="黑体" w:hint="eastAsia"/>
                        <w:sz w:val="28"/>
                      </w:rPr>
                      <w:t>2023</w:t>
                    </w:r>
                    <w:r>
                      <w:rPr>
                        <w:rFonts w:ascii="黑体" w:eastAsia="黑体" w:hint="eastAsia"/>
                        <w:spacing w:val="-47"/>
                        <w:sz w:val="28"/>
                      </w:rPr>
                      <w:t xml:space="preserve"> - </w:t>
                    </w:r>
                    <w:r>
                      <w:rPr>
                        <w:rFonts w:ascii="黑体" w:eastAsia="黑体" w:hint="eastAsia"/>
                        <w:sz w:val="28"/>
                      </w:rPr>
                      <w:t>12</w:t>
                    </w:r>
                    <w:r>
                      <w:rPr>
                        <w:rFonts w:ascii="黑体" w:eastAsia="黑体" w:hint="eastAsia"/>
                        <w:spacing w:val="-48"/>
                        <w:sz w:val="28"/>
                      </w:rPr>
                      <w:t xml:space="preserve"> - </w:t>
                    </w:r>
                    <w:r>
                      <w:rPr>
                        <w:rFonts w:ascii="黑体" w:eastAsia="黑体" w:hint="eastAsia"/>
                        <w:sz w:val="28"/>
                      </w:rPr>
                      <w:t>20</w:t>
                    </w:r>
                    <w:r>
                      <w:rPr>
                        <w:rFonts w:ascii="黑体" w:eastAsia="黑体" w:hint="eastAsia"/>
                        <w:spacing w:val="-23"/>
                        <w:sz w:val="28"/>
                      </w:rPr>
                      <w:t xml:space="preserve"> 发布</w:t>
                    </w:r>
                  </w:p>
                </w:txbxContent>
              </v:textbox>
            </v:shape>
            <v:shape id="_x0000_s1032" type="#_x0000_t202" style="width:2336;height:280;left:8772;position:absolute;top:185" filled="f" stroked="f">
              <v:textbox inset="0,0,0,0">
                <w:txbxContent>
                  <w:p>
                    <w:pPr>
                      <w:spacing w:before="0" w:line="280" w:lineRule="exact"/>
                      <w:ind w:left="0" w:right="0" w:firstLine="0"/>
                      <w:jc w:val="left"/>
                      <w:rPr>
                        <w:rFonts w:ascii="黑体" w:eastAsia="黑体" w:hint="eastAsia"/>
                        <w:sz w:val="28"/>
                      </w:rPr>
                    </w:pPr>
                    <w:r>
                      <w:rPr>
                        <w:rFonts w:ascii="黑体" w:eastAsia="黑体" w:hint="eastAsia"/>
                        <w:sz w:val="28"/>
                      </w:rPr>
                      <w:t>2024</w:t>
                    </w:r>
                    <w:r>
                      <w:rPr>
                        <w:rFonts w:ascii="黑体" w:eastAsia="黑体" w:hint="eastAsia"/>
                        <w:spacing w:val="-47"/>
                        <w:sz w:val="28"/>
                      </w:rPr>
                      <w:t xml:space="preserve"> - </w:t>
                    </w:r>
                    <w:r>
                      <w:rPr>
                        <w:rFonts w:ascii="黑体" w:eastAsia="黑体" w:hint="eastAsia"/>
                        <w:sz w:val="28"/>
                      </w:rPr>
                      <w:t>03</w:t>
                    </w:r>
                    <w:r>
                      <w:rPr>
                        <w:rFonts w:ascii="黑体" w:eastAsia="黑体" w:hint="eastAsia"/>
                        <w:spacing w:val="-48"/>
                        <w:sz w:val="28"/>
                      </w:rPr>
                      <w:t xml:space="preserve"> - </w:t>
                    </w:r>
                    <w:r>
                      <w:rPr>
                        <w:rFonts w:ascii="黑体" w:eastAsia="黑体" w:hint="eastAsia"/>
                        <w:sz w:val="28"/>
                      </w:rPr>
                      <w:t>20</w:t>
                    </w:r>
                    <w:r>
                      <w:rPr>
                        <w:rFonts w:ascii="黑体" w:eastAsia="黑体" w:hint="eastAsia"/>
                        <w:spacing w:val="-23"/>
                        <w:sz w:val="28"/>
                      </w:rPr>
                      <w:t xml:space="preserve"> 实施</w:t>
                    </w:r>
                  </w:p>
                </w:txbxContent>
              </v:textbox>
            </v:shape>
            <v:shape id="_x0000_s1033" type="#_x0000_t202" style="width:2820;height:280;left:4048;position:absolute;top:1373" filled="f" stroked="f">
              <v:textbox inset="0,0,0,0">
                <w:txbxContent>
                  <w:p>
                    <w:pPr>
                      <w:spacing w:before="0" w:line="280" w:lineRule="exact"/>
                      <w:ind w:left="0" w:right="0" w:firstLine="0"/>
                      <w:jc w:val="left"/>
                      <w:rPr>
                        <w:rFonts w:ascii="黑体" w:eastAsia="黑体" w:hint="eastAsia"/>
                        <w:sz w:val="28"/>
                      </w:rPr>
                    </w:pPr>
                    <w:r>
                      <w:rPr>
                        <w:rFonts w:ascii="黑体" w:eastAsia="黑体" w:hint="eastAsia"/>
                        <w:sz w:val="28"/>
                      </w:rPr>
                      <w:t>湖南省市场监督管理局</w:t>
                    </w:r>
                  </w:p>
                </w:txbxContent>
              </v:textbox>
            </v:shape>
            <v:shape id="_x0000_s1034" type="#_x0000_t202" style="width:748;height:280;left:7408;position:absolute;top:1373" filled="f" stroked="f">
              <v:textbox inset="0,0,0,0">
                <w:txbxContent>
                  <w:p>
                    <w:pPr>
                      <w:spacing w:before="0" w:line="280" w:lineRule="exact"/>
                      <w:ind w:left="0" w:right="0" w:firstLine="0"/>
                      <w:jc w:val="left"/>
                      <w:rPr>
                        <w:rFonts w:ascii="黑体" w:eastAsia="黑体" w:hint="eastAsia"/>
                        <w:sz w:val="28"/>
                      </w:rPr>
                    </w:pPr>
                    <w:r>
                      <w:rPr>
                        <w:rFonts w:ascii="黑体" w:eastAsia="黑体" w:hint="eastAsia"/>
                        <w:sz w:val="28"/>
                      </w:rPr>
                      <w:t>发 布</w:t>
                    </w:r>
                  </w:p>
                </w:txbxContent>
              </v:textbox>
            </v:shape>
            <w10:wrap type="topAndBottom"/>
          </v:group>
        </w:pict>
      </w:r>
    </w:p>
    <w:p>
      <w:pPr>
        <w:spacing w:after="0"/>
        <w:rPr>
          <w:rFonts w:ascii="Times New Roman"/>
          <w:sz w:val="12"/>
        </w:rPr>
        <w:sectPr>
          <w:type w:val="continuous"/>
          <w:pgSz w:w="11910" w:h="16840"/>
          <w:pgMar w:top="480" w:right="260" w:bottom="280" w:left="240" w:header="708" w:footer="708"/>
          <w:cols w:space="708"/>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rPr>
      </w:pPr>
    </w:p>
    <w:p>
      <w:pPr>
        <w:pStyle w:val="BodyText"/>
        <w:ind w:left="2860"/>
        <w:rPr>
          <w:rFonts w:ascii="Times New Roman"/>
          <w:sz w:val="20"/>
        </w:rPr>
      </w:pPr>
      <w:r>
        <w:rPr>
          <w:rFonts w:ascii="Times New Roman"/>
          <w:sz w:val="20"/>
        </w:rPr>
        <w:drawing>
          <wp:inline distT="0" distB="0" distL="0" distR="0">
            <wp:extent cx="4028503" cy="2533650"/>
            <wp:effectExtent l="0" t="0" r="0" b="0"/>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6" cstate="print"/>
                    <a:stretch>
                      <a:fillRect/>
                    </a:stretch>
                  </pic:blipFill>
                  <pic:spPr>
                    <a:xfrm>
                      <a:off x="0" y="0"/>
                      <a:ext cx="4028503" cy="2533650"/>
                    </a:xfrm>
                    <a:prstGeom prst="rect">
                      <a:avLst/>
                    </a:prstGeom>
                  </pic:spPr>
                </pic:pic>
              </a:graphicData>
            </a:graphic>
          </wp:inline>
        </w:drawing>
      </w:r>
    </w:p>
    <w:p>
      <w:pPr>
        <w:spacing w:after="0"/>
        <w:rPr>
          <w:rFonts w:ascii="Times New Roman"/>
          <w:sz w:val="20"/>
        </w:rPr>
        <w:sectPr>
          <w:pgSz w:w="11910" w:h="16840"/>
          <w:pgMar w:top="1580" w:right="260" w:bottom="280" w:left="240" w:header="708" w:footer="708"/>
          <w:pgNumType w:start="2"/>
          <w:cols w:space="708"/>
        </w:sectPr>
      </w:pPr>
    </w:p>
    <w:p>
      <w:pPr>
        <w:pStyle w:val="BodyText"/>
        <w:rPr>
          <w:rFonts w:ascii="Times New Roman"/>
          <w:sz w:val="20"/>
        </w:rPr>
      </w:pPr>
    </w:p>
    <w:p>
      <w:pPr>
        <w:pStyle w:val="BodyText"/>
        <w:rPr>
          <w:rFonts w:ascii="Times New Roman"/>
          <w:sz w:val="20"/>
        </w:rPr>
      </w:pPr>
    </w:p>
    <w:p>
      <w:pPr>
        <w:pStyle w:val="BodyText"/>
        <w:spacing w:before="9"/>
        <w:rPr>
          <w:rFonts w:ascii="Times New Roman"/>
          <w:sz w:val="29"/>
        </w:rPr>
      </w:pPr>
    </w:p>
    <w:p>
      <w:pPr>
        <w:pStyle w:val="Heading1"/>
        <w:tabs>
          <w:tab w:val="left" w:pos="1255"/>
        </w:tabs>
      </w:pPr>
      <w:r>
        <w:t>目</w:t>
        <w:tab/>
        <w:t>次</w:t>
      </w:r>
    </w:p>
    <w:p>
      <w:pPr>
        <w:pStyle w:val="BodyText"/>
        <w:tabs>
          <w:tab w:val="right" w:leader="dot" w:pos="10523"/>
        </w:tabs>
        <w:spacing w:before="684"/>
        <w:ind w:left="1176"/>
      </w:pPr>
      <w:r>
        <w:t>前言</w:t>
      </w:r>
      <w:r>
        <w:rPr>
          <w:rFonts w:ascii="Times New Roman" w:eastAsia="Times New Roman"/>
        </w:rPr>
        <w:tab/>
      </w:r>
      <w:r>
        <w:t>II</w:t>
      </w:r>
    </w:p>
    <w:p>
      <w:pPr>
        <w:pStyle w:val="BodyText"/>
        <w:tabs>
          <w:tab w:val="right" w:leader="dot" w:pos="10520"/>
        </w:tabs>
        <w:spacing w:before="131"/>
        <w:ind w:left="1176"/>
      </w:pPr>
      <w:r>
        <w:t>引言</w:t>
      </w:r>
      <w:r>
        <w:rPr>
          <w:rFonts w:ascii="Times New Roman" w:eastAsia="Times New Roman"/>
        </w:rPr>
        <w:tab/>
      </w:r>
      <w:r>
        <w:t>III</w:t>
      </w:r>
    </w:p>
    <w:p>
      <w:pPr>
        <w:pStyle w:val="ListParagraph"/>
        <w:numPr>
          <w:ilvl w:val="0"/>
          <w:numId w:val="19"/>
        </w:numPr>
        <w:tabs>
          <w:tab w:val="left" w:pos="1493"/>
          <w:tab w:val="right" w:leader="dot" w:pos="10521"/>
        </w:tabs>
        <w:spacing w:before="131" w:after="0" w:line="240" w:lineRule="auto"/>
        <w:ind w:left="1492" w:right="0" w:hanging="317"/>
        <w:jc w:val="left"/>
        <w:rPr>
          <w:sz w:val="21"/>
        </w:rPr>
      </w:pPr>
      <w:r>
        <w:rPr>
          <w:sz w:val="21"/>
        </w:rPr>
        <w:t>范围</w:t>
      </w:r>
      <w:r>
        <w:rPr>
          <w:rFonts w:ascii="Times New Roman" w:eastAsia="Times New Roman"/>
          <w:sz w:val="21"/>
        </w:rPr>
        <w:tab/>
      </w:r>
      <w:r>
        <w:rPr>
          <w:sz w:val="21"/>
        </w:rPr>
        <w:t>1</w:t>
      </w:r>
    </w:p>
    <w:p>
      <w:pPr>
        <w:pStyle w:val="ListParagraph"/>
        <w:numPr>
          <w:ilvl w:val="0"/>
          <w:numId w:val="19"/>
        </w:numPr>
        <w:tabs>
          <w:tab w:val="left" w:pos="1493"/>
          <w:tab w:val="right" w:leader="dot" w:pos="10522"/>
        </w:tabs>
        <w:spacing w:before="131" w:after="0" w:line="240" w:lineRule="auto"/>
        <w:ind w:left="1492" w:right="0" w:hanging="317"/>
        <w:jc w:val="left"/>
        <w:rPr>
          <w:sz w:val="21"/>
        </w:rPr>
      </w:pPr>
      <w:r>
        <w:rPr>
          <w:sz w:val="21"/>
        </w:rPr>
        <w:t>规</w:t>
      </w:r>
      <w:r>
        <w:rPr>
          <w:spacing w:val="-5"/>
          <w:sz w:val="21"/>
        </w:rPr>
        <w:t>范</w:t>
      </w:r>
      <w:r>
        <w:rPr>
          <w:sz w:val="21"/>
        </w:rPr>
        <w:t>性</w:t>
      </w:r>
      <w:r>
        <w:rPr>
          <w:spacing w:val="-5"/>
          <w:sz w:val="21"/>
        </w:rPr>
        <w:t>引</w:t>
      </w:r>
      <w:r>
        <w:rPr>
          <w:sz w:val="21"/>
        </w:rPr>
        <w:t>用</w:t>
      </w:r>
      <w:r>
        <w:rPr>
          <w:spacing w:val="-5"/>
          <w:sz w:val="21"/>
        </w:rPr>
        <w:t>文件</w:t>
      </w:r>
      <w:r>
        <w:rPr>
          <w:rFonts w:ascii="Times New Roman" w:eastAsia="Times New Roman"/>
          <w:spacing w:val="-5"/>
          <w:sz w:val="21"/>
        </w:rPr>
        <w:tab/>
      </w:r>
      <w:r>
        <w:rPr>
          <w:sz w:val="21"/>
        </w:rPr>
        <w:t>1</w:t>
      </w:r>
    </w:p>
    <w:p>
      <w:pPr>
        <w:pStyle w:val="ListParagraph"/>
        <w:numPr>
          <w:ilvl w:val="0"/>
          <w:numId w:val="19"/>
        </w:numPr>
        <w:tabs>
          <w:tab w:val="left" w:pos="1493"/>
          <w:tab w:val="right" w:leader="dot" w:pos="10522"/>
        </w:tabs>
        <w:spacing w:before="131" w:after="0" w:line="240" w:lineRule="auto"/>
        <w:ind w:left="1492" w:right="0" w:hanging="317"/>
        <w:jc w:val="left"/>
        <w:rPr>
          <w:sz w:val="21"/>
        </w:rPr>
      </w:pPr>
      <w:r>
        <w:rPr>
          <w:sz w:val="21"/>
        </w:rPr>
        <w:t>术</w:t>
      </w:r>
      <w:r>
        <w:rPr>
          <w:spacing w:val="-5"/>
          <w:sz w:val="21"/>
        </w:rPr>
        <w:t>语</w:t>
      </w:r>
      <w:r>
        <w:rPr>
          <w:sz w:val="21"/>
        </w:rPr>
        <w:t>和</w:t>
      </w:r>
      <w:r>
        <w:rPr>
          <w:spacing w:val="-5"/>
          <w:sz w:val="21"/>
        </w:rPr>
        <w:t>定义</w:t>
      </w:r>
      <w:r>
        <w:rPr>
          <w:rFonts w:ascii="Times New Roman" w:eastAsia="Times New Roman"/>
          <w:spacing w:val="-5"/>
          <w:sz w:val="21"/>
        </w:rPr>
        <w:tab/>
      </w:r>
      <w:r>
        <w:rPr>
          <w:sz w:val="21"/>
        </w:rPr>
        <w:t>1</w:t>
      </w:r>
    </w:p>
    <w:p>
      <w:pPr>
        <w:pStyle w:val="ListParagraph"/>
        <w:numPr>
          <w:ilvl w:val="0"/>
          <w:numId w:val="19"/>
        </w:numPr>
        <w:tabs>
          <w:tab w:val="left" w:pos="1493"/>
          <w:tab w:val="right" w:leader="dot" w:pos="10522"/>
        </w:tabs>
        <w:spacing w:before="131" w:after="0" w:line="240" w:lineRule="auto"/>
        <w:ind w:left="1492" w:right="0" w:hanging="317"/>
        <w:jc w:val="left"/>
        <w:rPr>
          <w:sz w:val="21"/>
        </w:rPr>
      </w:pPr>
      <w:r>
        <w:rPr>
          <w:sz w:val="21"/>
        </w:rPr>
        <w:t>保</w:t>
      </w:r>
      <w:r>
        <w:rPr>
          <w:spacing w:val="-4"/>
          <w:sz w:val="21"/>
        </w:rPr>
        <w:t>护</w:t>
      </w:r>
      <w:r>
        <w:rPr>
          <w:sz w:val="21"/>
        </w:rPr>
        <w:t>范围</w:t>
      </w:r>
      <w:r>
        <w:rPr>
          <w:rFonts w:ascii="Times New Roman" w:eastAsia="Times New Roman"/>
          <w:sz w:val="21"/>
        </w:rPr>
        <w:tab/>
      </w:r>
      <w:r>
        <w:rPr>
          <w:sz w:val="21"/>
        </w:rPr>
        <w:t>2</w:t>
      </w:r>
    </w:p>
    <w:p>
      <w:pPr>
        <w:pStyle w:val="ListParagraph"/>
        <w:numPr>
          <w:ilvl w:val="0"/>
          <w:numId w:val="19"/>
        </w:numPr>
        <w:tabs>
          <w:tab w:val="left" w:pos="1493"/>
          <w:tab w:val="right" w:leader="dot" w:pos="10522"/>
        </w:tabs>
        <w:spacing w:before="131" w:after="0" w:line="240" w:lineRule="auto"/>
        <w:ind w:left="1492" w:right="0" w:hanging="317"/>
        <w:jc w:val="left"/>
        <w:rPr>
          <w:sz w:val="21"/>
        </w:rPr>
      </w:pPr>
      <w:r>
        <w:rPr>
          <w:sz w:val="21"/>
        </w:rPr>
        <w:t>分类</w:t>
      </w:r>
      <w:r>
        <w:rPr>
          <w:rFonts w:ascii="Times New Roman" w:eastAsia="Times New Roman"/>
          <w:sz w:val="21"/>
        </w:rPr>
        <w:tab/>
      </w:r>
      <w:r>
        <w:rPr>
          <w:sz w:val="21"/>
        </w:rPr>
        <w:t>2</w:t>
      </w:r>
    </w:p>
    <w:p>
      <w:pPr>
        <w:pStyle w:val="ListParagraph"/>
        <w:numPr>
          <w:ilvl w:val="0"/>
          <w:numId w:val="19"/>
        </w:numPr>
        <w:tabs>
          <w:tab w:val="left" w:pos="1494"/>
          <w:tab w:val="right" w:leader="dot" w:pos="10522"/>
        </w:tabs>
        <w:spacing w:before="131" w:after="0" w:line="240" w:lineRule="auto"/>
        <w:ind w:left="1493" w:right="0" w:hanging="317"/>
        <w:jc w:val="left"/>
        <w:rPr>
          <w:sz w:val="21"/>
        </w:rPr>
      </w:pPr>
      <w:r>
        <w:rPr>
          <w:sz w:val="21"/>
        </w:rPr>
        <w:t>原料</w:t>
      </w:r>
      <w:r>
        <w:rPr>
          <w:rFonts w:ascii="Times New Roman" w:eastAsia="Times New Roman"/>
          <w:sz w:val="21"/>
        </w:rPr>
        <w:tab/>
      </w:r>
      <w:r>
        <w:rPr>
          <w:sz w:val="21"/>
        </w:rPr>
        <w:t>2</w:t>
      </w:r>
    </w:p>
    <w:p>
      <w:pPr>
        <w:pStyle w:val="ListParagraph"/>
        <w:numPr>
          <w:ilvl w:val="0"/>
          <w:numId w:val="19"/>
        </w:numPr>
        <w:tabs>
          <w:tab w:val="left" w:pos="1494"/>
          <w:tab w:val="right" w:leader="dot" w:pos="10523"/>
        </w:tabs>
        <w:spacing w:before="131" w:after="0" w:line="240" w:lineRule="auto"/>
        <w:ind w:left="1493" w:right="0" w:hanging="317"/>
        <w:jc w:val="left"/>
        <w:rPr>
          <w:sz w:val="21"/>
        </w:rPr>
      </w:pPr>
      <w:r>
        <w:rPr>
          <w:sz w:val="21"/>
        </w:rPr>
        <w:t>加</w:t>
      </w:r>
      <w:r>
        <w:rPr>
          <w:spacing w:val="-4"/>
          <w:sz w:val="21"/>
        </w:rPr>
        <w:t>工</w:t>
      </w:r>
      <w:r>
        <w:rPr>
          <w:sz w:val="21"/>
        </w:rPr>
        <w:t>工艺</w:t>
      </w:r>
      <w:r>
        <w:rPr>
          <w:rFonts w:ascii="Times New Roman" w:eastAsia="Times New Roman"/>
          <w:sz w:val="21"/>
        </w:rPr>
        <w:tab/>
      </w:r>
      <w:r>
        <w:rPr>
          <w:sz w:val="21"/>
        </w:rPr>
        <w:t>3</w:t>
      </w:r>
    </w:p>
    <w:p>
      <w:pPr>
        <w:pStyle w:val="ListParagraph"/>
        <w:numPr>
          <w:ilvl w:val="0"/>
          <w:numId w:val="19"/>
        </w:numPr>
        <w:tabs>
          <w:tab w:val="left" w:pos="1494"/>
          <w:tab w:val="right" w:leader="dot" w:pos="10523"/>
        </w:tabs>
        <w:spacing w:before="131" w:after="0" w:line="240" w:lineRule="auto"/>
        <w:ind w:left="1493" w:right="0" w:hanging="317"/>
        <w:jc w:val="left"/>
        <w:rPr>
          <w:sz w:val="21"/>
        </w:rPr>
      </w:pPr>
      <w:r>
        <w:rPr>
          <w:sz w:val="21"/>
        </w:rPr>
        <w:t>质</w:t>
      </w:r>
      <w:r>
        <w:rPr>
          <w:spacing w:val="-4"/>
          <w:sz w:val="21"/>
        </w:rPr>
        <w:t>量</w:t>
      </w:r>
      <w:r>
        <w:rPr>
          <w:sz w:val="21"/>
        </w:rPr>
        <w:t>要求</w:t>
      </w:r>
      <w:r>
        <w:rPr>
          <w:rFonts w:ascii="Times New Roman" w:eastAsia="Times New Roman"/>
          <w:sz w:val="21"/>
        </w:rPr>
        <w:tab/>
      </w:r>
      <w:r>
        <w:rPr>
          <w:sz w:val="21"/>
        </w:rPr>
        <w:t>4</w:t>
      </w:r>
    </w:p>
    <w:p>
      <w:pPr>
        <w:pStyle w:val="ListParagraph"/>
        <w:numPr>
          <w:ilvl w:val="0"/>
          <w:numId w:val="19"/>
        </w:numPr>
        <w:tabs>
          <w:tab w:val="left" w:pos="1494"/>
          <w:tab w:val="right" w:leader="dot" w:pos="10523"/>
        </w:tabs>
        <w:spacing w:before="131" w:after="0" w:line="240" w:lineRule="auto"/>
        <w:ind w:left="1493" w:right="0" w:hanging="317"/>
        <w:jc w:val="left"/>
        <w:rPr>
          <w:sz w:val="21"/>
        </w:rPr>
      </w:pPr>
      <w:r>
        <w:rPr>
          <w:sz w:val="21"/>
        </w:rPr>
        <w:t>试</w:t>
      </w:r>
      <w:r>
        <w:rPr>
          <w:spacing w:val="-4"/>
          <w:sz w:val="21"/>
        </w:rPr>
        <w:t>验</w:t>
      </w:r>
      <w:r>
        <w:rPr>
          <w:sz w:val="21"/>
        </w:rPr>
        <w:t>方法</w:t>
      </w:r>
      <w:r>
        <w:rPr>
          <w:rFonts w:ascii="Times New Roman" w:eastAsia="Times New Roman"/>
          <w:sz w:val="21"/>
        </w:rPr>
        <w:tab/>
      </w:r>
      <w:r>
        <w:rPr>
          <w:sz w:val="21"/>
        </w:rPr>
        <w:t>7</w:t>
      </w:r>
    </w:p>
    <w:p>
      <w:pPr>
        <w:pStyle w:val="ListParagraph"/>
        <w:numPr>
          <w:ilvl w:val="0"/>
          <w:numId w:val="19"/>
        </w:numPr>
        <w:tabs>
          <w:tab w:val="left" w:pos="1602"/>
          <w:tab w:val="right" w:leader="dot" w:pos="10523"/>
        </w:tabs>
        <w:spacing w:before="131" w:after="0" w:line="240" w:lineRule="auto"/>
        <w:ind w:left="1601" w:right="0" w:hanging="425"/>
        <w:jc w:val="left"/>
        <w:rPr>
          <w:sz w:val="21"/>
        </w:rPr>
      </w:pPr>
      <w:r>
        <w:drawing>
          <wp:anchor distT="0" distB="0" distL="0" distR="0" simplePos="0" relativeHeight="251663360" behindDoc="0" locked="0" layoutInCell="1" allowOverlap="1">
            <wp:simplePos x="0" y="0"/>
            <wp:positionH relativeFrom="page">
              <wp:posOffset>215900</wp:posOffset>
            </wp:positionH>
            <wp:positionV relativeFrom="paragraph">
              <wp:posOffset>239087</wp:posOffset>
            </wp:positionV>
            <wp:extent cx="7112000" cy="48768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spacing w:val="-5"/>
          <w:sz w:val="21"/>
        </w:rPr>
        <w:t>检</w:t>
      </w:r>
      <w:r>
        <w:rPr>
          <w:sz w:val="21"/>
        </w:rPr>
        <w:t>验</w:t>
      </w:r>
      <w:r>
        <w:rPr>
          <w:spacing w:val="-5"/>
          <w:sz w:val="21"/>
        </w:rPr>
        <w:t>规则</w:t>
      </w:r>
      <w:r>
        <w:rPr>
          <w:rFonts w:ascii="Times New Roman" w:eastAsia="Times New Roman"/>
          <w:spacing w:val="-5"/>
          <w:sz w:val="21"/>
        </w:rPr>
        <w:tab/>
      </w:r>
      <w:r>
        <w:rPr>
          <w:sz w:val="21"/>
        </w:rPr>
        <w:t>8</w:t>
      </w:r>
    </w:p>
    <w:p>
      <w:pPr>
        <w:pStyle w:val="BodyText"/>
        <w:spacing w:before="5"/>
        <w:rPr>
          <w:sz w:val="9"/>
        </w:rPr>
      </w:pPr>
      <w:r>
        <w:pict>
          <v:group id="_x0000_s1035" style="width:468.4pt;height:361.95pt;margin-top:7.97pt;margin-left:70.91pt;mso-position-horizontal-relative:page;mso-wrap-distance-left:0;mso-wrap-distance-right:0;position:absolute;z-index:-251652096" coordorigin="1418,159" coordsize="9368,7239">
            <v:shape id="_x0000_s1036" type="#_x0000_t202" style="width:9368;height:1013;left:1418;position:absolute;top:159" filled="f" stroked="f">
              <v:textbox inset="0,0,0,0">
                <w:txbxContent>
                  <w:p>
                    <w:pPr>
                      <w:tabs>
                        <w:tab w:val="right" w:leader="dot" w:pos="9347"/>
                      </w:tabs>
                      <w:spacing w:before="0" w:line="241" w:lineRule="exact"/>
                      <w:ind w:left="0" w:right="0" w:firstLine="0"/>
                      <w:jc w:val="left"/>
                      <w:rPr>
                        <w:sz w:val="21"/>
                      </w:rPr>
                    </w:pPr>
                    <w:r>
                      <w:rPr>
                        <w:sz w:val="21"/>
                      </w:rPr>
                      <w:t xml:space="preserve">11  </w:t>
                    </w:r>
                    <w:r>
                      <w:rPr>
                        <w:spacing w:val="-5"/>
                        <w:sz w:val="21"/>
                      </w:rPr>
                      <w:t>标</w:t>
                    </w:r>
                    <w:r>
                      <w:rPr>
                        <w:sz w:val="21"/>
                      </w:rPr>
                      <w:t>志</w:t>
                    </w:r>
                    <w:r>
                      <w:rPr>
                        <w:spacing w:val="-5"/>
                        <w:sz w:val="21"/>
                      </w:rPr>
                      <w:t>、</w:t>
                    </w:r>
                    <w:r>
                      <w:rPr>
                        <w:sz w:val="21"/>
                      </w:rPr>
                      <w:t>包</w:t>
                    </w:r>
                    <w:r>
                      <w:rPr>
                        <w:spacing w:val="-5"/>
                        <w:sz w:val="21"/>
                      </w:rPr>
                      <w:t>装</w:t>
                    </w:r>
                    <w:r>
                      <w:rPr>
                        <w:sz w:val="21"/>
                      </w:rPr>
                      <w:t>、</w:t>
                    </w:r>
                    <w:r>
                      <w:rPr>
                        <w:spacing w:val="-5"/>
                        <w:sz w:val="21"/>
                      </w:rPr>
                      <w:t>运</w:t>
                    </w:r>
                    <w:r>
                      <w:rPr>
                        <w:sz w:val="21"/>
                      </w:rPr>
                      <w:t>输</w:t>
                    </w:r>
                    <w:r>
                      <w:rPr>
                        <w:spacing w:val="-5"/>
                        <w:sz w:val="21"/>
                      </w:rPr>
                      <w:t>和</w:t>
                    </w:r>
                    <w:r>
                      <w:rPr>
                        <w:sz w:val="21"/>
                      </w:rPr>
                      <w:t>贮存</w:t>
                    </w:r>
                    <w:r>
                      <w:rPr>
                        <w:rFonts w:ascii="Times New Roman" w:eastAsia="Times New Roman"/>
                        <w:sz w:val="21"/>
                      </w:rPr>
                      <w:tab/>
                    </w:r>
                    <w:r>
                      <w:rPr>
                        <w:sz w:val="21"/>
                      </w:rPr>
                      <w:t>11</w:t>
                    </w:r>
                  </w:p>
                  <w:p>
                    <w:pPr>
                      <w:tabs>
                        <w:tab w:val="right" w:leader="dot" w:pos="9347"/>
                      </w:tabs>
                      <w:spacing w:before="131"/>
                      <w:ind w:left="0" w:right="0" w:firstLine="0"/>
                      <w:jc w:val="left"/>
                      <w:rPr>
                        <w:sz w:val="21"/>
                      </w:rPr>
                    </w:pPr>
                    <w:r>
                      <w:rPr>
                        <w:sz w:val="21"/>
                      </w:rPr>
                      <w:t>附</w:t>
                    </w:r>
                    <w:r>
                      <w:rPr>
                        <w:spacing w:val="47"/>
                        <w:sz w:val="21"/>
                      </w:rPr>
                      <w:t>录</w:t>
                    </w:r>
                    <w:r>
                      <w:rPr>
                        <w:sz w:val="21"/>
                      </w:rPr>
                      <w:t>A（规</w:t>
                    </w:r>
                    <w:r>
                      <w:rPr>
                        <w:spacing w:val="-5"/>
                        <w:sz w:val="21"/>
                      </w:rPr>
                      <w:t>范</w:t>
                    </w:r>
                    <w:r>
                      <w:rPr>
                        <w:sz w:val="21"/>
                      </w:rPr>
                      <w:t>性）</w:t>
                    </w:r>
                    <w:r>
                      <w:rPr>
                        <w:spacing w:val="104"/>
                        <w:sz w:val="21"/>
                      </w:rPr>
                      <w:t xml:space="preserve"> </w:t>
                    </w:r>
                    <w:r>
                      <w:rPr>
                        <w:spacing w:val="-5"/>
                        <w:sz w:val="21"/>
                      </w:rPr>
                      <w:t>铜</w:t>
                    </w:r>
                    <w:r>
                      <w:rPr>
                        <w:sz w:val="21"/>
                      </w:rPr>
                      <w:t>官</w:t>
                    </w:r>
                    <w:r>
                      <w:rPr>
                        <w:spacing w:val="-5"/>
                        <w:sz w:val="21"/>
                      </w:rPr>
                      <w:t>陶</w:t>
                    </w:r>
                    <w:r>
                      <w:rPr>
                        <w:sz w:val="21"/>
                      </w:rPr>
                      <w:t>瓷</w:t>
                    </w:r>
                    <w:r>
                      <w:rPr>
                        <w:spacing w:val="-5"/>
                        <w:sz w:val="21"/>
                      </w:rPr>
                      <w:t>地</w:t>
                    </w:r>
                    <w:r>
                      <w:rPr>
                        <w:sz w:val="21"/>
                      </w:rPr>
                      <w:t>理</w:t>
                    </w:r>
                    <w:r>
                      <w:rPr>
                        <w:spacing w:val="-5"/>
                        <w:sz w:val="21"/>
                      </w:rPr>
                      <w:t>标</w:t>
                    </w:r>
                    <w:r>
                      <w:rPr>
                        <w:sz w:val="21"/>
                      </w:rPr>
                      <w:t>志</w:t>
                    </w:r>
                    <w:r>
                      <w:rPr>
                        <w:spacing w:val="-5"/>
                        <w:sz w:val="21"/>
                      </w:rPr>
                      <w:t>产品</w:t>
                    </w:r>
                    <w:r>
                      <w:rPr>
                        <w:sz w:val="21"/>
                      </w:rPr>
                      <w:t>保护</w:t>
                    </w:r>
                    <w:r>
                      <w:rPr>
                        <w:spacing w:val="-5"/>
                        <w:sz w:val="21"/>
                      </w:rPr>
                      <w:t>范</w:t>
                    </w:r>
                    <w:r>
                      <w:rPr>
                        <w:sz w:val="21"/>
                      </w:rPr>
                      <w:t>围</w:t>
                    </w:r>
                    <w:r>
                      <w:rPr>
                        <w:spacing w:val="-5"/>
                        <w:sz w:val="21"/>
                      </w:rPr>
                      <w:t>区</w:t>
                    </w:r>
                    <w:r>
                      <w:rPr>
                        <w:sz w:val="21"/>
                      </w:rPr>
                      <w:t>域图</w:t>
                    </w:r>
                    <w:r>
                      <w:rPr>
                        <w:rFonts w:ascii="Times New Roman" w:eastAsia="Times New Roman"/>
                        <w:sz w:val="21"/>
                      </w:rPr>
                      <w:tab/>
                    </w:r>
                    <w:r>
                      <w:rPr>
                        <w:sz w:val="21"/>
                      </w:rPr>
                      <w:t>13</w:t>
                    </w:r>
                  </w:p>
                  <w:p>
                    <w:pPr>
                      <w:tabs>
                        <w:tab w:val="right" w:leader="dot" w:pos="9347"/>
                      </w:tabs>
                      <w:spacing w:before="131" w:line="240" w:lineRule="exact"/>
                      <w:ind w:left="0" w:right="0" w:firstLine="0"/>
                      <w:jc w:val="left"/>
                      <w:rPr>
                        <w:sz w:val="21"/>
                      </w:rPr>
                    </w:pPr>
                    <w:r>
                      <w:rPr>
                        <w:sz w:val="21"/>
                      </w:rPr>
                      <w:t>参考</w:t>
                    </w:r>
                    <w:r>
                      <w:rPr>
                        <w:spacing w:val="-4"/>
                        <w:sz w:val="21"/>
                      </w:rPr>
                      <w:t>文</w:t>
                    </w:r>
                    <w:r>
                      <w:rPr>
                        <w:sz w:val="21"/>
                      </w:rPr>
                      <w:t>献</w:t>
                    </w:r>
                    <w:r>
                      <w:rPr>
                        <w:rFonts w:ascii="Times New Roman" w:eastAsia="Times New Roman"/>
                        <w:sz w:val="21"/>
                      </w:rPr>
                      <w:tab/>
                    </w:r>
                    <w:r>
                      <w:rPr>
                        <w:sz w:val="21"/>
                      </w:rPr>
                      <w:t>14</w:t>
                    </w:r>
                  </w:p>
                </w:txbxContent>
              </v:textbox>
            </v:shape>
            <v:shape id="_x0000_s1037" type="#_x0000_t202" style="width:110;height:180;left:10452;position:absolute;top:7218" filled="f" stroked="f">
              <v:textbox inset="0,0,0,0">
                <w:txbxContent>
                  <w:p>
                    <w:pPr>
                      <w:spacing w:before="0" w:line="180" w:lineRule="exact"/>
                      <w:ind w:left="0" w:right="0" w:firstLine="0"/>
                      <w:jc w:val="left"/>
                      <w:rPr>
                        <w:sz w:val="18"/>
                      </w:rPr>
                    </w:pPr>
                    <w:r>
                      <w:rPr>
                        <w:sz w:val="18"/>
                      </w:rPr>
                      <w:t>I</w:t>
                    </w:r>
                  </w:p>
                </w:txbxContent>
              </v:textbox>
            </v:shape>
            <w10:wrap type="topAndBottom"/>
          </v:group>
        </w:pict>
      </w:r>
    </w:p>
    <w:p>
      <w:pPr>
        <w:spacing w:after="0"/>
        <w:rPr>
          <w:sz w:val="9"/>
        </w:rPr>
        <w:sectPr>
          <w:headerReference w:type="default" r:id="rId7"/>
          <w:pgSz w:w="11910" w:h="16840"/>
          <w:pgMar w:top="1640" w:right="260" w:bottom="280" w:left="240" w:header="1446" w:footer="0"/>
          <w:pgNumType w:start="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7"/>
        </w:rPr>
      </w:pPr>
    </w:p>
    <w:p>
      <w:pPr>
        <w:pStyle w:val="BodyText"/>
        <w:ind w:left="2860"/>
        <w:rPr>
          <w:sz w:val="20"/>
        </w:rPr>
      </w:pPr>
      <w:r>
        <w:rPr>
          <w:sz w:val="20"/>
        </w:rPr>
        <w:drawing>
          <wp:inline distT="0" distB="0" distL="0" distR="0">
            <wp:extent cx="4028503" cy="2533650"/>
            <wp:effectExtent l="0" t="0" r="0" b="0"/>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6" cstate="print"/>
                    <a:stretch>
                      <a:fillRect/>
                    </a:stretch>
                  </pic:blipFill>
                  <pic:spPr>
                    <a:xfrm>
                      <a:off x="0" y="0"/>
                      <a:ext cx="4028503" cy="2533650"/>
                    </a:xfrm>
                    <a:prstGeom prst="rect">
                      <a:avLst/>
                    </a:prstGeom>
                  </pic:spPr>
                </pic:pic>
              </a:graphicData>
            </a:graphic>
          </wp:inline>
        </w:drawing>
      </w:r>
    </w:p>
    <w:p>
      <w:pPr>
        <w:spacing w:after="0"/>
        <w:rPr>
          <w:sz w:val="20"/>
        </w:rPr>
        <w:sectPr>
          <w:headerReference w:type="even" r:id="rId8"/>
          <w:headerReference w:type="default" r:id="rId9"/>
          <w:pgSz w:w="11910" w:h="16840"/>
          <w:pgMar w:top="1580" w:right="260" w:bottom="280" w:left="240" w:header="0" w:footer="0"/>
          <w:pgNumType w:start="4"/>
          <w:cols w:space="708"/>
        </w:sectPr>
      </w:pPr>
    </w:p>
    <w:p>
      <w:pPr>
        <w:pStyle w:val="BodyText"/>
        <w:rPr>
          <w:sz w:val="20"/>
        </w:rPr>
      </w:pPr>
    </w:p>
    <w:p>
      <w:pPr>
        <w:pStyle w:val="BodyText"/>
        <w:rPr>
          <w:sz w:val="20"/>
        </w:rPr>
      </w:pPr>
    </w:p>
    <w:p>
      <w:pPr>
        <w:pStyle w:val="BodyText"/>
        <w:spacing w:before="12"/>
        <w:rPr>
          <w:sz w:val="18"/>
        </w:rPr>
      </w:pPr>
    </w:p>
    <w:p>
      <w:pPr>
        <w:tabs>
          <w:tab w:val="left" w:pos="1111"/>
        </w:tabs>
        <w:spacing w:before="55"/>
        <w:ind w:left="151" w:right="0" w:firstLine="0"/>
        <w:jc w:val="center"/>
        <w:rPr>
          <w:rFonts w:ascii="黑体" w:eastAsia="黑体" w:hint="eastAsia"/>
          <w:sz w:val="32"/>
        </w:rPr>
      </w:pPr>
      <w:bookmarkStart w:id="0" w:name="前言"/>
      <w:bookmarkEnd w:id="0"/>
      <w:r>
        <w:rPr>
          <w:rFonts w:ascii="黑体" w:eastAsia="黑体" w:hint="eastAsia"/>
          <w:sz w:val="32"/>
        </w:rPr>
        <w:t>前</w:t>
        <w:tab/>
        <w:t>言</w:t>
      </w:r>
    </w:p>
    <w:p>
      <w:pPr>
        <w:pStyle w:val="BodyText"/>
        <w:spacing w:before="6"/>
        <w:rPr>
          <w:rFonts w:ascii="黑体"/>
          <w:sz w:val="46"/>
        </w:rPr>
      </w:pPr>
    </w:p>
    <w:p>
      <w:pPr>
        <w:pStyle w:val="BodyText"/>
        <w:spacing w:line="278" w:lineRule="auto"/>
        <w:ind w:left="891" w:right="1154" w:firstLine="420"/>
      </w:pPr>
      <w:r>
        <w:rPr>
          <w:spacing w:val="-3"/>
        </w:rPr>
        <w:t>本文件按照</w:t>
      </w:r>
      <w:r>
        <w:t>GB/T 1.1—2020</w:t>
      </w:r>
      <w:r>
        <w:rPr>
          <w:spacing w:val="-1"/>
        </w:rPr>
        <w:t>《标准化工作导则 第</w:t>
      </w:r>
      <w:r>
        <w:t>1</w:t>
      </w:r>
      <w:r>
        <w:rPr>
          <w:spacing w:val="-4"/>
        </w:rPr>
        <w:t>部分：标准化文件的结构和起草规则》的规定起草。</w:t>
      </w:r>
    </w:p>
    <w:p>
      <w:pPr>
        <w:pStyle w:val="BodyText"/>
        <w:spacing w:line="278" w:lineRule="auto"/>
        <w:ind w:left="891" w:right="1154" w:firstLine="419"/>
      </w:pPr>
      <w:r>
        <w:t>本文件代替DB43/T 839-2013《地理标志产品 铜官陶瓷》，与DB43/T 839-2013相比，除结构调整和编辑性改动外，主要技术变化如下：</w:t>
      </w:r>
    </w:p>
    <w:p>
      <w:pPr>
        <w:pStyle w:val="BodyText"/>
        <w:ind w:left="1311"/>
      </w:pPr>
      <w:r>
        <w:t>——增加了引言；</w:t>
      </w:r>
    </w:p>
    <w:p>
      <w:pPr>
        <w:pStyle w:val="BodyText"/>
        <w:spacing w:before="43"/>
        <w:ind w:left="1311"/>
      </w:pPr>
      <w:r>
        <w:t>——更改了“铜官陶瓷”的定义（见3.1,2013版的3.1）；</w:t>
      </w:r>
    </w:p>
    <w:p>
      <w:pPr>
        <w:pStyle w:val="BodyText"/>
        <w:spacing w:before="43"/>
        <w:ind w:left="1311"/>
      </w:pPr>
      <w:r>
        <w:t>——更改了“保护范围”的自然村和社区（见第4章，2013版的第4章）；</w:t>
      </w:r>
    </w:p>
    <w:p>
      <w:pPr>
        <w:pStyle w:val="BodyText"/>
        <w:spacing w:before="43" w:line="278" w:lineRule="auto"/>
        <w:ind w:left="891" w:right="1154" w:firstLine="419"/>
      </w:pPr>
      <w:r>
        <w:rPr>
          <w:spacing w:val="-8"/>
        </w:rPr>
        <w:t>——更改了“产品分类”的内容</w:t>
      </w:r>
      <w:r>
        <w:rPr>
          <w:spacing w:val="-4"/>
        </w:rPr>
        <w:t>（</w:t>
      </w:r>
      <w:r>
        <w:rPr>
          <w:spacing w:val="-2"/>
        </w:rPr>
        <w:t>见第</w:t>
      </w:r>
      <w:r>
        <w:t>5</w:t>
      </w:r>
      <w:r>
        <w:rPr>
          <w:spacing w:val="-3"/>
        </w:rPr>
        <w:t>章，</w:t>
      </w:r>
      <w:r>
        <w:rPr>
          <w:spacing w:val="-5"/>
        </w:rPr>
        <w:t>2013</w:t>
      </w:r>
      <w:r>
        <w:rPr>
          <w:spacing w:val="-4"/>
        </w:rPr>
        <w:t>版的第</w:t>
      </w:r>
      <w:r>
        <w:t>5章</w:t>
      </w:r>
      <w:r>
        <w:rPr>
          <w:spacing w:val="-18"/>
        </w:rPr>
        <w:t>）</w:t>
      </w:r>
      <w:r>
        <w:rPr>
          <w:spacing w:val="-7"/>
        </w:rPr>
        <w:t>，产品按用途分为日用陶瓷和工艺陶</w:t>
      </w:r>
      <w:r>
        <w:rPr>
          <w:spacing w:val="-4"/>
        </w:rPr>
        <w:t>瓷，其中日用陶瓷包括日用炻瓷和日用陶器；</w:t>
      </w:r>
    </w:p>
    <w:p>
      <w:pPr>
        <w:pStyle w:val="BodyText"/>
        <w:ind w:left="1311"/>
      </w:pPr>
      <w:r>
        <w:t>——删除了产品按等级分类的内容（见第5章，2013版的5.2）；</w:t>
      </w:r>
    </w:p>
    <w:p>
      <w:pPr>
        <w:pStyle w:val="BodyText"/>
        <w:spacing w:before="43" w:line="278" w:lineRule="auto"/>
        <w:ind w:left="891" w:right="1218" w:firstLine="419"/>
      </w:pPr>
      <w:r>
        <w:rPr>
          <w:spacing w:val="-16"/>
        </w:rPr>
        <w:t>——更改了“产品特征特性”一章的标题并对内容进行了调整和补充</w:t>
      </w:r>
      <w:r>
        <w:t>（</w:t>
      </w:r>
      <w:r>
        <w:rPr>
          <w:spacing w:val="-5"/>
        </w:rPr>
        <w:t>见第</w:t>
      </w:r>
      <w:r>
        <w:t>6</w:t>
      </w:r>
      <w:r>
        <w:rPr>
          <w:spacing w:val="-10"/>
        </w:rPr>
        <w:t>章，</w:t>
      </w:r>
      <w:r>
        <w:rPr>
          <w:spacing w:val="-14"/>
        </w:rPr>
        <w:t>2013</w:t>
      </w:r>
      <w:r>
        <w:rPr>
          <w:spacing w:val="-4"/>
        </w:rPr>
        <w:t>版的第</w:t>
      </w:r>
      <w:r>
        <w:t>6</w:t>
      </w:r>
      <w:r>
        <w:rPr>
          <w:spacing w:val="-4"/>
        </w:rPr>
        <w:t>章</w:t>
      </w:r>
      <w:r>
        <w:rPr>
          <w:spacing w:val="-60"/>
        </w:rPr>
        <w:t xml:space="preserve">）， </w:t>
      </w:r>
      <w:r>
        <w:rPr>
          <w:spacing w:val="-4"/>
        </w:rPr>
        <w:t>对原料提出通用要求、感官要求和理化指标分别提出要求，指标相比</w:t>
      </w:r>
      <w:r>
        <w:t>2013</w:t>
      </w:r>
      <w:r>
        <w:rPr>
          <w:spacing w:val="-4"/>
        </w:rPr>
        <w:t>版有调整；</w:t>
      </w:r>
    </w:p>
    <w:p>
      <w:pPr>
        <w:pStyle w:val="BodyText"/>
        <w:ind w:left="1311"/>
      </w:pPr>
      <w:r>
        <w:t>——增加了“加工工艺”（见第7章）；</w:t>
      </w:r>
    </w:p>
    <w:p>
      <w:pPr>
        <w:pStyle w:val="BodyText"/>
        <w:spacing w:before="43" w:line="278" w:lineRule="auto"/>
        <w:ind w:left="892" w:right="1053" w:firstLine="419"/>
      </w:pPr>
      <w:r>
        <w:drawing>
          <wp:anchor distT="0" distB="0" distL="0" distR="0" simplePos="0" relativeHeight="251665408" behindDoc="0" locked="0" layoutInCell="1" allowOverlap="1">
            <wp:simplePos x="0" y="0"/>
            <wp:positionH relativeFrom="page">
              <wp:posOffset>215900</wp:posOffset>
            </wp:positionH>
            <wp:positionV relativeFrom="paragraph">
              <wp:posOffset>487786</wp:posOffset>
            </wp:positionV>
            <wp:extent cx="7112000" cy="4876800"/>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spacing w:val="-8"/>
        </w:rPr>
        <w:t>——更改了“质量要求”的内容</w:t>
      </w:r>
      <w:r>
        <w:rPr>
          <w:spacing w:val="-4"/>
        </w:rPr>
        <w:t>（</w:t>
      </w:r>
      <w:r>
        <w:rPr>
          <w:spacing w:val="-2"/>
        </w:rPr>
        <w:t>见第</w:t>
      </w:r>
      <w:r>
        <w:t>8</w:t>
      </w:r>
      <w:r>
        <w:rPr>
          <w:spacing w:val="-3"/>
        </w:rPr>
        <w:t>章，</w:t>
      </w:r>
      <w:r>
        <w:rPr>
          <w:spacing w:val="-5"/>
        </w:rPr>
        <w:t>2013</w:t>
      </w:r>
      <w:r>
        <w:rPr>
          <w:spacing w:val="-4"/>
        </w:rPr>
        <w:t>版的第</w:t>
      </w:r>
      <w:r>
        <w:t>7章</w:t>
      </w:r>
      <w:r>
        <w:rPr>
          <w:spacing w:val="-18"/>
        </w:rPr>
        <w:t>）</w:t>
      </w:r>
      <w:r>
        <w:rPr>
          <w:spacing w:val="-6"/>
        </w:rPr>
        <w:t>，分别从感官要求和理化指标对日用</w:t>
      </w:r>
      <w:r>
        <w:rPr>
          <w:spacing w:val="-5"/>
        </w:rPr>
        <w:t>陶瓷和工艺陶瓷提出要求，指标相比</w:t>
      </w:r>
      <w:r>
        <w:t>2013</w:t>
      </w:r>
      <w:r>
        <w:rPr>
          <w:spacing w:val="-5"/>
        </w:rPr>
        <w:t>版有调整，增加了“釉面维氏显微硬度”、“抗冲击强度”、</w:t>
      </w:r>
      <w:r>
        <w:rPr>
          <w:spacing w:val="-4"/>
        </w:rPr>
        <w:t>“微波炉适应性”等指标</w:t>
      </w:r>
      <w:r>
        <w:t>（</w:t>
      </w:r>
      <w:r>
        <w:rPr>
          <w:spacing w:val="-4"/>
        </w:rPr>
        <w:t>见</w:t>
      </w:r>
      <w:r>
        <w:t>8.2.2）；</w:t>
      </w:r>
    </w:p>
    <w:p>
      <w:pPr>
        <w:pStyle w:val="BodyText"/>
        <w:spacing w:line="278" w:lineRule="auto"/>
        <w:ind w:left="892" w:right="1161" w:firstLine="419"/>
      </w:pPr>
      <w:r>
        <w:rPr>
          <w:spacing w:val="-7"/>
        </w:rPr>
        <w:t>——更改了“试验方法”的内容</w:t>
      </w:r>
      <w:r>
        <w:t>（</w:t>
      </w:r>
      <w:r>
        <w:rPr>
          <w:spacing w:val="-3"/>
        </w:rPr>
        <w:t>见第</w:t>
      </w:r>
      <w:r>
        <w:t>9</w:t>
      </w:r>
      <w:r>
        <w:rPr>
          <w:spacing w:val="-4"/>
        </w:rPr>
        <w:t>章，</w:t>
      </w:r>
      <w:r>
        <w:rPr>
          <w:spacing w:val="-3"/>
        </w:rPr>
        <w:t>2013</w:t>
      </w:r>
      <w:r>
        <w:rPr>
          <w:spacing w:val="-4"/>
        </w:rPr>
        <w:t>版的第</w:t>
      </w:r>
      <w:r>
        <w:t>8</w:t>
      </w:r>
      <w:r>
        <w:rPr>
          <w:spacing w:val="-5"/>
        </w:rPr>
        <w:t>章</w:t>
      </w:r>
      <w:r>
        <w:rPr>
          <w:spacing w:val="-10"/>
        </w:rPr>
        <w:t>）</w:t>
      </w:r>
      <w:r>
        <w:rPr>
          <w:spacing w:val="-9"/>
        </w:rPr>
        <w:t>，增加了“釉面色差”、“产品规格</w:t>
      </w:r>
      <w:r>
        <w:rPr>
          <w:spacing w:val="-4"/>
        </w:rPr>
        <w:t>误差”、“釉面维氏显微硬度”、“抗冲击强度”、“微波炉适应性”等试验方法；</w:t>
      </w:r>
    </w:p>
    <w:p>
      <w:pPr>
        <w:pStyle w:val="BodyText"/>
        <w:spacing w:line="278" w:lineRule="auto"/>
        <w:ind w:left="892" w:right="1153" w:firstLine="419"/>
      </w:pPr>
      <w:r>
        <w:t>——更改了“检验规则”的内容（见第10章，2013版的第9章），增加了“检验分类”，根据产品类型细化了检验规则的内容；</w:t>
      </w:r>
    </w:p>
    <w:p>
      <w:pPr>
        <w:pStyle w:val="BodyText"/>
        <w:ind w:left="1312"/>
      </w:pPr>
      <w:r>
        <w:t>——更改了“标志、包装、运输和贮存”的内容。</w:t>
      </w:r>
    </w:p>
    <w:p>
      <w:pPr>
        <w:pStyle w:val="BodyText"/>
        <w:spacing w:before="43" w:line="278" w:lineRule="auto"/>
        <w:ind w:left="1312" w:right="2317"/>
      </w:pPr>
      <w:r>
        <w:t>请注意本文件的某些内容可能涉及专利。本文件的发布机构不承担识别专利的责任。本文件由湖南省知识产权局提出。</w:t>
      </w:r>
    </w:p>
    <w:p>
      <w:pPr>
        <w:pStyle w:val="BodyText"/>
        <w:ind w:left="1312"/>
      </w:pPr>
      <w:r>
        <w:t>本文件由湖南省地理标志产品标准化技术委员会归口。</w:t>
      </w:r>
    </w:p>
    <w:p>
      <w:pPr>
        <w:pStyle w:val="BodyText"/>
        <w:spacing w:before="43" w:line="278" w:lineRule="auto"/>
        <w:ind w:left="892" w:right="1153" w:firstLine="419"/>
        <w:jc w:val="both"/>
      </w:pPr>
      <w:r>
        <w:rPr>
          <w:spacing w:val="-12"/>
        </w:rPr>
        <w:t>本文件起草单位：长沙市望城区市场监督管理局、长沙市望城区异超陶艺有限公司、长沙泥人刘陶</w:t>
      </w:r>
      <w:r>
        <w:rPr>
          <w:spacing w:val="-10"/>
        </w:rPr>
        <w:t>艺有限公司、长沙市望城区广华鑫陶艺有限公司、湖南富兴窑陶艺有限公司、长沙市望城区和万月陶艺</w:t>
      </w:r>
      <w:r>
        <w:rPr>
          <w:spacing w:val="-13"/>
        </w:rPr>
        <w:t>有限公司、长沙市望城区胡氏陶艺有限公司、长沙市望城区品陶轩陶艺有限公司、湖南省铜官陶瓷总公</w:t>
      </w:r>
      <w:r>
        <w:rPr>
          <w:spacing w:val="-4"/>
        </w:rPr>
        <w:t>司、长沙市望城区铜官陶瓷行业协会。</w:t>
      </w:r>
    </w:p>
    <w:p>
      <w:pPr>
        <w:pStyle w:val="BodyText"/>
        <w:spacing w:line="278" w:lineRule="auto"/>
        <w:ind w:left="892" w:right="1153" w:firstLine="419"/>
      </w:pPr>
      <w:r>
        <w:rPr>
          <w:spacing w:val="-15"/>
        </w:rPr>
        <w:t>本文件主要起草人：陈晓斌、谭异超、刘坤庭、刘志广、彭望球、周世洪、胡武强、雍建刚、易金</w:t>
      </w:r>
      <w:r>
        <w:rPr>
          <w:spacing w:val="-4"/>
        </w:rPr>
        <w:t>龙、骆志刚、苏建伟。</w:t>
      </w:r>
    </w:p>
    <w:p>
      <w:pPr>
        <w:pStyle w:val="BodyText"/>
        <w:ind w:left="1312"/>
      </w:pPr>
      <w:r>
        <w:t>本文件及其所代替文件的历次版本发布情况为：</w:t>
      </w:r>
    </w:p>
    <w:p>
      <w:pPr>
        <w:pStyle w:val="BodyText"/>
        <w:spacing w:before="42"/>
        <w:ind w:left="1312"/>
      </w:pPr>
      <w:r>
        <w:t>——2013年首次发布为DB43/T 839-2013；</w:t>
      </w:r>
    </w:p>
    <w:p>
      <w:pPr>
        <w:pStyle w:val="BodyText"/>
        <w:spacing w:before="43"/>
        <w:ind w:left="1312"/>
      </w:pPr>
      <w:r>
        <w:t>——本次为第一次修订。</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6"/>
        </w:rPr>
      </w:pPr>
    </w:p>
    <w:p>
      <w:pPr>
        <w:spacing w:before="1"/>
        <w:ind w:left="0" w:right="1158" w:firstLine="0"/>
        <w:jc w:val="right"/>
        <w:rPr>
          <w:sz w:val="18"/>
        </w:rPr>
      </w:pPr>
      <w:r>
        <w:rPr>
          <w:sz w:val="18"/>
        </w:rPr>
        <w:t>II</w:t>
      </w:r>
    </w:p>
    <w:p>
      <w:pPr>
        <w:spacing w:after="0"/>
        <w:jc w:val="right"/>
        <w:rPr>
          <w:sz w:val="18"/>
        </w:rPr>
        <w:sectPr>
          <w:headerReference w:type="even" r:id="rId10"/>
          <w:headerReference w:type="default" r:id="rId11"/>
          <w:pgSz w:w="11910" w:h="16840"/>
          <w:pgMar w:top="1640" w:right="260" w:bottom="280" w:left="240" w:header="1446" w:footer="0"/>
          <w:pgNumType w:start="5"/>
          <w:cols w:space="708"/>
        </w:sectPr>
      </w:pPr>
    </w:p>
    <w:p>
      <w:pPr>
        <w:pStyle w:val="BodyText"/>
        <w:rPr>
          <w:sz w:val="20"/>
        </w:rPr>
      </w:pPr>
    </w:p>
    <w:p>
      <w:pPr>
        <w:pStyle w:val="BodyText"/>
        <w:rPr>
          <w:sz w:val="20"/>
        </w:rPr>
      </w:pPr>
    </w:p>
    <w:p>
      <w:pPr>
        <w:pStyle w:val="BodyText"/>
        <w:spacing w:before="8"/>
        <w:rPr>
          <w:sz w:val="22"/>
        </w:rPr>
      </w:pPr>
    </w:p>
    <w:p>
      <w:pPr>
        <w:pStyle w:val="Heading1"/>
        <w:tabs>
          <w:tab w:val="left" w:pos="1679"/>
        </w:tabs>
        <w:spacing w:before="56"/>
        <w:ind w:left="719"/>
      </w:pPr>
      <w:bookmarkStart w:id="1" w:name="引言"/>
      <w:bookmarkEnd w:id="1"/>
      <w:r>
        <w:t>引</w:t>
        <w:tab/>
        <w:t>言</w:t>
      </w:r>
    </w:p>
    <w:p>
      <w:pPr>
        <w:pStyle w:val="BodyText"/>
        <w:spacing w:before="6"/>
        <w:rPr>
          <w:rFonts w:ascii="黑体"/>
          <w:sz w:val="46"/>
        </w:rPr>
      </w:pPr>
    </w:p>
    <w:p>
      <w:pPr>
        <w:pStyle w:val="BodyText"/>
        <w:spacing w:line="278" w:lineRule="auto"/>
        <w:ind w:left="1176" w:right="767" w:firstLine="419"/>
      </w:pPr>
      <w:r>
        <w:rPr>
          <w:spacing w:val="-5"/>
        </w:rPr>
        <w:t>铜官为全国著名的“五大陶都”之一，是世界釉下多彩陶瓷发源地，铜官陶瓷融入中国传统书法、</w:t>
      </w:r>
      <w:r>
        <w:rPr>
          <w:spacing w:val="-4"/>
        </w:rPr>
        <w:t>绘画、雕塑、诗词谚语等装饰艺术，形成“南青北白长沙彩”鼎力之势。</w:t>
      </w:r>
    </w:p>
    <w:p>
      <w:pPr>
        <w:pStyle w:val="BodyText"/>
        <w:spacing w:line="278" w:lineRule="auto"/>
        <w:ind w:left="1176" w:right="869" w:firstLine="419"/>
        <w:jc w:val="both"/>
      </w:pPr>
      <w:r>
        <w:rPr>
          <w:spacing w:val="-13"/>
        </w:rPr>
        <w:t>《鉴略妥注》载：“舜陶于河滨，而器不苦窳”。殷商之前，舜帝就带领先民在湘江一带开始制陶之业，进行原始手工制作，铜官陶业工人仍尊舜帝为祖师。《水经注》载：“铜官山，亦名云母山，土</w:t>
      </w:r>
      <w:r>
        <w:rPr>
          <w:spacing w:val="-4"/>
        </w:rPr>
        <w:t>性宜陶，有陶家千余户，沿河而居”。</w:t>
      </w:r>
    </w:p>
    <w:p>
      <w:pPr>
        <w:pStyle w:val="BodyText"/>
        <w:spacing w:line="278" w:lineRule="auto"/>
        <w:ind w:left="1176" w:right="769" w:firstLine="419"/>
      </w:pPr>
      <w:r>
        <w:drawing>
          <wp:anchor distT="0" distB="0" distL="0" distR="0" simplePos="0" relativeHeight="251666432" behindDoc="0" locked="0" layoutInCell="1" allowOverlap="1">
            <wp:simplePos x="0" y="0"/>
            <wp:positionH relativeFrom="page">
              <wp:posOffset>215900</wp:posOffset>
            </wp:positionH>
            <wp:positionV relativeFrom="paragraph">
              <wp:posOffset>2015287</wp:posOffset>
            </wp:positionV>
            <wp:extent cx="7112000" cy="4876800"/>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spacing w:val="-11"/>
        </w:rPr>
        <w:t>从唐代开始至今，铜官窑生产的水缸可以盛水不漏，生产的千斤以下的酒坛可以酿酒，酒香而不泄</w:t>
      </w:r>
      <w:r>
        <w:rPr>
          <w:spacing w:val="-6"/>
        </w:rPr>
        <w:t xml:space="preserve">漏，生产的菜坛可以埯菜，生产药罐可以熬药,生产的陶罐可以炖菜，生产的蒸钵可以猛火煮熟食物， </w:t>
      </w:r>
      <w:r>
        <w:rPr>
          <w:spacing w:val="-9"/>
        </w:rPr>
        <w:t>生产的仝瓦，底瓦，琉璃瓦建造盖房经久耐用；70</w:t>
      </w:r>
      <w:r>
        <w:rPr>
          <w:spacing w:val="-7"/>
        </w:rPr>
        <w:t>年代铜官人民研发，提升的炻瓷餐具产品，可适用慢</w:t>
      </w:r>
      <w:r>
        <w:rPr>
          <w:spacing w:val="-11"/>
        </w:rPr>
        <w:t>炖电饭煲内胆，可适应现代生活的烤箱，微波炉，机械洗涤。铜官陶瓷产品是经过严格的制作工艺，经</w:t>
      </w:r>
      <w:r>
        <w:rPr>
          <w:spacing w:val="-7"/>
        </w:rPr>
        <w:t xml:space="preserve">高温一次烧制而成，重金属铅、镉有毒元素含量极低。千百年来，铜官人民主要靠陶为业，以陶营生， </w:t>
      </w:r>
      <w:r>
        <w:rPr>
          <w:spacing w:val="-10"/>
        </w:rPr>
        <w:t xml:space="preserve">铜官是海上丝绸之路上的源头，是陆上丝绸之路的重要支点，改革开放后，铜官陶业经过改质提升，铜 </w:t>
      </w:r>
      <w:r>
        <w:rPr>
          <w:spacing w:val="-5"/>
        </w:rPr>
        <w:t>官陶瓷产品声誉国内，誉满全球，深受国内外消费者睛睐，具有独特的地方特色和民族特色。</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9"/>
        </w:rPr>
      </w:pPr>
      <w:r>
        <w:pict>
          <v:shape id="_x0000_s1038" type="#_x0000_t202" style="width:14.8pt;height:9pt;margin-top:14.33pt;margin-left:70.8pt;mso-position-horizontal-relative:page;mso-wrap-distance-left:0;mso-wrap-distance-right:0;position:absolute;z-index:-251649024" filled="f" stroked="f">
            <v:textbox inset="0,0,0,0">
              <w:txbxContent>
                <w:p>
                  <w:pPr>
                    <w:spacing w:before="0" w:line="180" w:lineRule="exact"/>
                    <w:ind w:left="0" w:right="0" w:firstLine="0"/>
                    <w:jc w:val="left"/>
                    <w:rPr>
                      <w:sz w:val="18"/>
                    </w:rPr>
                  </w:pPr>
                  <w:r>
                    <w:rPr>
                      <w:sz w:val="18"/>
                    </w:rPr>
                    <w:t>III</w:t>
                  </w:r>
                </w:p>
              </w:txbxContent>
            </v:textbox>
            <w10:wrap type="topAndBottom"/>
          </v:shape>
        </w:pict>
      </w:r>
    </w:p>
    <w:p>
      <w:pPr>
        <w:spacing w:after="0"/>
        <w:rPr>
          <w:sz w:val="19"/>
        </w:rPr>
        <w:sectPr>
          <w:headerReference w:type="even" r:id="rId12"/>
          <w:headerReference w:type="default" r:id="rId13"/>
          <w:pgSz w:w="11910" w:h="16840"/>
          <w:pgMar w:top="1640" w:right="260" w:bottom="280" w:left="240" w:header="1446" w:footer="0"/>
          <w:pgNumType w:start="6"/>
          <w:cols w:space="708"/>
        </w:sectPr>
      </w:pPr>
    </w:p>
    <w:p>
      <w:pPr>
        <w:pStyle w:val="BodyText"/>
        <w:spacing w:before="2"/>
        <w:rPr>
          <w:sz w:val="20"/>
        </w:rPr>
      </w:pPr>
      <w:r>
        <w:drawing>
          <wp:anchor distT="0" distB="0" distL="0" distR="0" simplePos="0" relativeHeight="251668480" behindDoc="0" locked="0" layoutInCell="1" allowOverlap="1">
            <wp:simplePos x="0" y="0"/>
            <wp:positionH relativeFrom="page">
              <wp:posOffset>899160</wp:posOffset>
            </wp:positionH>
            <wp:positionV relativeFrom="page">
              <wp:posOffset>9121140</wp:posOffset>
            </wp:positionV>
            <wp:extent cx="182581" cy="105441"/>
            <wp:effectExtent l="0" t="0" r="0" b="0"/>
            <wp:wrapNone/>
            <wp:docPr id="1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4.png"/>
                    <pic:cNvPicPr/>
                  </pic:nvPicPr>
                  <pic:blipFill>
                    <a:blip xmlns:r="http://schemas.openxmlformats.org/officeDocument/2006/relationships" r:embed="rId14" cstate="print"/>
                    <a:stretch>
                      <a:fillRect/>
                    </a:stretch>
                  </pic:blipFill>
                  <pic:spPr>
                    <a:xfrm>
                      <a:off x="0" y="0"/>
                      <a:ext cx="182581" cy="105441"/>
                    </a:xfrm>
                    <a:prstGeom prst="rect">
                      <a:avLst/>
                    </a:prstGeom>
                  </pic:spPr>
                </pic:pic>
              </a:graphicData>
            </a:graphic>
          </wp:anchor>
        </w:drawing>
      </w:r>
    </w:p>
    <w:p>
      <w:pPr>
        <w:pStyle w:val="Heading1"/>
      </w:pPr>
      <w:r>
        <w:t>地理标志产品 铜官陶瓷</w:t>
      </w:r>
    </w:p>
    <w:p>
      <w:pPr>
        <w:pStyle w:val="BodyText"/>
        <w:rPr>
          <w:rFonts w:ascii="黑体"/>
          <w:sz w:val="20"/>
        </w:rPr>
      </w:pPr>
    </w:p>
    <w:p>
      <w:pPr>
        <w:pStyle w:val="BodyText"/>
        <w:spacing w:before="9"/>
        <w:rPr>
          <w:rFonts w:ascii="黑体"/>
          <w:sz w:val="28"/>
        </w:rPr>
      </w:pPr>
    </w:p>
    <w:p>
      <w:pPr>
        <w:pStyle w:val="ListParagraph"/>
        <w:numPr>
          <w:ilvl w:val="0"/>
          <w:numId w:val="20"/>
        </w:numPr>
        <w:tabs>
          <w:tab w:val="left" w:pos="1492"/>
        </w:tabs>
        <w:spacing w:before="73" w:after="0" w:line="240" w:lineRule="auto"/>
        <w:ind w:left="1491" w:right="0" w:hanging="316"/>
        <w:jc w:val="left"/>
        <w:rPr>
          <w:rFonts w:ascii="黑体" w:eastAsia="黑体" w:hint="eastAsia"/>
          <w:sz w:val="21"/>
        </w:rPr>
      </w:pPr>
      <w:bookmarkStart w:id="2" w:name="1　 范围"/>
      <w:bookmarkEnd w:id="2"/>
      <w:r>
        <w:rPr>
          <w:rFonts w:ascii="黑体" w:eastAsia="黑体" w:hint="eastAsia"/>
          <w:sz w:val="21"/>
        </w:rPr>
        <w:t>范围</w:t>
      </w:r>
    </w:p>
    <w:p>
      <w:pPr>
        <w:pStyle w:val="BodyText"/>
        <w:spacing w:before="8"/>
        <w:rPr>
          <w:rFonts w:ascii="黑体"/>
          <w:sz w:val="27"/>
        </w:rPr>
      </w:pPr>
    </w:p>
    <w:p>
      <w:pPr>
        <w:pStyle w:val="BodyText"/>
        <w:spacing w:before="1" w:line="278" w:lineRule="auto"/>
        <w:ind w:left="1175" w:right="766" w:firstLine="419"/>
      </w:pPr>
      <w:r>
        <w:rPr>
          <w:spacing w:val="-5"/>
        </w:rPr>
        <w:t>本文件规定了地理标志产品铜官陶瓷的保护范围、分类、原料、加工工艺、质量要求、试验方法、</w:t>
      </w:r>
      <w:r>
        <w:rPr>
          <w:spacing w:val="-4"/>
        </w:rPr>
        <w:t>检验规则及标志、包装、运输和贮存。</w:t>
      </w:r>
    </w:p>
    <w:p>
      <w:pPr>
        <w:pStyle w:val="BodyText"/>
        <w:ind w:left="1595"/>
      </w:pPr>
      <w:r>
        <w:t>本文件适用于地理标志产品铜官陶瓷的生产和销售。</w:t>
      </w:r>
    </w:p>
    <w:p>
      <w:pPr>
        <w:pStyle w:val="BodyText"/>
        <w:spacing w:before="8"/>
        <w:rPr>
          <w:sz w:val="27"/>
        </w:rPr>
      </w:pPr>
    </w:p>
    <w:p>
      <w:pPr>
        <w:pStyle w:val="ListParagraph"/>
        <w:numPr>
          <w:ilvl w:val="0"/>
          <w:numId w:val="20"/>
        </w:numPr>
        <w:tabs>
          <w:tab w:val="left" w:pos="1492"/>
        </w:tabs>
        <w:spacing w:before="0" w:after="0" w:line="240" w:lineRule="auto"/>
        <w:ind w:left="1491" w:right="0" w:hanging="317"/>
        <w:jc w:val="left"/>
        <w:rPr>
          <w:rFonts w:ascii="黑体" w:eastAsia="黑体" w:hint="eastAsia"/>
          <w:sz w:val="21"/>
        </w:rPr>
      </w:pPr>
      <w:bookmarkStart w:id="3" w:name="2　 规范性引用文件"/>
      <w:bookmarkEnd w:id="3"/>
      <w:r>
        <w:rPr>
          <w:rFonts w:ascii="黑体" w:eastAsia="黑体" w:hint="eastAsia"/>
          <w:spacing w:val="-3"/>
          <w:sz w:val="21"/>
        </w:rPr>
        <w:t>规范性引用文件</w:t>
      </w:r>
    </w:p>
    <w:p>
      <w:pPr>
        <w:pStyle w:val="BodyText"/>
        <w:spacing w:before="9"/>
        <w:rPr>
          <w:rFonts w:ascii="黑体"/>
          <w:sz w:val="27"/>
        </w:rPr>
      </w:pPr>
    </w:p>
    <w:p>
      <w:pPr>
        <w:pStyle w:val="BodyText"/>
        <w:spacing w:line="278" w:lineRule="auto"/>
        <w:ind w:left="1175" w:right="766" w:firstLine="419"/>
      </w:pPr>
      <w:r>
        <w:rPr>
          <w:spacing w:val="-11"/>
        </w:rPr>
        <w:t xml:space="preserve">下列文件中的内容通过文中的规范性引用而构成本文件必不可少的条款。其中，注日期的引用文件， </w:t>
      </w:r>
      <w:r>
        <w:rPr>
          <w:spacing w:val="-9"/>
        </w:rPr>
        <w:t>仅该日期对应的版本适用于本文件；不注日期的引用文件，其最新版本</w:t>
      </w:r>
      <w:r>
        <w:rPr>
          <w:spacing w:val="-5"/>
        </w:rPr>
        <w:t>（包括所有的修改单</w:t>
      </w:r>
      <w:r>
        <w:rPr>
          <w:spacing w:val="-24"/>
        </w:rPr>
        <w:t>）</w:t>
      </w:r>
      <w:r>
        <w:rPr>
          <w:spacing w:val="-5"/>
        </w:rPr>
        <w:t xml:space="preserve">适用于本 </w:t>
      </w:r>
      <w:r>
        <w:t>文件。</w:t>
      </w:r>
    </w:p>
    <w:p>
      <w:pPr>
        <w:pStyle w:val="BodyText"/>
        <w:ind w:left="1595"/>
      </w:pPr>
      <w:r>
        <w:t>GB/T 191 包装储运图示标志</w:t>
      </w:r>
    </w:p>
    <w:p>
      <w:pPr>
        <w:pStyle w:val="BodyText"/>
        <w:spacing w:before="43"/>
        <w:ind w:left="1595"/>
      </w:pPr>
      <w:r>
        <w:drawing>
          <wp:anchor distT="0" distB="0" distL="0" distR="0" simplePos="0" relativeHeight="251669504" behindDoc="0" locked="0" layoutInCell="1" allowOverlap="1">
            <wp:simplePos x="0" y="0"/>
            <wp:positionH relativeFrom="page">
              <wp:posOffset>215900</wp:posOffset>
            </wp:positionH>
            <wp:positionV relativeFrom="paragraph">
              <wp:posOffset>937811</wp:posOffset>
            </wp:positionV>
            <wp:extent cx="7112000" cy="4876800"/>
            <wp:effectExtent l="0" t="0" r="0" b="0"/>
            <wp:wrapNone/>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t>GB/T 2828.1 计数抽样检验程序 第1部分: 按接收质量限(AQL)检索的逐批检验抽样计划</w:t>
      </w:r>
    </w:p>
    <w:p>
      <w:pPr>
        <w:pStyle w:val="BodyText"/>
        <w:spacing w:before="7"/>
        <w:rPr>
          <w:sz w:val="5"/>
        </w:rPr>
      </w:pPr>
    </w:p>
    <w:tbl>
      <w:tblPr>
        <w:tblStyle w:val="TableNormal0"/>
        <w:tblW w:w="0" w:type="auto"/>
        <w:jc w:val="left"/>
        <w:tblInd w:w="15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24"/>
        <w:gridCol w:w="576"/>
        <w:gridCol w:w="5409"/>
      </w:tblGrid>
      <w:tr>
        <w:tblPrEx>
          <w:tblW w:w="0" w:type="auto"/>
          <w:jc w:val="left"/>
          <w:tblInd w:w="15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62"/>
          <w:jc w:val="left"/>
        </w:trPr>
        <w:tc>
          <w:tcPr>
            <w:tcW w:w="524" w:type="dxa"/>
          </w:tcPr>
          <w:p>
            <w:pPr>
              <w:pStyle w:val="TableParagraph"/>
              <w:spacing w:line="241" w:lineRule="exact"/>
              <w:ind w:left="31" w:right="32"/>
              <w:rPr>
                <w:sz w:val="21"/>
              </w:rPr>
            </w:pPr>
            <w:r>
              <w:rPr>
                <w:sz w:val="21"/>
              </w:rPr>
              <w:t>GB/T</w:t>
            </w:r>
          </w:p>
        </w:tc>
        <w:tc>
          <w:tcPr>
            <w:tcW w:w="576" w:type="dxa"/>
          </w:tcPr>
          <w:p>
            <w:pPr>
              <w:pStyle w:val="TableParagraph"/>
              <w:spacing w:line="241" w:lineRule="exact"/>
              <w:ind w:left="33" w:right="82"/>
              <w:rPr>
                <w:sz w:val="21"/>
              </w:rPr>
            </w:pPr>
            <w:r>
              <w:rPr>
                <w:sz w:val="21"/>
              </w:rPr>
              <w:t>2829</w:t>
            </w:r>
          </w:p>
        </w:tc>
        <w:tc>
          <w:tcPr>
            <w:tcW w:w="5409" w:type="dxa"/>
          </w:tcPr>
          <w:p>
            <w:pPr>
              <w:pStyle w:val="TableParagraph"/>
              <w:spacing w:line="241" w:lineRule="exact"/>
              <w:ind w:left="106"/>
              <w:jc w:val="left"/>
              <w:rPr>
                <w:sz w:val="21"/>
              </w:rPr>
            </w:pPr>
            <w:r>
              <w:rPr>
                <w:sz w:val="21"/>
              </w:rPr>
              <w:t>周期检验计数抽样程序及表(适用于对过程稳定性的检验)</w:t>
            </w:r>
          </w:p>
        </w:tc>
      </w:tr>
      <w:tr>
        <w:tblPrEx>
          <w:tblW w:w="0" w:type="auto"/>
          <w:jc w:val="left"/>
          <w:tblInd w:w="1552" w:type="dxa"/>
          <w:tblLayout w:type="fixed"/>
          <w:tblCellMar>
            <w:top w:w="0" w:type="dxa"/>
            <w:left w:w="0" w:type="dxa"/>
            <w:bottom w:w="0" w:type="dxa"/>
            <w:right w:w="0" w:type="dxa"/>
          </w:tblCellMar>
          <w:tblLook w:val="01E0"/>
        </w:tblPrEx>
        <w:trPr>
          <w:trHeight w:val="312"/>
          <w:jc w:val="left"/>
        </w:trPr>
        <w:tc>
          <w:tcPr>
            <w:tcW w:w="524" w:type="dxa"/>
          </w:tcPr>
          <w:p>
            <w:pPr>
              <w:pStyle w:val="TableParagraph"/>
              <w:spacing w:before="22"/>
              <w:ind w:left="31" w:right="32"/>
              <w:rPr>
                <w:sz w:val="21"/>
              </w:rPr>
            </w:pPr>
            <w:r>
              <w:rPr>
                <w:sz w:val="21"/>
              </w:rPr>
              <w:t>GB/T</w:t>
            </w:r>
          </w:p>
        </w:tc>
        <w:tc>
          <w:tcPr>
            <w:tcW w:w="576" w:type="dxa"/>
          </w:tcPr>
          <w:p>
            <w:pPr>
              <w:pStyle w:val="TableParagraph"/>
              <w:spacing w:before="22"/>
              <w:ind w:left="33" w:right="81"/>
              <w:rPr>
                <w:sz w:val="21"/>
              </w:rPr>
            </w:pPr>
            <w:r>
              <w:rPr>
                <w:sz w:val="21"/>
              </w:rPr>
              <w:t>3295</w:t>
            </w:r>
          </w:p>
        </w:tc>
        <w:tc>
          <w:tcPr>
            <w:tcW w:w="5409" w:type="dxa"/>
          </w:tcPr>
          <w:p>
            <w:pPr>
              <w:pStyle w:val="TableParagraph"/>
              <w:spacing w:before="22"/>
              <w:ind w:left="106"/>
              <w:jc w:val="left"/>
              <w:rPr>
                <w:sz w:val="21"/>
              </w:rPr>
            </w:pPr>
            <w:r>
              <w:rPr>
                <w:sz w:val="21"/>
              </w:rPr>
              <w:t>陶瓷制品45°镜向光泽度试验方法</w:t>
            </w:r>
          </w:p>
        </w:tc>
      </w:tr>
      <w:tr>
        <w:tblPrEx>
          <w:tblW w:w="0" w:type="auto"/>
          <w:jc w:val="left"/>
          <w:tblInd w:w="1552" w:type="dxa"/>
          <w:tblLayout w:type="fixed"/>
          <w:tblCellMar>
            <w:top w:w="0" w:type="dxa"/>
            <w:left w:w="0" w:type="dxa"/>
            <w:bottom w:w="0" w:type="dxa"/>
            <w:right w:w="0" w:type="dxa"/>
          </w:tblCellMar>
          <w:tblLook w:val="01E0"/>
        </w:tblPrEx>
        <w:trPr>
          <w:trHeight w:val="312"/>
          <w:jc w:val="left"/>
        </w:trPr>
        <w:tc>
          <w:tcPr>
            <w:tcW w:w="524" w:type="dxa"/>
          </w:tcPr>
          <w:p>
            <w:pPr>
              <w:pStyle w:val="TableParagraph"/>
              <w:spacing w:before="22"/>
              <w:ind w:left="31" w:right="32"/>
              <w:rPr>
                <w:sz w:val="21"/>
              </w:rPr>
            </w:pPr>
            <w:r>
              <w:rPr>
                <w:sz w:val="21"/>
              </w:rPr>
              <w:t>GB/T</w:t>
            </w:r>
          </w:p>
        </w:tc>
        <w:tc>
          <w:tcPr>
            <w:tcW w:w="576" w:type="dxa"/>
          </w:tcPr>
          <w:p>
            <w:pPr>
              <w:pStyle w:val="TableParagraph"/>
              <w:spacing w:before="22"/>
              <w:ind w:left="33" w:right="81"/>
              <w:rPr>
                <w:sz w:val="21"/>
              </w:rPr>
            </w:pPr>
            <w:r>
              <w:rPr>
                <w:sz w:val="21"/>
              </w:rPr>
              <w:t>3298</w:t>
            </w:r>
          </w:p>
        </w:tc>
        <w:tc>
          <w:tcPr>
            <w:tcW w:w="5409" w:type="dxa"/>
          </w:tcPr>
          <w:p>
            <w:pPr>
              <w:pStyle w:val="TableParagraph"/>
              <w:spacing w:before="22"/>
              <w:ind w:left="106"/>
              <w:jc w:val="left"/>
              <w:rPr>
                <w:sz w:val="21"/>
              </w:rPr>
            </w:pPr>
            <w:r>
              <w:rPr>
                <w:sz w:val="21"/>
              </w:rPr>
              <w:t>日用陶瓷器抗热震性测定方法</w:t>
            </w:r>
          </w:p>
        </w:tc>
      </w:tr>
      <w:tr>
        <w:tblPrEx>
          <w:tblW w:w="0" w:type="auto"/>
          <w:jc w:val="left"/>
          <w:tblInd w:w="1552" w:type="dxa"/>
          <w:tblLayout w:type="fixed"/>
          <w:tblCellMar>
            <w:top w:w="0" w:type="dxa"/>
            <w:left w:w="0" w:type="dxa"/>
            <w:bottom w:w="0" w:type="dxa"/>
            <w:right w:w="0" w:type="dxa"/>
          </w:tblCellMar>
          <w:tblLook w:val="01E0"/>
        </w:tblPrEx>
        <w:trPr>
          <w:trHeight w:val="312"/>
          <w:jc w:val="left"/>
        </w:trPr>
        <w:tc>
          <w:tcPr>
            <w:tcW w:w="524" w:type="dxa"/>
          </w:tcPr>
          <w:p>
            <w:pPr>
              <w:pStyle w:val="TableParagraph"/>
              <w:spacing w:before="22"/>
              <w:ind w:left="31" w:right="32"/>
              <w:rPr>
                <w:sz w:val="21"/>
              </w:rPr>
            </w:pPr>
            <w:r>
              <w:rPr>
                <w:sz w:val="21"/>
              </w:rPr>
              <w:t>GB/T</w:t>
            </w:r>
          </w:p>
        </w:tc>
        <w:tc>
          <w:tcPr>
            <w:tcW w:w="576" w:type="dxa"/>
          </w:tcPr>
          <w:p>
            <w:pPr>
              <w:pStyle w:val="TableParagraph"/>
              <w:spacing w:before="22"/>
              <w:ind w:left="33" w:right="81"/>
              <w:rPr>
                <w:sz w:val="21"/>
              </w:rPr>
            </w:pPr>
            <w:r>
              <w:rPr>
                <w:sz w:val="21"/>
              </w:rPr>
              <w:t>3299</w:t>
            </w:r>
          </w:p>
        </w:tc>
        <w:tc>
          <w:tcPr>
            <w:tcW w:w="5409" w:type="dxa"/>
          </w:tcPr>
          <w:p>
            <w:pPr>
              <w:pStyle w:val="TableParagraph"/>
              <w:spacing w:before="22"/>
              <w:ind w:left="106"/>
              <w:jc w:val="left"/>
              <w:rPr>
                <w:sz w:val="21"/>
              </w:rPr>
            </w:pPr>
            <w:r>
              <w:rPr>
                <w:sz w:val="21"/>
              </w:rPr>
              <w:t>日用陶瓷器吸水率测定方法</w:t>
            </w:r>
          </w:p>
        </w:tc>
      </w:tr>
      <w:tr>
        <w:tblPrEx>
          <w:tblW w:w="0" w:type="auto"/>
          <w:jc w:val="left"/>
          <w:tblInd w:w="1552" w:type="dxa"/>
          <w:tblLayout w:type="fixed"/>
          <w:tblCellMar>
            <w:top w:w="0" w:type="dxa"/>
            <w:left w:w="0" w:type="dxa"/>
            <w:bottom w:w="0" w:type="dxa"/>
            <w:right w:w="0" w:type="dxa"/>
          </w:tblCellMar>
          <w:tblLook w:val="01E0"/>
        </w:tblPrEx>
        <w:trPr>
          <w:trHeight w:val="312"/>
          <w:jc w:val="left"/>
        </w:trPr>
        <w:tc>
          <w:tcPr>
            <w:tcW w:w="524" w:type="dxa"/>
          </w:tcPr>
          <w:p>
            <w:pPr>
              <w:pStyle w:val="TableParagraph"/>
              <w:spacing w:before="22"/>
              <w:ind w:left="31" w:right="32"/>
              <w:rPr>
                <w:sz w:val="21"/>
              </w:rPr>
            </w:pPr>
            <w:r>
              <w:rPr>
                <w:sz w:val="21"/>
              </w:rPr>
              <w:t>GB/T</w:t>
            </w:r>
          </w:p>
        </w:tc>
        <w:tc>
          <w:tcPr>
            <w:tcW w:w="576" w:type="dxa"/>
          </w:tcPr>
          <w:p>
            <w:pPr>
              <w:pStyle w:val="TableParagraph"/>
              <w:spacing w:before="22"/>
              <w:ind w:left="33" w:right="81"/>
              <w:rPr>
                <w:sz w:val="21"/>
              </w:rPr>
            </w:pPr>
            <w:r>
              <w:rPr>
                <w:sz w:val="21"/>
              </w:rPr>
              <w:t>3300</w:t>
            </w:r>
          </w:p>
        </w:tc>
        <w:tc>
          <w:tcPr>
            <w:tcW w:w="5409" w:type="dxa"/>
          </w:tcPr>
          <w:p>
            <w:pPr>
              <w:pStyle w:val="TableParagraph"/>
              <w:spacing w:before="22"/>
              <w:ind w:left="106"/>
              <w:jc w:val="left"/>
              <w:rPr>
                <w:sz w:val="21"/>
              </w:rPr>
            </w:pPr>
            <w:r>
              <w:rPr>
                <w:sz w:val="21"/>
              </w:rPr>
              <w:t>日用陶瓷器变形检验方法</w:t>
            </w:r>
          </w:p>
        </w:tc>
      </w:tr>
      <w:tr>
        <w:tblPrEx>
          <w:tblW w:w="0" w:type="auto"/>
          <w:jc w:val="left"/>
          <w:tblInd w:w="1552" w:type="dxa"/>
          <w:tblLayout w:type="fixed"/>
          <w:tblCellMar>
            <w:top w:w="0" w:type="dxa"/>
            <w:left w:w="0" w:type="dxa"/>
            <w:bottom w:w="0" w:type="dxa"/>
            <w:right w:w="0" w:type="dxa"/>
          </w:tblCellMar>
          <w:tblLook w:val="01E0"/>
        </w:tblPrEx>
        <w:trPr>
          <w:trHeight w:val="312"/>
          <w:jc w:val="left"/>
        </w:trPr>
        <w:tc>
          <w:tcPr>
            <w:tcW w:w="524" w:type="dxa"/>
          </w:tcPr>
          <w:p>
            <w:pPr>
              <w:pStyle w:val="TableParagraph"/>
              <w:spacing w:before="22"/>
              <w:ind w:left="31" w:right="32"/>
              <w:rPr>
                <w:sz w:val="21"/>
              </w:rPr>
            </w:pPr>
            <w:r>
              <w:rPr>
                <w:sz w:val="21"/>
              </w:rPr>
              <w:t>GB/T</w:t>
            </w:r>
          </w:p>
        </w:tc>
        <w:tc>
          <w:tcPr>
            <w:tcW w:w="576" w:type="dxa"/>
          </w:tcPr>
          <w:p>
            <w:pPr>
              <w:pStyle w:val="TableParagraph"/>
              <w:spacing w:before="22"/>
              <w:ind w:left="33" w:right="81"/>
              <w:rPr>
                <w:sz w:val="21"/>
              </w:rPr>
            </w:pPr>
            <w:r>
              <w:rPr>
                <w:sz w:val="21"/>
              </w:rPr>
              <w:t>3301</w:t>
            </w:r>
          </w:p>
        </w:tc>
        <w:tc>
          <w:tcPr>
            <w:tcW w:w="5409" w:type="dxa"/>
          </w:tcPr>
          <w:p>
            <w:pPr>
              <w:pStyle w:val="TableParagraph"/>
              <w:spacing w:before="22"/>
              <w:ind w:left="106"/>
              <w:jc w:val="left"/>
              <w:rPr>
                <w:sz w:val="21"/>
              </w:rPr>
            </w:pPr>
            <w:r>
              <w:rPr>
                <w:sz w:val="21"/>
              </w:rPr>
              <w:t>日用陶瓷器规格误差和缺陷尺寸的测定方法</w:t>
            </w:r>
          </w:p>
        </w:tc>
      </w:tr>
      <w:tr>
        <w:tblPrEx>
          <w:tblW w:w="0" w:type="auto"/>
          <w:jc w:val="left"/>
          <w:tblInd w:w="1552" w:type="dxa"/>
          <w:tblLayout w:type="fixed"/>
          <w:tblCellMar>
            <w:top w:w="0" w:type="dxa"/>
            <w:left w:w="0" w:type="dxa"/>
            <w:bottom w:w="0" w:type="dxa"/>
            <w:right w:w="0" w:type="dxa"/>
          </w:tblCellMar>
          <w:tblLook w:val="01E0"/>
        </w:tblPrEx>
        <w:trPr>
          <w:trHeight w:val="312"/>
          <w:jc w:val="left"/>
        </w:trPr>
        <w:tc>
          <w:tcPr>
            <w:tcW w:w="524" w:type="dxa"/>
          </w:tcPr>
          <w:p>
            <w:pPr>
              <w:pStyle w:val="TableParagraph"/>
              <w:spacing w:before="22"/>
              <w:ind w:left="31" w:right="32"/>
              <w:rPr>
                <w:sz w:val="21"/>
              </w:rPr>
            </w:pPr>
            <w:r>
              <w:rPr>
                <w:sz w:val="21"/>
              </w:rPr>
              <w:t>GB/T</w:t>
            </w:r>
          </w:p>
        </w:tc>
        <w:tc>
          <w:tcPr>
            <w:tcW w:w="576" w:type="dxa"/>
          </w:tcPr>
          <w:p>
            <w:pPr>
              <w:pStyle w:val="TableParagraph"/>
              <w:spacing w:before="22"/>
              <w:ind w:left="33" w:right="81"/>
              <w:rPr>
                <w:sz w:val="21"/>
              </w:rPr>
            </w:pPr>
            <w:r>
              <w:rPr>
                <w:sz w:val="21"/>
              </w:rPr>
              <w:t>3302</w:t>
            </w:r>
          </w:p>
        </w:tc>
        <w:tc>
          <w:tcPr>
            <w:tcW w:w="5409" w:type="dxa"/>
          </w:tcPr>
          <w:p>
            <w:pPr>
              <w:pStyle w:val="TableParagraph"/>
              <w:spacing w:before="22"/>
              <w:ind w:left="106"/>
              <w:jc w:val="left"/>
              <w:rPr>
                <w:sz w:val="21"/>
              </w:rPr>
            </w:pPr>
            <w:r>
              <w:rPr>
                <w:sz w:val="21"/>
              </w:rPr>
              <w:t>日用陶瓷器包装、标志、运输、贮存规则</w:t>
            </w:r>
          </w:p>
        </w:tc>
      </w:tr>
      <w:tr>
        <w:tblPrEx>
          <w:tblW w:w="0" w:type="auto"/>
          <w:jc w:val="left"/>
          <w:tblInd w:w="1552" w:type="dxa"/>
          <w:tblLayout w:type="fixed"/>
          <w:tblCellMar>
            <w:top w:w="0" w:type="dxa"/>
            <w:left w:w="0" w:type="dxa"/>
            <w:bottom w:w="0" w:type="dxa"/>
            <w:right w:w="0" w:type="dxa"/>
          </w:tblCellMar>
          <w:tblLook w:val="01E0"/>
        </w:tblPrEx>
        <w:trPr>
          <w:trHeight w:val="262"/>
          <w:jc w:val="left"/>
        </w:trPr>
        <w:tc>
          <w:tcPr>
            <w:tcW w:w="524" w:type="dxa"/>
          </w:tcPr>
          <w:p>
            <w:pPr>
              <w:pStyle w:val="TableParagraph"/>
              <w:spacing w:before="22" w:line="220" w:lineRule="exact"/>
              <w:ind w:left="31" w:right="32"/>
              <w:rPr>
                <w:sz w:val="21"/>
              </w:rPr>
            </w:pPr>
            <w:r>
              <w:rPr>
                <w:sz w:val="21"/>
              </w:rPr>
              <w:t>GB/T</w:t>
            </w:r>
          </w:p>
        </w:tc>
        <w:tc>
          <w:tcPr>
            <w:tcW w:w="576" w:type="dxa"/>
          </w:tcPr>
          <w:p>
            <w:pPr>
              <w:pStyle w:val="TableParagraph"/>
              <w:spacing w:before="22" w:line="220" w:lineRule="exact"/>
              <w:ind w:left="33" w:right="81"/>
              <w:rPr>
                <w:sz w:val="21"/>
              </w:rPr>
            </w:pPr>
            <w:r>
              <w:rPr>
                <w:sz w:val="21"/>
              </w:rPr>
              <w:t>3303</w:t>
            </w:r>
          </w:p>
        </w:tc>
        <w:tc>
          <w:tcPr>
            <w:tcW w:w="5409" w:type="dxa"/>
          </w:tcPr>
          <w:p>
            <w:pPr>
              <w:pStyle w:val="TableParagraph"/>
              <w:spacing w:before="22" w:line="220" w:lineRule="exact"/>
              <w:ind w:left="106"/>
              <w:jc w:val="left"/>
              <w:rPr>
                <w:sz w:val="21"/>
              </w:rPr>
            </w:pPr>
            <w:r>
              <w:rPr>
                <w:sz w:val="21"/>
              </w:rPr>
              <w:t>日用陶瓷器缺陷术语</w:t>
            </w:r>
          </w:p>
        </w:tc>
      </w:tr>
    </w:tbl>
    <w:p>
      <w:pPr>
        <w:pStyle w:val="BodyText"/>
        <w:spacing w:before="10"/>
        <w:rPr>
          <w:sz w:val="4"/>
        </w:rPr>
      </w:pPr>
      <w:r>
        <w:pict>
          <v:group id="_x0000_s1039" style="width:457.3pt;height:300.95pt;margin-top:5.01pt;margin-left:70.82pt;mso-position-horizontal-relative:page;mso-wrap-distance-left:0;mso-wrap-distance-right:0;position:absolute;z-index:-251645952" coordorigin="1416,100" coordsize="9146,6019">
            <v:shape id="_x0000_s1040" type="#_x0000_t202" style="width:7477;height:3333;left:1835;position:absolute;top:100" filled="f" stroked="f">
              <v:textbox inset="0,0,0,0">
                <w:txbxContent>
                  <w:p>
                    <w:pPr>
                      <w:spacing w:before="0" w:line="241" w:lineRule="exact"/>
                      <w:ind w:left="0" w:right="0" w:firstLine="0"/>
                      <w:jc w:val="left"/>
                      <w:rPr>
                        <w:sz w:val="21"/>
                      </w:rPr>
                    </w:pPr>
                    <w:r>
                      <w:rPr>
                        <w:sz w:val="21"/>
                      </w:rPr>
                      <w:t>GB/T 3532-2022 日用瓷器</w:t>
                    </w:r>
                  </w:p>
                  <w:p>
                    <w:pPr>
                      <w:spacing w:before="43"/>
                      <w:ind w:left="0" w:right="0" w:firstLine="0"/>
                      <w:jc w:val="left"/>
                      <w:rPr>
                        <w:sz w:val="21"/>
                      </w:rPr>
                    </w:pPr>
                    <w:r>
                      <w:rPr>
                        <w:sz w:val="21"/>
                      </w:rPr>
                      <w:t>GB 4806.4 食品安全国家标准 陶瓷制品</w:t>
                    </w:r>
                  </w:p>
                  <w:p>
                    <w:pPr>
                      <w:spacing w:before="43"/>
                      <w:ind w:left="0" w:right="0" w:firstLine="0"/>
                      <w:jc w:val="left"/>
                      <w:rPr>
                        <w:sz w:val="21"/>
                      </w:rPr>
                    </w:pPr>
                    <w:r>
                      <w:rPr>
                        <w:sz w:val="21"/>
                      </w:rPr>
                      <w:t>GB/T</w:t>
                    </w:r>
                    <w:r>
                      <w:rPr>
                        <w:spacing w:val="6"/>
                        <w:sz w:val="21"/>
                      </w:rPr>
                      <w:t xml:space="preserve"> </w:t>
                    </w:r>
                    <w:r>
                      <w:rPr>
                        <w:sz w:val="21"/>
                      </w:rPr>
                      <w:t>5000</w:t>
                    </w:r>
                    <w:r>
                      <w:rPr>
                        <w:spacing w:val="-2"/>
                        <w:sz w:val="21"/>
                      </w:rPr>
                      <w:t xml:space="preserve">  日用陶瓷名词术语</w:t>
                    </w:r>
                  </w:p>
                  <w:p>
                    <w:pPr>
                      <w:spacing w:before="43"/>
                      <w:ind w:left="0" w:right="0" w:firstLine="0"/>
                      <w:jc w:val="left"/>
                      <w:rPr>
                        <w:sz w:val="21"/>
                      </w:rPr>
                    </w:pPr>
                    <w:r>
                      <w:rPr>
                        <w:sz w:val="21"/>
                      </w:rPr>
                      <w:t>GB/T</w:t>
                    </w:r>
                    <w:r>
                      <w:rPr>
                        <w:spacing w:val="3"/>
                        <w:sz w:val="21"/>
                      </w:rPr>
                      <w:t xml:space="preserve"> </w:t>
                    </w:r>
                    <w:r>
                      <w:rPr>
                        <w:sz w:val="21"/>
                      </w:rPr>
                      <w:t>10815-2023</w:t>
                    </w:r>
                    <w:r>
                      <w:rPr>
                        <w:spacing w:val="-1"/>
                        <w:sz w:val="21"/>
                      </w:rPr>
                      <w:t xml:space="preserve">  日用精陶瓷</w:t>
                    </w:r>
                  </w:p>
                  <w:p>
                    <w:pPr>
                      <w:spacing w:before="43"/>
                      <w:ind w:left="0" w:right="0" w:firstLine="0"/>
                      <w:jc w:val="left"/>
                      <w:rPr>
                        <w:sz w:val="21"/>
                      </w:rPr>
                    </w:pPr>
                    <w:r>
                      <w:rPr>
                        <w:sz w:val="21"/>
                      </w:rPr>
                      <w:t>GB/T 21149-2019 烧结瓦</w:t>
                    </w:r>
                  </w:p>
                  <w:p>
                    <w:pPr>
                      <w:spacing w:before="43"/>
                      <w:ind w:left="0" w:right="0" w:firstLine="0"/>
                      <w:jc w:val="left"/>
                      <w:rPr>
                        <w:sz w:val="21"/>
                      </w:rPr>
                    </w:pPr>
                    <w:r>
                      <w:rPr>
                        <w:sz w:val="21"/>
                      </w:rPr>
                      <w:t>GB 31604.24 食品安全国家标准 食品接触材料及制品 镉迁移量的测定</w:t>
                    </w:r>
                  </w:p>
                  <w:p>
                    <w:pPr>
                      <w:spacing w:before="43"/>
                      <w:ind w:left="0" w:right="0" w:firstLine="0"/>
                      <w:jc w:val="left"/>
                      <w:rPr>
                        <w:sz w:val="21"/>
                      </w:rPr>
                    </w:pPr>
                    <w:r>
                      <w:rPr>
                        <w:sz w:val="21"/>
                      </w:rPr>
                      <w:t>GB 31604.34 食品安全国家标准 食品接触材料及制品 铅的测定和迁移量的测定</w:t>
                    </w:r>
                  </w:p>
                  <w:p>
                    <w:pPr>
                      <w:spacing w:before="43"/>
                      <w:ind w:left="0" w:right="0" w:firstLine="0"/>
                      <w:jc w:val="left"/>
                      <w:rPr>
                        <w:sz w:val="21"/>
                      </w:rPr>
                    </w:pPr>
                    <w:r>
                      <w:rPr>
                        <w:sz w:val="21"/>
                      </w:rPr>
                      <w:t>GB/T 38494 陶瓷器抗冲击试验方法</w:t>
                    </w:r>
                  </w:p>
                  <w:p>
                    <w:pPr>
                      <w:spacing w:before="43"/>
                      <w:ind w:left="0" w:right="0" w:firstLine="0"/>
                      <w:jc w:val="left"/>
                      <w:rPr>
                        <w:sz w:val="21"/>
                      </w:rPr>
                    </w:pPr>
                    <w:r>
                      <w:rPr>
                        <w:sz w:val="21"/>
                      </w:rPr>
                      <w:t>QB/T 1222 普通陶器</w:t>
                    </w:r>
                  </w:p>
                  <w:p>
                    <w:pPr>
                      <w:spacing w:before="43"/>
                      <w:ind w:left="0" w:right="0" w:firstLine="0"/>
                      <w:jc w:val="left"/>
                      <w:rPr>
                        <w:sz w:val="21"/>
                      </w:rPr>
                    </w:pPr>
                    <w:r>
                      <w:rPr>
                        <w:sz w:val="21"/>
                      </w:rPr>
                      <w:t>QB/T 1503 日用陶瓷白度测定方法</w:t>
                    </w:r>
                  </w:p>
                  <w:p>
                    <w:pPr>
                      <w:spacing w:before="43" w:line="240" w:lineRule="exact"/>
                      <w:ind w:left="0" w:right="0" w:firstLine="0"/>
                      <w:jc w:val="left"/>
                      <w:rPr>
                        <w:sz w:val="21"/>
                      </w:rPr>
                    </w:pPr>
                    <w:r>
                      <w:rPr>
                        <w:sz w:val="21"/>
                      </w:rPr>
                      <w:t>QB/T 4780 日用陶瓷器釉面维氏硬度测定方法</w:t>
                    </w:r>
                  </w:p>
                </w:txbxContent>
              </v:textbox>
            </v:shape>
            <v:shape id="_x0000_s1041" type="#_x0000_t202" style="width:1392;height:212;left:1416;position:absolute;top:3844" filled="f" stroked="f">
              <v:textbox inset="0,0,0,0">
                <w:txbxContent>
                  <w:p>
                    <w:pPr>
                      <w:spacing w:before="0" w:line="212" w:lineRule="exact"/>
                      <w:ind w:left="0" w:right="0" w:firstLine="0"/>
                      <w:jc w:val="left"/>
                      <w:rPr>
                        <w:rFonts w:ascii="黑体" w:eastAsia="黑体" w:hint="eastAsia"/>
                        <w:sz w:val="21"/>
                      </w:rPr>
                    </w:pPr>
                    <w:bookmarkStart w:id="4" w:name="3　 术语和定义"/>
                    <w:bookmarkEnd w:id="4"/>
                    <w:r>
                      <w:rPr>
                        <w:rFonts w:ascii="黑体" w:eastAsia="黑体" w:hint="eastAsia"/>
                        <w:sz w:val="21"/>
                      </w:rPr>
                      <w:t>3 术语和定义</w:t>
                    </w:r>
                  </w:p>
                </w:txbxContent>
              </v:textbox>
            </v:shape>
            <v:shape id="_x0000_s1042" type="#_x0000_t202" style="width:6112;height:212;left:1836;position:absolute;top:4468" filled="f" stroked="f">
              <v:textbox inset="0,0,0,0">
                <w:txbxContent>
                  <w:p>
                    <w:pPr>
                      <w:spacing w:before="0" w:line="212" w:lineRule="exact"/>
                      <w:ind w:left="0" w:right="0" w:firstLine="0"/>
                      <w:jc w:val="left"/>
                      <w:rPr>
                        <w:sz w:val="21"/>
                      </w:rPr>
                    </w:pPr>
                    <w:r>
                      <w:rPr>
                        <w:sz w:val="21"/>
                      </w:rPr>
                      <w:t>GB/T 3303、GB/T 5000界定的以及下列术语和定义适用于本文件。</w:t>
                    </w:r>
                  </w:p>
                </w:txbxContent>
              </v:textbox>
            </v:shape>
            <v:shape id="_x0000_s1043" type="#_x0000_t202" style="width:2755;height:212;left:1836;position:absolute;top:5091" filled="f" stroked="f">
              <v:textbox inset="0,0,0,0">
                <w:txbxContent>
                  <w:p>
                    <w:pPr>
                      <w:spacing w:before="0" w:line="212" w:lineRule="exact"/>
                      <w:ind w:left="0" w:right="0" w:firstLine="0"/>
                      <w:jc w:val="left"/>
                      <w:rPr>
                        <w:rFonts w:ascii="黑体" w:eastAsia="黑体" w:hint="eastAsia"/>
                        <w:sz w:val="21"/>
                      </w:rPr>
                    </w:pPr>
                    <w:r>
                      <w:rPr>
                        <w:rFonts w:ascii="黑体" w:eastAsia="黑体" w:hint="eastAsia"/>
                        <w:sz w:val="21"/>
                      </w:rPr>
                      <w:t>铜官陶瓷 tongguan ceramic</w:t>
                    </w:r>
                  </w:p>
                </w:txbxContent>
              </v:textbox>
            </v:shape>
            <v:shape id="_x0000_s1044" type="#_x0000_t202" style="width:110;height:180;left:10452;position:absolute;top:5939" filled="f" stroked="f">
              <v:textbox inset="0,0,0,0">
                <w:txbxContent>
                  <w:p>
                    <w:pPr>
                      <w:spacing w:before="0" w:line="180" w:lineRule="exact"/>
                      <w:ind w:left="0" w:right="0" w:firstLine="0"/>
                      <w:jc w:val="left"/>
                      <w:rPr>
                        <w:sz w:val="18"/>
                      </w:rPr>
                    </w:pPr>
                    <w:r>
                      <w:rPr>
                        <w:sz w:val="18"/>
                      </w:rPr>
                      <w:t>1</w:t>
                    </w:r>
                  </w:p>
                </w:txbxContent>
              </v:textbox>
            </v:shape>
            <w10:wrap type="topAndBottom"/>
          </v:group>
        </w:pict>
      </w:r>
    </w:p>
    <w:p>
      <w:pPr>
        <w:spacing w:after="0"/>
        <w:rPr>
          <w:sz w:val="4"/>
        </w:rPr>
        <w:sectPr>
          <w:headerReference w:type="even" r:id="rId15"/>
          <w:headerReference w:type="default" r:id="rId16"/>
          <w:pgSz w:w="11910" w:h="16840"/>
          <w:pgMar w:top="1640" w:right="260" w:bottom="280" w:left="240" w:header="1446" w:footer="0"/>
          <w:pgNumType w:start="7"/>
          <w:cols w:space="708"/>
        </w:sectPr>
      </w:pPr>
    </w:p>
    <w:p>
      <w:pPr>
        <w:pStyle w:val="BodyText"/>
        <w:spacing w:before="2"/>
        <w:rPr>
          <w:sz w:val="17"/>
        </w:rPr>
      </w:pPr>
    </w:p>
    <w:p>
      <w:pPr>
        <w:pStyle w:val="BodyText"/>
        <w:spacing w:before="72" w:line="278" w:lineRule="auto"/>
        <w:ind w:left="892" w:right="1154" w:firstLine="419"/>
      </w:pPr>
      <w:r>
        <w:rPr>
          <w:spacing w:val="-12"/>
        </w:rPr>
        <w:t>用产自保护范围内，质地细腻、可塑性能强的粘土，蠕虫状红土和质地坚硬的枯土为原料，通过制</w:t>
      </w:r>
      <w:r>
        <w:rPr>
          <w:spacing w:val="-4"/>
        </w:rPr>
        <w:t>泥、成型、彩绘、施釉及烧制</w:t>
      </w:r>
      <w:r>
        <w:t>（780℃～1250℃）</w:t>
      </w:r>
      <w:r>
        <w:rPr>
          <w:spacing w:val="-5"/>
        </w:rPr>
        <w:t>而成，独具釉下多彩地方特色的陶瓷产品。</w:t>
      </w:r>
    </w:p>
    <w:p>
      <w:pPr>
        <w:pStyle w:val="BodyText"/>
        <w:spacing w:before="4"/>
        <w:rPr>
          <w:sz w:val="24"/>
        </w:rPr>
      </w:pPr>
    </w:p>
    <w:p>
      <w:pPr>
        <w:pStyle w:val="ListParagraph"/>
        <w:numPr>
          <w:ilvl w:val="0"/>
          <w:numId w:val="17"/>
        </w:numPr>
        <w:tabs>
          <w:tab w:val="left" w:pos="1208"/>
        </w:tabs>
        <w:spacing w:before="0" w:after="0" w:line="240" w:lineRule="auto"/>
        <w:ind w:left="1207" w:right="0" w:hanging="316"/>
        <w:jc w:val="left"/>
        <w:rPr>
          <w:rFonts w:ascii="黑体" w:eastAsia="黑体" w:hint="eastAsia"/>
          <w:sz w:val="21"/>
        </w:rPr>
      </w:pPr>
      <w:bookmarkStart w:id="5" w:name="4　 保护范围"/>
      <w:bookmarkEnd w:id="5"/>
      <w:r>
        <w:rPr>
          <w:rFonts w:ascii="黑体" w:eastAsia="黑体" w:hint="eastAsia"/>
          <w:spacing w:val="-2"/>
          <w:sz w:val="21"/>
        </w:rPr>
        <w:t>保护范围</w:t>
      </w:r>
    </w:p>
    <w:p>
      <w:pPr>
        <w:pStyle w:val="BodyText"/>
        <w:spacing w:before="9"/>
        <w:rPr>
          <w:rFonts w:ascii="黑体"/>
          <w:sz w:val="27"/>
        </w:rPr>
      </w:pPr>
    </w:p>
    <w:p>
      <w:pPr>
        <w:pStyle w:val="BodyText"/>
        <w:spacing w:line="278" w:lineRule="auto"/>
        <w:ind w:left="891" w:right="1162" w:firstLine="419"/>
      </w:pPr>
      <w:r>
        <w:rPr>
          <w:spacing w:val="-18"/>
        </w:rPr>
        <w:t>湖南省长沙市望城区铜官街道高岭社区、铜官街社区、誓港社区、袁嘉湖社区、潭洲社区、万星村、</w:t>
      </w:r>
      <w:r>
        <w:rPr>
          <w:spacing w:val="-4"/>
        </w:rPr>
        <w:t>花实村、华城村、郭亮村</w:t>
      </w:r>
      <w:r>
        <w:t>9</w:t>
      </w:r>
      <w:r>
        <w:rPr>
          <w:spacing w:val="-5"/>
        </w:rPr>
        <w:t>个自然村和社区现辖行政区域。</w:t>
      </w:r>
      <w:r>
        <w:t>（</w:t>
      </w:r>
      <w:r>
        <w:rPr>
          <w:spacing w:val="-5"/>
        </w:rPr>
        <w:t>详见附录</w:t>
      </w:r>
      <w:r>
        <w:t>A）</w:t>
      </w:r>
    </w:p>
    <w:p>
      <w:pPr>
        <w:spacing w:before="18"/>
        <w:ind w:left="1256" w:right="0" w:firstLine="0"/>
        <w:jc w:val="left"/>
        <w:rPr>
          <w:sz w:val="18"/>
        </w:rPr>
      </w:pPr>
      <w:r>
        <w:rPr>
          <w:rFonts w:ascii="黑体" w:eastAsia="黑体" w:hint="eastAsia"/>
          <w:sz w:val="18"/>
        </w:rPr>
        <w:t xml:space="preserve">注： </w:t>
      </w:r>
      <w:r>
        <w:rPr>
          <w:sz w:val="18"/>
        </w:rPr>
        <w:t>行政区域调整，原10个自然村和社区调整为以上9个自然村和社区。</w:t>
      </w:r>
    </w:p>
    <w:p>
      <w:pPr>
        <w:pStyle w:val="BodyText"/>
        <w:rPr>
          <w:sz w:val="18"/>
        </w:rPr>
      </w:pPr>
    </w:p>
    <w:p>
      <w:pPr>
        <w:pStyle w:val="ListParagraph"/>
        <w:numPr>
          <w:ilvl w:val="0"/>
          <w:numId w:val="17"/>
        </w:numPr>
        <w:tabs>
          <w:tab w:val="left" w:pos="1208"/>
        </w:tabs>
        <w:spacing w:before="145" w:after="0" w:line="240" w:lineRule="auto"/>
        <w:ind w:left="1207" w:right="0" w:hanging="316"/>
        <w:jc w:val="left"/>
        <w:rPr>
          <w:rFonts w:ascii="黑体" w:eastAsia="黑体" w:hint="eastAsia"/>
          <w:sz w:val="21"/>
        </w:rPr>
      </w:pPr>
      <w:bookmarkStart w:id="6" w:name="5　 分类"/>
      <w:bookmarkEnd w:id="6"/>
      <w:r>
        <w:rPr>
          <w:rFonts w:ascii="黑体" w:eastAsia="黑体" w:hint="eastAsia"/>
          <w:sz w:val="21"/>
        </w:rPr>
        <w:t>分类</w:t>
      </w:r>
    </w:p>
    <w:p>
      <w:pPr>
        <w:pStyle w:val="BodyText"/>
        <w:spacing w:before="9"/>
        <w:rPr>
          <w:rFonts w:ascii="黑体"/>
          <w:sz w:val="27"/>
        </w:rPr>
      </w:pPr>
    </w:p>
    <w:p>
      <w:pPr>
        <w:pStyle w:val="BodyText"/>
        <w:spacing w:line="278" w:lineRule="auto"/>
        <w:ind w:left="891" w:right="1154" w:firstLine="419"/>
      </w:pPr>
      <w:r>
        <w:rPr>
          <w:spacing w:val="-11"/>
        </w:rPr>
        <w:t>铜官陶瓷的分类按用途、规格等进行分类，按用途分为日用陶瓷和工艺陶瓷，其中日用陶瓷包括日</w:t>
      </w:r>
      <w:r>
        <w:rPr>
          <w:spacing w:val="-5"/>
        </w:rPr>
        <w:t>用炻瓷、日用陶器；按规格分为小型、中型、大型和特型四类。不同用途产品规格应符合表</w:t>
      </w:r>
      <w:r>
        <w:t>1</w:t>
      </w:r>
      <w:r>
        <w:rPr>
          <w:spacing w:val="-5"/>
        </w:rPr>
        <w:t>的规定。</w:t>
      </w:r>
    </w:p>
    <w:p>
      <w:pPr>
        <w:pStyle w:val="BodyText"/>
        <w:spacing w:before="156"/>
        <w:ind w:left="719" w:right="1199"/>
        <w:jc w:val="center"/>
        <w:rPr>
          <w:rFonts w:ascii="黑体" w:eastAsia="黑体" w:hint="eastAsia"/>
        </w:rPr>
      </w:pPr>
      <w:r>
        <w:drawing>
          <wp:anchor distT="0" distB="0" distL="0" distR="0" simplePos="0" relativeHeight="251671552" behindDoc="0" locked="0" layoutInCell="1" allowOverlap="1">
            <wp:simplePos x="0" y="0"/>
            <wp:positionH relativeFrom="page">
              <wp:posOffset>215900</wp:posOffset>
            </wp:positionH>
            <wp:positionV relativeFrom="paragraph">
              <wp:posOffset>1428702</wp:posOffset>
            </wp:positionV>
            <wp:extent cx="7112000" cy="4876800"/>
            <wp:effectExtent l="0" t="0" r="0" b="0"/>
            <wp:wrapNone/>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黑体" w:eastAsia="黑体" w:hint="eastAsia"/>
        </w:rPr>
        <w:t>表1</w:t>
      </w:r>
    </w:p>
    <w:p>
      <w:pPr>
        <w:pStyle w:val="BodyText"/>
        <w:spacing w:before="10"/>
        <w:rPr>
          <w:rFonts w:ascii="黑体"/>
          <w:sz w:val="13"/>
        </w:rPr>
      </w:pPr>
    </w:p>
    <w:tbl>
      <w:tblPr>
        <w:tblStyle w:val="TableNormal1"/>
        <w:tblW w:w="0" w:type="auto"/>
        <w:jc w:val="left"/>
        <w:tblInd w:w="9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126"/>
        <w:gridCol w:w="1132"/>
        <w:gridCol w:w="1740"/>
        <w:gridCol w:w="1336"/>
        <w:gridCol w:w="1332"/>
        <w:gridCol w:w="1336"/>
        <w:gridCol w:w="1330"/>
      </w:tblGrid>
      <w:tr>
        <w:tblPrEx>
          <w:tblW w:w="0" w:type="auto"/>
          <w:jc w:val="left"/>
          <w:tblInd w:w="9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67"/>
          <w:jc w:val="left"/>
        </w:trPr>
        <w:tc>
          <w:tcPr>
            <w:tcW w:w="3998" w:type="dxa"/>
            <w:gridSpan w:val="3"/>
            <w:vMerge w:val="restart"/>
            <w:tcBorders>
              <w:bottom w:val="single" w:sz="4" w:space="0" w:color="000000"/>
              <w:right w:val="single" w:sz="4" w:space="0" w:color="000000"/>
            </w:tcBorders>
          </w:tcPr>
          <w:p>
            <w:pPr>
              <w:pStyle w:val="TableParagraph"/>
              <w:spacing w:before="7"/>
              <w:jc w:val="left"/>
              <w:rPr>
                <w:rFonts w:ascii="黑体"/>
                <w:sz w:val="20"/>
              </w:rPr>
            </w:pPr>
          </w:p>
          <w:p>
            <w:pPr>
              <w:pStyle w:val="TableParagraph"/>
              <w:ind w:left="1802" w:right="1781"/>
              <w:rPr>
                <w:sz w:val="18"/>
              </w:rPr>
            </w:pPr>
            <w:r>
              <w:rPr>
                <w:sz w:val="18"/>
              </w:rPr>
              <w:t>类别</w:t>
            </w:r>
          </w:p>
        </w:tc>
        <w:tc>
          <w:tcPr>
            <w:tcW w:w="5334" w:type="dxa"/>
            <w:gridSpan w:val="4"/>
            <w:tcBorders>
              <w:left w:val="single" w:sz="4" w:space="0" w:color="000000"/>
            </w:tcBorders>
          </w:tcPr>
          <w:p>
            <w:pPr>
              <w:pStyle w:val="TableParagraph"/>
              <w:spacing w:before="68"/>
              <w:ind w:left="2472" w:right="2446"/>
              <w:rPr>
                <w:sz w:val="18"/>
              </w:rPr>
            </w:pPr>
            <w:r>
              <w:rPr>
                <w:sz w:val="18"/>
              </w:rPr>
              <w:t>规格</w:t>
            </w:r>
          </w:p>
        </w:tc>
      </w:tr>
      <w:tr>
        <w:tblPrEx>
          <w:tblW w:w="0" w:type="auto"/>
          <w:jc w:val="left"/>
          <w:tblInd w:w="911" w:type="dxa"/>
          <w:tblLayout w:type="fixed"/>
          <w:tblCellMar>
            <w:top w:w="0" w:type="dxa"/>
            <w:left w:w="0" w:type="dxa"/>
            <w:bottom w:w="0" w:type="dxa"/>
            <w:right w:w="0" w:type="dxa"/>
          </w:tblCellMar>
          <w:tblLook w:val="01E0"/>
        </w:tblPrEx>
        <w:trPr>
          <w:trHeight w:val="367"/>
          <w:jc w:val="left"/>
        </w:trPr>
        <w:tc>
          <w:tcPr>
            <w:tcW w:w="3998" w:type="dxa"/>
            <w:gridSpan w:val="3"/>
            <w:vMerge/>
            <w:tcBorders>
              <w:top w:val="nil"/>
              <w:bottom w:val="single" w:sz="4" w:space="0" w:color="000000"/>
              <w:right w:val="single" w:sz="4" w:space="0" w:color="000000"/>
            </w:tcBorders>
          </w:tcPr>
          <w:p>
            <w:pPr>
              <w:rPr>
                <w:sz w:val="2"/>
                <w:szCs w:val="2"/>
              </w:rPr>
            </w:pPr>
          </w:p>
        </w:tc>
        <w:tc>
          <w:tcPr>
            <w:tcW w:w="1336" w:type="dxa"/>
            <w:tcBorders>
              <w:left w:val="single" w:sz="4" w:space="0" w:color="000000"/>
              <w:bottom w:val="single" w:sz="4" w:space="0" w:color="000000"/>
              <w:right w:val="single" w:sz="4" w:space="0" w:color="000000"/>
            </w:tcBorders>
          </w:tcPr>
          <w:p>
            <w:pPr>
              <w:pStyle w:val="TableParagraph"/>
              <w:spacing w:before="68"/>
              <w:ind w:left="65" w:right="45"/>
              <w:rPr>
                <w:sz w:val="18"/>
              </w:rPr>
            </w:pPr>
            <w:r>
              <w:rPr>
                <w:sz w:val="18"/>
              </w:rPr>
              <w:t>小型</w:t>
            </w:r>
          </w:p>
        </w:tc>
        <w:tc>
          <w:tcPr>
            <w:tcW w:w="1332" w:type="dxa"/>
            <w:tcBorders>
              <w:left w:val="single" w:sz="4" w:space="0" w:color="000000"/>
              <w:bottom w:val="single" w:sz="4" w:space="0" w:color="000000"/>
              <w:right w:val="single" w:sz="4" w:space="0" w:color="000000"/>
            </w:tcBorders>
          </w:tcPr>
          <w:p>
            <w:pPr>
              <w:pStyle w:val="TableParagraph"/>
              <w:spacing w:before="68"/>
              <w:ind w:left="17" w:right="1"/>
              <w:rPr>
                <w:sz w:val="18"/>
              </w:rPr>
            </w:pPr>
            <w:r>
              <w:rPr>
                <w:sz w:val="18"/>
              </w:rPr>
              <w:t>中型</w:t>
            </w:r>
          </w:p>
        </w:tc>
        <w:tc>
          <w:tcPr>
            <w:tcW w:w="1336" w:type="dxa"/>
            <w:tcBorders>
              <w:left w:val="single" w:sz="4" w:space="0" w:color="000000"/>
              <w:bottom w:val="single" w:sz="4" w:space="0" w:color="000000"/>
              <w:right w:val="single" w:sz="4" w:space="0" w:color="000000"/>
            </w:tcBorders>
          </w:tcPr>
          <w:p>
            <w:pPr>
              <w:pStyle w:val="TableParagraph"/>
              <w:spacing w:before="68"/>
              <w:ind w:left="64" w:right="45"/>
              <w:rPr>
                <w:sz w:val="18"/>
              </w:rPr>
            </w:pPr>
            <w:r>
              <w:rPr>
                <w:sz w:val="18"/>
              </w:rPr>
              <w:t>大型</w:t>
            </w:r>
          </w:p>
        </w:tc>
        <w:tc>
          <w:tcPr>
            <w:tcW w:w="1330" w:type="dxa"/>
            <w:tcBorders>
              <w:left w:val="single" w:sz="4" w:space="0" w:color="000000"/>
              <w:bottom w:val="single" w:sz="4" w:space="0" w:color="000000"/>
            </w:tcBorders>
          </w:tcPr>
          <w:p>
            <w:pPr>
              <w:pStyle w:val="TableParagraph"/>
              <w:spacing w:before="68"/>
              <w:ind w:left="22"/>
              <w:rPr>
                <w:sz w:val="18"/>
              </w:rPr>
            </w:pPr>
            <w:r>
              <w:rPr>
                <w:sz w:val="18"/>
              </w:rPr>
              <w:t>特型</w:t>
            </w:r>
          </w:p>
        </w:tc>
      </w:tr>
      <w:tr>
        <w:tblPrEx>
          <w:tblW w:w="0" w:type="auto"/>
          <w:jc w:val="left"/>
          <w:tblInd w:w="911" w:type="dxa"/>
          <w:tblLayout w:type="fixed"/>
          <w:tblCellMar>
            <w:top w:w="0" w:type="dxa"/>
            <w:left w:w="0" w:type="dxa"/>
            <w:bottom w:w="0" w:type="dxa"/>
            <w:right w:w="0" w:type="dxa"/>
          </w:tblCellMar>
          <w:tblLook w:val="01E0"/>
        </w:tblPrEx>
        <w:trPr>
          <w:trHeight w:val="370"/>
          <w:jc w:val="left"/>
        </w:trPr>
        <w:tc>
          <w:tcPr>
            <w:tcW w:w="1126" w:type="dxa"/>
            <w:vMerge w:val="restart"/>
            <w:tcBorders>
              <w:top w:val="single" w:sz="4" w:space="0" w:color="000000"/>
              <w:bottom w:val="single" w:sz="4" w:space="0" w:color="000000"/>
              <w:right w:val="single" w:sz="4" w:space="0" w:color="000000"/>
            </w:tcBorders>
          </w:tcPr>
          <w:p>
            <w:pPr>
              <w:pStyle w:val="TableParagraph"/>
              <w:jc w:val="left"/>
              <w:rPr>
                <w:rFonts w:ascii="黑体"/>
                <w:sz w:val="20"/>
              </w:rPr>
            </w:pPr>
          </w:p>
          <w:p>
            <w:pPr>
              <w:pStyle w:val="TableParagraph"/>
              <w:spacing w:before="3"/>
              <w:jc w:val="left"/>
              <w:rPr>
                <w:rFonts w:ascii="黑体"/>
                <w:sz w:val="16"/>
              </w:rPr>
            </w:pPr>
          </w:p>
          <w:p>
            <w:pPr>
              <w:pStyle w:val="TableParagraph"/>
              <w:ind w:left="123" w:right="107"/>
              <w:rPr>
                <w:sz w:val="21"/>
              </w:rPr>
            </w:pPr>
            <w:r>
              <w:rPr>
                <w:sz w:val="21"/>
              </w:rPr>
              <w:t>日用炻瓷</w:t>
            </w:r>
          </w:p>
          <w:p>
            <w:pPr>
              <w:pStyle w:val="TableParagraph"/>
              <w:spacing w:before="61"/>
              <w:ind w:left="123" w:right="107"/>
              <w:rPr>
                <w:sz w:val="18"/>
              </w:rPr>
            </w:pPr>
            <w:r>
              <w:rPr>
                <w:sz w:val="18"/>
              </w:rPr>
              <w:t>/mm</w:t>
            </w:r>
          </w:p>
        </w:tc>
        <w:tc>
          <w:tcPr>
            <w:tcW w:w="2872" w:type="dxa"/>
            <w:gridSpan w:val="2"/>
            <w:tcBorders>
              <w:top w:val="single" w:sz="4" w:space="0" w:color="000000"/>
              <w:left w:val="single" w:sz="4" w:space="0" w:color="000000"/>
              <w:bottom w:val="single" w:sz="4" w:space="0" w:color="000000"/>
              <w:right w:val="single" w:sz="4" w:space="0" w:color="000000"/>
            </w:tcBorders>
          </w:tcPr>
          <w:p>
            <w:pPr>
              <w:pStyle w:val="TableParagraph"/>
              <w:spacing w:before="71"/>
              <w:ind w:left="853"/>
              <w:jc w:val="left"/>
              <w:rPr>
                <w:sz w:val="18"/>
              </w:rPr>
            </w:pPr>
            <w:r>
              <w:rPr>
                <w:sz w:val="18"/>
              </w:rPr>
              <w:t>盘碟类（直径)</w:t>
            </w:r>
          </w:p>
        </w:tc>
        <w:tc>
          <w:tcPr>
            <w:tcW w:w="1336" w:type="dxa"/>
            <w:tcBorders>
              <w:top w:val="single" w:sz="4" w:space="0" w:color="000000"/>
              <w:left w:val="single" w:sz="4" w:space="0" w:color="000000"/>
              <w:bottom w:val="single" w:sz="4" w:space="0" w:color="000000"/>
              <w:right w:val="single" w:sz="4" w:space="0" w:color="000000"/>
            </w:tcBorders>
          </w:tcPr>
          <w:p>
            <w:pPr>
              <w:pStyle w:val="TableParagraph"/>
              <w:spacing w:before="71"/>
              <w:ind w:left="71" w:right="44"/>
              <w:rPr>
                <w:sz w:val="18"/>
              </w:rPr>
            </w:pPr>
            <w:r>
              <w:rPr>
                <w:sz w:val="18"/>
              </w:rPr>
              <w:t>≤127</w:t>
            </w:r>
          </w:p>
        </w:tc>
        <w:tc>
          <w:tcPr>
            <w:tcW w:w="1332" w:type="dxa"/>
            <w:tcBorders>
              <w:top w:val="single" w:sz="4" w:space="0" w:color="000000"/>
              <w:left w:val="single" w:sz="4" w:space="0" w:color="000000"/>
              <w:bottom w:val="single" w:sz="4" w:space="0" w:color="000000"/>
              <w:right w:val="single" w:sz="4" w:space="0" w:color="000000"/>
            </w:tcBorders>
          </w:tcPr>
          <w:p>
            <w:pPr>
              <w:pStyle w:val="TableParagraph"/>
              <w:spacing w:before="71"/>
              <w:ind w:left="16" w:right="1"/>
              <w:rPr>
                <w:sz w:val="18"/>
              </w:rPr>
            </w:pPr>
            <w:r>
              <w:rPr>
                <w:sz w:val="18"/>
              </w:rPr>
              <w:t>128～224</w:t>
            </w:r>
          </w:p>
        </w:tc>
        <w:tc>
          <w:tcPr>
            <w:tcW w:w="1336" w:type="dxa"/>
            <w:tcBorders>
              <w:top w:val="single" w:sz="4" w:space="0" w:color="000000"/>
              <w:left w:val="single" w:sz="4" w:space="0" w:color="000000"/>
              <w:bottom w:val="single" w:sz="4" w:space="0" w:color="000000"/>
              <w:right w:val="single" w:sz="4" w:space="0" w:color="000000"/>
            </w:tcBorders>
          </w:tcPr>
          <w:p>
            <w:pPr>
              <w:pStyle w:val="TableParagraph"/>
              <w:spacing w:before="71"/>
              <w:ind w:left="64" w:right="45"/>
              <w:rPr>
                <w:sz w:val="18"/>
              </w:rPr>
            </w:pPr>
            <w:r>
              <w:rPr>
                <w:sz w:val="18"/>
              </w:rPr>
              <w:t>225～350</w:t>
            </w:r>
          </w:p>
        </w:tc>
        <w:tc>
          <w:tcPr>
            <w:tcW w:w="1330" w:type="dxa"/>
            <w:tcBorders>
              <w:top w:val="single" w:sz="4" w:space="0" w:color="000000"/>
              <w:left w:val="single" w:sz="4" w:space="0" w:color="000000"/>
              <w:bottom w:val="single" w:sz="4" w:space="0" w:color="000000"/>
            </w:tcBorders>
          </w:tcPr>
          <w:p>
            <w:pPr>
              <w:pStyle w:val="TableParagraph"/>
              <w:spacing w:before="71"/>
              <w:ind w:left="440"/>
              <w:jc w:val="left"/>
              <w:rPr>
                <w:sz w:val="18"/>
              </w:rPr>
            </w:pPr>
            <w:r>
              <w:rPr>
                <w:sz w:val="18"/>
              </w:rPr>
              <w:t>≥351</w:t>
            </w:r>
          </w:p>
        </w:tc>
      </w:tr>
      <w:tr>
        <w:tblPrEx>
          <w:tblW w:w="0" w:type="auto"/>
          <w:jc w:val="left"/>
          <w:tblInd w:w="911" w:type="dxa"/>
          <w:tblLayout w:type="fixed"/>
          <w:tblCellMar>
            <w:top w:w="0" w:type="dxa"/>
            <w:left w:w="0" w:type="dxa"/>
            <w:bottom w:w="0" w:type="dxa"/>
            <w:right w:w="0" w:type="dxa"/>
          </w:tblCellMar>
          <w:tblLook w:val="01E0"/>
        </w:tblPrEx>
        <w:trPr>
          <w:trHeight w:val="370"/>
          <w:jc w:val="left"/>
        </w:trPr>
        <w:tc>
          <w:tcPr>
            <w:tcW w:w="1126" w:type="dxa"/>
            <w:vMerge/>
            <w:tcBorders>
              <w:top w:val="nil"/>
              <w:bottom w:val="single" w:sz="4" w:space="0" w:color="000000"/>
              <w:right w:val="single" w:sz="4" w:space="0" w:color="000000"/>
            </w:tcBorders>
          </w:tcPr>
          <w:p>
            <w:pPr>
              <w:rPr>
                <w:sz w:val="2"/>
                <w:szCs w:val="2"/>
              </w:rPr>
            </w:pPr>
          </w:p>
        </w:tc>
        <w:tc>
          <w:tcPr>
            <w:tcW w:w="2872" w:type="dxa"/>
            <w:gridSpan w:val="2"/>
            <w:tcBorders>
              <w:top w:val="single" w:sz="4" w:space="0" w:color="000000"/>
              <w:left w:val="single" w:sz="4" w:space="0" w:color="000000"/>
              <w:bottom w:val="single" w:sz="4" w:space="0" w:color="000000"/>
              <w:right w:val="single" w:sz="4" w:space="0" w:color="000000"/>
            </w:tcBorders>
          </w:tcPr>
          <w:p>
            <w:pPr>
              <w:pStyle w:val="TableParagraph"/>
              <w:spacing w:before="71"/>
              <w:ind w:left="945"/>
              <w:jc w:val="left"/>
              <w:rPr>
                <w:sz w:val="18"/>
              </w:rPr>
            </w:pPr>
            <w:r>
              <w:rPr>
                <w:sz w:val="18"/>
              </w:rPr>
              <w:t>碗类（直径)</w:t>
            </w:r>
          </w:p>
        </w:tc>
        <w:tc>
          <w:tcPr>
            <w:tcW w:w="1336" w:type="dxa"/>
            <w:tcBorders>
              <w:top w:val="single" w:sz="4" w:space="0" w:color="000000"/>
              <w:left w:val="single" w:sz="4" w:space="0" w:color="000000"/>
              <w:bottom w:val="single" w:sz="4" w:space="0" w:color="000000"/>
              <w:right w:val="single" w:sz="4" w:space="0" w:color="000000"/>
            </w:tcBorders>
          </w:tcPr>
          <w:p>
            <w:pPr>
              <w:pStyle w:val="TableParagraph"/>
              <w:spacing w:before="71"/>
              <w:ind w:left="71" w:right="44"/>
              <w:rPr>
                <w:sz w:val="18"/>
              </w:rPr>
            </w:pPr>
            <w:r>
              <w:rPr>
                <w:sz w:val="18"/>
              </w:rPr>
              <w:t>≤110</w:t>
            </w:r>
          </w:p>
        </w:tc>
        <w:tc>
          <w:tcPr>
            <w:tcW w:w="1332" w:type="dxa"/>
            <w:tcBorders>
              <w:top w:val="single" w:sz="4" w:space="0" w:color="000000"/>
              <w:left w:val="single" w:sz="4" w:space="0" w:color="000000"/>
              <w:bottom w:val="single" w:sz="4" w:space="0" w:color="000000"/>
              <w:right w:val="single" w:sz="4" w:space="0" w:color="000000"/>
            </w:tcBorders>
          </w:tcPr>
          <w:p>
            <w:pPr>
              <w:pStyle w:val="TableParagraph"/>
              <w:spacing w:before="71"/>
              <w:ind w:left="16" w:right="1"/>
              <w:rPr>
                <w:sz w:val="18"/>
              </w:rPr>
            </w:pPr>
            <w:r>
              <w:rPr>
                <w:sz w:val="18"/>
              </w:rPr>
              <w:t>111～174</w:t>
            </w:r>
          </w:p>
        </w:tc>
        <w:tc>
          <w:tcPr>
            <w:tcW w:w="1336" w:type="dxa"/>
            <w:tcBorders>
              <w:top w:val="single" w:sz="4" w:space="0" w:color="000000"/>
              <w:left w:val="single" w:sz="4" w:space="0" w:color="000000"/>
              <w:bottom w:val="single" w:sz="4" w:space="0" w:color="000000"/>
              <w:right w:val="single" w:sz="4" w:space="0" w:color="000000"/>
            </w:tcBorders>
          </w:tcPr>
          <w:p>
            <w:pPr>
              <w:pStyle w:val="TableParagraph"/>
              <w:spacing w:before="71"/>
              <w:ind w:left="64" w:right="45"/>
              <w:rPr>
                <w:sz w:val="18"/>
              </w:rPr>
            </w:pPr>
            <w:r>
              <w:rPr>
                <w:sz w:val="18"/>
              </w:rPr>
              <w:t>175～249</w:t>
            </w:r>
          </w:p>
        </w:tc>
        <w:tc>
          <w:tcPr>
            <w:tcW w:w="1330" w:type="dxa"/>
            <w:tcBorders>
              <w:top w:val="single" w:sz="4" w:space="0" w:color="000000"/>
              <w:left w:val="single" w:sz="4" w:space="0" w:color="000000"/>
              <w:bottom w:val="single" w:sz="4" w:space="0" w:color="000000"/>
            </w:tcBorders>
          </w:tcPr>
          <w:p>
            <w:pPr>
              <w:pStyle w:val="TableParagraph"/>
              <w:spacing w:before="71"/>
              <w:ind w:left="440"/>
              <w:jc w:val="left"/>
              <w:rPr>
                <w:sz w:val="18"/>
              </w:rPr>
            </w:pPr>
            <w:r>
              <w:rPr>
                <w:sz w:val="18"/>
              </w:rPr>
              <w:t>≥250</w:t>
            </w:r>
          </w:p>
        </w:tc>
      </w:tr>
      <w:tr>
        <w:tblPrEx>
          <w:tblW w:w="0" w:type="auto"/>
          <w:jc w:val="left"/>
          <w:tblInd w:w="911" w:type="dxa"/>
          <w:tblLayout w:type="fixed"/>
          <w:tblCellMar>
            <w:top w:w="0" w:type="dxa"/>
            <w:left w:w="0" w:type="dxa"/>
            <w:bottom w:w="0" w:type="dxa"/>
            <w:right w:w="0" w:type="dxa"/>
          </w:tblCellMar>
          <w:tblLook w:val="01E0"/>
        </w:tblPrEx>
        <w:trPr>
          <w:trHeight w:val="369"/>
          <w:jc w:val="left"/>
        </w:trPr>
        <w:tc>
          <w:tcPr>
            <w:tcW w:w="1126" w:type="dxa"/>
            <w:vMerge/>
            <w:tcBorders>
              <w:top w:val="nil"/>
              <w:bottom w:val="single" w:sz="4" w:space="0" w:color="000000"/>
              <w:right w:val="single" w:sz="4" w:space="0" w:color="000000"/>
            </w:tcBorders>
          </w:tcPr>
          <w:p>
            <w:pPr>
              <w:rPr>
                <w:sz w:val="2"/>
                <w:szCs w:val="2"/>
              </w:rPr>
            </w:pPr>
          </w:p>
        </w:tc>
        <w:tc>
          <w:tcPr>
            <w:tcW w:w="2872" w:type="dxa"/>
            <w:gridSpan w:val="2"/>
            <w:tcBorders>
              <w:top w:val="single" w:sz="4" w:space="0" w:color="000000"/>
              <w:left w:val="single" w:sz="4" w:space="0" w:color="000000"/>
              <w:bottom w:val="single" w:sz="4" w:space="0" w:color="000000"/>
              <w:right w:val="single" w:sz="4" w:space="0" w:color="000000"/>
            </w:tcBorders>
          </w:tcPr>
          <w:p>
            <w:pPr>
              <w:pStyle w:val="TableParagraph"/>
              <w:spacing w:before="71"/>
              <w:ind w:left="945"/>
              <w:jc w:val="left"/>
              <w:rPr>
                <w:sz w:val="18"/>
              </w:rPr>
            </w:pPr>
            <w:r>
              <w:rPr>
                <w:sz w:val="18"/>
              </w:rPr>
              <w:t>杯类（直径)</w:t>
            </w:r>
          </w:p>
        </w:tc>
        <w:tc>
          <w:tcPr>
            <w:tcW w:w="1336" w:type="dxa"/>
            <w:tcBorders>
              <w:top w:val="single" w:sz="4" w:space="0" w:color="000000"/>
              <w:left w:val="single" w:sz="4" w:space="0" w:color="000000"/>
              <w:bottom w:val="single" w:sz="4" w:space="0" w:color="000000"/>
              <w:right w:val="single" w:sz="4" w:space="0" w:color="000000"/>
            </w:tcBorders>
          </w:tcPr>
          <w:p>
            <w:pPr>
              <w:pStyle w:val="TableParagraph"/>
              <w:spacing w:before="71"/>
              <w:ind w:left="68" w:right="45"/>
              <w:rPr>
                <w:sz w:val="18"/>
              </w:rPr>
            </w:pPr>
            <w:r>
              <w:rPr>
                <w:sz w:val="18"/>
              </w:rPr>
              <w:t>≤59</w:t>
            </w:r>
          </w:p>
        </w:tc>
        <w:tc>
          <w:tcPr>
            <w:tcW w:w="1332" w:type="dxa"/>
            <w:tcBorders>
              <w:top w:val="single" w:sz="4" w:space="0" w:color="000000"/>
              <w:left w:val="single" w:sz="4" w:space="0" w:color="000000"/>
              <w:bottom w:val="single" w:sz="4" w:space="0" w:color="000000"/>
              <w:right w:val="single" w:sz="4" w:space="0" w:color="000000"/>
            </w:tcBorders>
          </w:tcPr>
          <w:p>
            <w:pPr>
              <w:pStyle w:val="TableParagraph"/>
              <w:spacing w:before="71"/>
              <w:ind w:left="20" w:right="1"/>
              <w:rPr>
                <w:sz w:val="18"/>
              </w:rPr>
            </w:pPr>
            <w:r>
              <w:rPr>
                <w:sz w:val="18"/>
              </w:rPr>
              <w:t>≥60</w:t>
            </w:r>
          </w:p>
        </w:tc>
        <w:tc>
          <w:tcPr>
            <w:tcW w:w="1336" w:type="dxa"/>
            <w:tcBorders>
              <w:top w:val="single" w:sz="4" w:space="0" w:color="000000"/>
              <w:left w:val="single" w:sz="4" w:space="0" w:color="000000"/>
              <w:bottom w:val="single" w:sz="4" w:space="0" w:color="000000"/>
              <w:right w:val="single" w:sz="4" w:space="0" w:color="000000"/>
            </w:tcBorders>
          </w:tcPr>
          <w:p>
            <w:pPr>
              <w:pStyle w:val="TableParagraph"/>
              <w:spacing w:before="71"/>
              <w:ind w:left="21"/>
              <w:rPr>
                <w:sz w:val="18"/>
              </w:rPr>
            </w:pPr>
            <w:r>
              <w:rPr>
                <w:sz w:val="18"/>
              </w:rPr>
              <w:t>/</w:t>
            </w:r>
          </w:p>
        </w:tc>
        <w:tc>
          <w:tcPr>
            <w:tcW w:w="1330" w:type="dxa"/>
            <w:tcBorders>
              <w:top w:val="single" w:sz="4" w:space="0" w:color="000000"/>
              <w:left w:val="single" w:sz="4" w:space="0" w:color="000000"/>
              <w:bottom w:val="single" w:sz="4" w:space="0" w:color="000000"/>
            </w:tcBorders>
          </w:tcPr>
          <w:p>
            <w:pPr>
              <w:pStyle w:val="TableParagraph"/>
              <w:spacing w:before="71"/>
              <w:ind w:left="17"/>
              <w:rPr>
                <w:sz w:val="18"/>
              </w:rPr>
            </w:pPr>
            <w:r>
              <w:rPr>
                <w:sz w:val="18"/>
              </w:rPr>
              <w:t>/</w:t>
            </w:r>
          </w:p>
        </w:tc>
      </w:tr>
      <w:tr>
        <w:tblPrEx>
          <w:tblW w:w="0" w:type="auto"/>
          <w:jc w:val="left"/>
          <w:tblInd w:w="911" w:type="dxa"/>
          <w:tblLayout w:type="fixed"/>
          <w:tblCellMar>
            <w:top w:w="0" w:type="dxa"/>
            <w:left w:w="0" w:type="dxa"/>
            <w:bottom w:w="0" w:type="dxa"/>
            <w:right w:w="0" w:type="dxa"/>
          </w:tblCellMar>
          <w:tblLook w:val="01E0"/>
        </w:tblPrEx>
        <w:trPr>
          <w:trHeight w:val="365"/>
          <w:jc w:val="left"/>
        </w:trPr>
        <w:tc>
          <w:tcPr>
            <w:tcW w:w="1126" w:type="dxa"/>
            <w:vMerge/>
            <w:tcBorders>
              <w:top w:val="nil"/>
              <w:bottom w:val="single" w:sz="4" w:space="0" w:color="000000"/>
              <w:right w:val="single" w:sz="4" w:space="0" w:color="000000"/>
            </w:tcBorders>
          </w:tcPr>
          <w:p>
            <w:pPr>
              <w:rPr>
                <w:sz w:val="2"/>
                <w:szCs w:val="2"/>
              </w:rPr>
            </w:pPr>
          </w:p>
        </w:tc>
        <w:tc>
          <w:tcPr>
            <w:tcW w:w="2872" w:type="dxa"/>
            <w:gridSpan w:val="2"/>
            <w:tcBorders>
              <w:top w:val="single" w:sz="4" w:space="0" w:color="000000"/>
              <w:left w:val="single" w:sz="4" w:space="0" w:color="000000"/>
              <w:bottom w:val="single" w:sz="4" w:space="0" w:color="000000"/>
              <w:right w:val="single" w:sz="4" w:space="0" w:color="000000"/>
            </w:tcBorders>
          </w:tcPr>
          <w:p>
            <w:pPr>
              <w:pStyle w:val="TableParagraph"/>
              <w:spacing w:before="67"/>
              <w:ind w:left="765"/>
              <w:jc w:val="left"/>
              <w:rPr>
                <w:sz w:val="18"/>
              </w:rPr>
            </w:pPr>
            <w:r>
              <w:rPr>
                <w:sz w:val="18"/>
              </w:rPr>
              <w:t>糖奶缸类（直径)</w:t>
            </w:r>
          </w:p>
        </w:tc>
        <w:tc>
          <w:tcPr>
            <w:tcW w:w="1336" w:type="dxa"/>
            <w:tcBorders>
              <w:top w:val="single" w:sz="4" w:space="0" w:color="000000"/>
              <w:left w:val="single" w:sz="4" w:space="0" w:color="000000"/>
              <w:bottom w:val="single" w:sz="4" w:space="0" w:color="000000"/>
              <w:right w:val="single" w:sz="4" w:space="0" w:color="000000"/>
            </w:tcBorders>
          </w:tcPr>
          <w:p>
            <w:pPr>
              <w:pStyle w:val="TableParagraph"/>
              <w:spacing w:before="67"/>
              <w:ind w:left="66" w:right="45"/>
              <w:rPr>
                <w:sz w:val="18"/>
              </w:rPr>
            </w:pPr>
            <w:r>
              <w:rPr>
                <w:sz w:val="18"/>
              </w:rPr>
              <w:t>≤71</w:t>
            </w:r>
          </w:p>
        </w:tc>
        <w:tc>
          <w:tcPr>
            <w:tcW w:w="1332" w:type="dxa"/>
            <w:tcBorders>
              <w:top w:val="single" w:sz="4" w:space="0" w:color="000000"/>
              <w:left w:val="single" w:sz="4" w:space="0" w:color="000000"/>
              <w:bottom w:val="single" w:sz="4" w:space="0" w:color="000000"/>
              <w:right w:val="single" w:sz="4" w:space="0" w:color="000000"/>
            </w:tcBorders>
          </w:tcPr>
          <w:p>
            <w:pPr>
              <w:pStyle w:val="TableParagraph"/>
              <w:spacing w:before="67"/>
              <w:ind w:left="18" w:right="1"/>
              <w:rPr>
                <w:sz w:val="18"/>
              </w:rPr>
            </w:pPr>
            <w:r>
              <w:rPr>
                <w:sz w:val="18"/>
              </w:rPr>
              <w:t>71～102</w:t>
            </w:r>
          </w:p>
        </w:tc>
        <w:tc>
          <w:tcPr>
            <w:tcW w:w="1336" w:type="dxa"/>
            <w:tcBorders>
              <w:top w:val="single" w:sz="4" w:space="0" w:color="000000"/>
              <w:left w:val="single" w:sz="4" w:space="0" w:color="000000"/>
              <w:bottom w:val="single" w:sz="4" w:space="0" w:color="000000"/>
              <w:right w:val="single" w:sz="4" w:space="0" w:color="000000"/>
            </w:tcBorders>
          </w:tcPr>
          <w:p>
            <w:pPr>
              <w:pStyle w:val="TableParagraph"/>
              <w:spacing w:before="67"/>
              <w:ind w:left="64" w:right="45"/>
              <w:rPr>
                <w:sz w:val="18"/>
              </w:rPr>
            </w:pPr>
            <w:r>
              <w:rPr>
                <w:sz w:val="18"/>
              </w:rPr>
              <w:t>103～203</w:t>
            </w:r>
          </w:p>
        </w:tc>
        <w:tc>
          <w:tcPr>
            <w:tcW w:w="1330" w:type="dxa"/>
            <w:tcBorders>
              <w:top w:val="single" w:sz="4" w:space="0" w:color="000000"/>
              <w:left w:val="single" w:sz="4" w:space="0" w:color="000000"/>
              <w:bottom w:val="single" w:sz="4" w:space="0" w:color="000000"/>
            </w:tcBorders>
          </w:tcPr>
          <w:p>
            <w:pPr>
              <w:pStyle w:val="TableParagraph"/>
              <w:spacing w:before="67"/>
              <w:ind w:left="16"/>
              <w:rPr>
                <w:sz w:val="18"/>
              </w:rPr>
            </w:pPr>
            <w:r>
              <w:rPr>
                <w:sz w:val="18"/>
              </w:rPr>
              <w:t>/</w:t>
            </w:r>
          </w:p>
        </w:tc>
      </w:tr>
      <w:tr>
        <w:tblPrEx>
          <w:tblW w:w="0" w:type="auto"/>
          <w:jc w:val="left"/>
          <w:tblInd w:w="911" w:type="dxa"/>
          <w:tblLayout w:type="fixed"/>
          <w:tblCellMar>
            <w:top w:w="0" w:type="dxa"/>
            <w:left w:w="0" w:type="dxa"/>
            <w:bottom w:w="0" w:type="dxa"/>
            <w:right w:w="0" w:type="dxa"/>
          </w:tblCellMar>
          <w:tblLook w:val="01E0"/>
        </w:tblPrEx>
        <w:trPr>
          <w:trHeight w:val="370"/>
          <w:jc w:val="left"/>
        </w:trPr>
        <w:tc>
          <w:tcPr>
            <w:tcW w:w="1126" w:type="dxa"/>
            <w:vMerge w:val="restart"/>
            <w:tcBorders>
              <w:top w:val="single" w:sz="4" w:space="0" w:color="000000"/>
              <w:bottom w:val="single" w:sz="4" w:space="0" w:color="000000"/>
              <w:right w:val="single" w:sz="4" w:space="0" w:color="000000"/>
            </w:tcBorders>
          </w:tcPr>
          <w:p>
            <w:pPr>
              <w:pStyle w:val="TableParagraph"/>
              <w:jc w:val="left"/>
              <w:rPr>
                <w:rFonts w:ascii="黑体"/>
                <w:sz w:val="18"/>
              </w:rPr>
            </w:pPr>
          </w:p>
          <w:p>
            <w:pPr>
              <w:pStyle w:val="TableParagraph"/>
              <w:jc w:val="left"/>
              <w:rPr>
                <w:rFonts w:ascii="黑体"/>
                <w:sz w:val="18"/>
              </w:rPr>
            </w:pPr>
          </w:p>
          <w:p>
            <w:pPr>
              <w:pStyle w:val="TableParagraph"/>
              <w:spacing w:before="11"/>
              <w:jc w:val="left"/>
              <w:rPr>
                <w:rFonts w:ascii="黑体"/>
                <w:sz w:val="13"/>
              </w:rPr>
            </w:pPr>
          </w:p>
          <w:p>
            <w:pPr>
              <w:pStyle w:val="TableParagraph"/>
              <w:ind w:left="202"/>
              <w:jc w:val="left"/>
              <w:rPr>
                <w:sz w:val="18"/>
              </w:rPr>
            </w:pPr>
            <w:r>
              <w:rPr>
                <w:sz w:val="18"/>
              </w:rPr>
              <w:t>日用陶器</w:t>
            </w:r>
          </w:p>
        </w:tc>
        <w:tc>
          <w:tcPr>
            <w:tcW w:w="2872" w:type="dxa"/>
            <w:gridSpan w:val="2"/>
            <w:tcBorders>
              <w:top w:val="single" w:sz="4" w:space="0" w:color="000000"/>
              <w:left w:val="single" w:sz="4" w:space="0" w:color="000000"/>
              <w:bottom w:val="single" w:sz="4" w:space="0" w:color="000000"/>
              <w:right w:val="single" w:sz="4" w:space="0" w:color="000000"/>
            </w:tcBorders>
          </w:tcPr>
          <w:p>
            <w:pPr>
              <w:pStyle w:val="TableParagraph"/>
              <w:spacing w:before="71"/>
              <w:ind w:left="808"/>
              <w:jc w:val="left"/>
              <w:rPr>
                <w:sz w:val="18"/>
              </w:rPr>
            </w:pPr>
            <w:r>
              <w:rPr>
                <w:sz w:val="18"/>
              </w:rPr>
              <w:t>容器类（容积L)</w:t>
            </w:r>
          </w:p>
        </w:tc>
        <w:tc>
          <w:tcPr>
            <w:tcW w:w="1336" w:type="dxa"/>
            <w:tcBorders>
              <w:top w:val="single" w:sz="4" w:space="0" w:color="000000"/>
              <w:left w:val="single" w:sz="4" w:space="0" w:color="000000"/>
              <w:bottom w:val="single" w:sz="4" w:space="0" w:color="000000"/>
              <w:right w:val="single" w:sz="4" w:space="0" w:color="000000"/>
            </w:tcBorders>
          </w:tcPr>
          <w:p>
            <w:pPr>
              <w:pStyle w:val="TableParagraph"/>
              <w:spacing w:before="71"/>
              <w:ind w:left="68" w:right="45"/>
              <w:rPr>
                <w:sz w:val="18"/>
              </w:rPr>
            </w:pPr>
            <w:r>
              <w:rPr>
                <w:sz w:val="18"/>
              </w:rPr>
              <w:t>≤20</w:t>
            </w:r>
          </w:p>
        </w:tc>
        <w:tc>
          <w:tcPr>
            <w:tcW w:w="1332" w:type="dxa"/>
            <w:tcBorders>
              <w:top w:val="single" w:sz="4" w:space="0" w:color="000000"/>
              <w:left w:val="single" w:sz="4" w:space="0" w:color="000000"/>
              <w:bottom w:val="single" w:sz="4" w:space="0" w:color="000000"/>
              <w:right w:val="single" w:sz="4" w:space="0" w:color="000000"/>
            </w:tcBorders>
          </w:tcPr>
          <w:p>
            <w:pPr>
              <w:pStyle w:val="TableParagraph"/>
              <w:spacing w:before="71"/>
              <w:ind w:left="18" w:right="1"/>
              <w:rPr>
                <w:sz w:val="18"/>
              </w:rPr>
            </w:pPr>
            <w:r>
              <w:rPr>
                <w:sz w:val="18"/>
              </w:rPr>
              <w:t>21～150</w:t>
            </w:r>
          </w:p>
        </w:tc>
        <w:tc>
          <w:tcPr>
            <w:tcW w:w="1336" w:type="dxa"/>
            <w:tcBorders>
              <w:top w:val="single" w:sz="4" w:space="0" w:color="000000"/>
              <w:left w:val="single" w:sz="4" w:space="0" w:color="000000"/>
              <w:bottom w:val="single" w:sz="4" w:space="0" w:color="000000"/>
              <w:right w:val="single" w:sz="4" w:space="0" w:color="000000"/>
            </w:tcBorders>
          </w:tcPr>
          <w:p>
            <w:pPr>
              <w:pStyle w:val="TableParagraph"/>
              <w:spacing w:before="71"/>
              <w:ind w:left="64" w:right="45"/>
              <w:rPr>
                <w:sz w:val="18"/>
              </w:rPr>
            </w:pPr>
            <w:r>
              <w:rPr>
                <w:sz w:val="18"/>
              </w:rPr>
              <w:t>151～250</w:t>
            </w:r>
          </w:p>
        </w:tc>
        <w:tc>
          <w:tcPr>
            <w:tcW w:w="1330" w:type="dxa"/>
            <w:tcBorders>
              <w:top w:val="single" w:sz="4" w:space="0" w:color="000000"/>
              <w:left w:val="single" w:sz="4" w:space="0" w:color="000000"/>
              <w:bottom w:val="single" w:sz="4" w:space="0" w:color="000000"/>
            </w:tcBorders>
          </w:tcPr>
          <w:p>
            <w:pPr>
              <w:pStyle w:val="TableParagraph"/>
              <w:spacing w:before="71"/>
              <w:ind w:left="440"/>
              <w:jc w:val="left"/>
              <w:rPr>
                <w:sz w:val="18"/>
              </w:rPr>
            </w:pPr>
            <w:r>
              <w:rPr>
                <w:sz w:val="18"/>
              </w:rPr>
              <w:t>≥250</w:t>
            </w:r>
          </w:p>
        </w:tc>
      </w:tr>
      <w:tr>
        <w:tblPrEx>
          <w:tblW w:w="0" w:type="auto"/>
          <w:jc w:val="left"/>
          <w:tblInd w:w="911" w:type="dxa"/>
          <w:tblLayout w:type="fixed"/>
          <w:tblCellMar>
            <w:top w:w="0" w:type="dxa"/>
            <w:left w:w="0" w:type="dxa"/>
            <w:bottom w:w="0" w:type="dxa"/>
            <w:right w:w="0" w:type="dxa"/>
          </w:tblCellMar>
          <w:tblLook w:val="01E0"/>
        </w:tblPrEx>
        <w:trPr>
          <w:trHeight w:val="369"/>
          <w:jc w:val="left"/>
        </w:trPr>
        <w:tc>
          <w:tcPr>
            <w:tcW w:w="1126" w:type="dxa"/>
            <w:vMerge/>
            <w:tcBorders>
              <w:top w:val="nil"/>
              <w:bottom w:val="single" w:sz="4" w:space="0" w:color="000000"/>
              <w:right w:val="single" w:sz="4" w:space="0" w:color="000000"/>
            </w:tcBorders>
          </w:tcPr>
          <w:p>
            <w:pPr>
              <w:rPr>
                <w:sz w:val="2"/>
                <w:szCs w:val="2"/>
              </w:rPr>
            </w:pPr>
          </w:p>
        </w:tc>
        <w:tc>
          <w:tcPr>
            <w:tcW w:w="1132" w:type="dxa"/>
            <w:vMerge w:val="restart"/>
            <w:tcBorders>
              <w:top w:val="single" w:sz="4" w:space="0" w:color="000000"/>
              <w:left w:val="single" w:sz="4" w:space="0" w:color="000000"/>
              <w:bottom w:val="single" w:sz="4" w:space="0" w:color="000000"/>
              <w:right w:val="single" w:sz="4" w:space="0" w:color="000000"/>
            </w:tcBorders>
          </w:tcPr>
          <w:p>
            <w:pPr>
              <w:pStyle w:val="TableParagraph"/>
              <w:jc w:val="left"/>
              <w:rPr>
                <w:rFonts w:ascii="黑体"/>
                <w:sz w:val="23"/>
              </w:rPr>
            </w:pPr>
          </w:p>
          <w:p>
            <w:pPr>
              <w:pStyle w:val="TableParagraph"/>
              <w:ind w:left="101" w:right="81"/>
              <w:rPr>
                <w:sz w:val="18"/>
              </w:rPr>
            </w:pPr>
            <w:r>
              <w:rPr>
                <w:sz w:val="18"/>
              </w:rPr>
              <w:t>建筑琉璃瓦</w:t>
            </w:r>
          </w:p>
          <w:p>
            <w:pPr>
              <w:pStyle w:val="TableParagraph"/>
              <w:spacing w:before="81"/>
              <w:ind w:left="100" w:right="81"/>
              <w:rPr>
                <w:sz w:val="18"/>
              </w:rPr>
            </w:pPr>
            <w:r>
              <w:rPr>
                <w:sz w:val="18"/>
              </w:rPr>
              <w:t>/mm</w:t>
            </w:r>
          </w:p>
        </w:tc>
        <w:tc>
          <w:tcPr>
            <w:tcW w:w="1740" w:type="dxa"/>
            <w:tcBorders>
              <w:top w:val="single" w:sz="4" w:space="0" w:color="000000"/>
              <w:left w:val="single" w:sz="4" w:space="0" w:color="000000"/>
              <w:bottom w:val="single" w:sz="4" w:space="0" w:color="000000"/>
              <w:right w:val="single" w:sz="4" w:space="0" w:color="000000"/>
            </w:tcBorders>
          </w:tcPr>
          <w:p>
            <w:pPr>
              <w:pStyle w:val="TableParagraph"/>
              <w:spacing w:before="71"/>
              <w:ind w:left="49" w:right="21"/>
              <w:rPr>
                <w:sz w:val="18"/>
              </w:rPr>
            </w:pPr>
            <w:r>
              <w:rPr>
                <w:sz w:val="18"/>
              </w:rPr>
              <w:t>底瓦（长×宽）</w:t>
            </w:r>
          </w:p>
        </w:tc>
        <w:tc>
          <w:tcPr>
            <w:tcW w:w="1336" w:type="dxa"/>
            <w:tcBorders>
              <w:top w:val="single" w:sz="4" w:space="0" w:color="000000"/>
              <w:left w:val="single" w:sz="4" w:space="0" w:color="000000"/>
              <w:bottom w:val="single" w:sz="4" w:space="0" w:color="000000"/>
              <w:right w:val="single" w:sz="4" w:space="0" w:color="000000"/>
            </w:tcBorders>
          </w:tcPr>
          <w:p>
            <w:pPr>
              <w:pStyle w:val="TableParagraph"/>
              <w:spacing w:before="71"/>
              <w:ind w:left="64" w:right="45"/>
              <w:rPr>
                <w:sz w:val="18"/>
              </w:rPr>
            </w:pPr>
            <w:r>
              <w:rPr>
                <w:sz w:val="18"/>
              </w:rPr>
              <w:t>140×140</w:t>
            </w:r>
          </w:p>
        </w:tc>
        <w:tc>
          <w:tcPr>
            <w:tcW w:w="1332" w:type="dxa"/>
            <w:tcBorders>
              <w:top w:val="single" w:sz="4" w:space="0" w:color="000000"/>
              <w:left w:val="single" w:sz="4" w:space="0" w:color="000000"/>
              <w:bottom w:val="single" w:sz="4" w:space="0" w:color="000000"/>
              <w:right w:val="single" w:sz="4" w:space="0" w:color="000000"/>
            </w:tcBorders>
          </w:tcPr>
          <w:p>
            <w:pPr>
              <w:pStyle w:val="TableParagraph"/>
              <w:spacing w:before="71"/>
              <w:ind w:left="16" w:right="1"/>
              <w:rPr>
                <w:sz w:val="18"/>
              </w:rPr>
            </w:pPr>
            <w:r>
              <w:rPr>
                <w:sz w:val="18"/>
              </w:rPr>
              <w:t>170×170</w:t>
            </w:r>
          </w:p>
        </w:tc>
        <w:tc>
          <w:tcPr>
            <w:tcW w:w="1336" w:type="dxa"/>
            <w:tcBorders>
              <w:top w:val="single" w:sz="4" w:space="0" w:color="000000"/>
              <w:left w:val="single" w:sz="4" w:space="0" w:color="000000"/>
              <w:bottom w:val="single" w:sz="4" w:space="0" w:color="000000"/>
              <w:right w:val="single" w:sz="4" w:space="0" w:color="000000"/>
            </w:tcBorders>
          </w:tcPr>
          <w:p>
            <w:pPr>
              <w:pStyle w:val="TableParagraph"/>
              <w:spacing w:before="71"/>
              <w:ind w:left="64" w:right="45"/>
              <w:rPr>
                <w:sz w:val="18"/>
              </w:rPr>
            </w:pPr>
            <w:r>
              <w:rPr>
                <w:sz w:val="18"/>
              </w:rPr>
              <w:t>220×220</w:t>
            </w:r>
          </w:p>
        </w:tc>
        <w:tc>
          <w:tcPr>
            <w:tcW w:w="1330" w:type="dxa"/>
            <w:tcBorders>
              <w:top w:val="single" w:sz="4" w:space="0" w:color="000000"/>
              <w:left w:val="single" w:sz="4" w:space="0" w:color="000000"/>
              <w:bottom w:val="single" w:sz="4" w:space="0" w:color="000000"/>
            </w:tcBorders>
          </w:tcPr>
          <w:p>
            <w:pPr>
              <w:pStyle w:val="TableParagraph"/>
              <w:spacing w:before="71"/>
              <w:ind w:left="16"/>
              <w:rPr>
                <w:sz w:val="18"/>
              </w:rPr>
            </w:pPr>
            <w:r>
              <w:rPr>
                <w:sz w:val="18"/>
              </w:rPr>
              <w:t>/</w:t>
            </w:r>
          </w:p>
        </w:tc>
      </w:tr>
      <w:tr>
        <w:tblPrEx>
          <w:tblW w:w="0" w:type="auto"/>
          <w:jc w:val="left"/>
          <w:tblInd w:w="911" w:type="dxa"/>
          <w:tblLayout w:type="fixed"/>
          <w:tblCellMar>
            <w:top w:w="0" w:type="dxa"/>
            <w:left w:w="0" w:type="dxa"/>
            <w:bottom w:w="0" w:type="dxa"/>
            <w:right w:w="0" w:type="dxa"/>
          </w:tblCellMar>
          <w:tblLook w:val="01E0"/>
        </w:tblPrEx>
        <w:trPr>
          <w:trHeight w:val="370"/>
          <w:jc w:val="left"/>
        </w:trPr>
        <w:tc>
          <w:tcPr>
            <w:tcW w:w="1126" w:type="dxa"/>
            <w:vMerge/>
            <w:tcBorders>
              <w:top w:val="nil"/>
              <w:bottom w:val="single" w:sz="4" w:space="0" w:color="000000"/>
              <w:right w:val="single" w:sz="4" w:space="0" w:color="000000"/>
            </w:tcBorders>
          </w:tcPr>
          <w:p>
            <w:pPr>
              <w:rPr>
                <w:sz w:val="2"/>
                <w:szCs w:val="2"/>
              </w:rPr>
            </w:pPr>
          </w:p>
        </w:tc>
        <w:tc>
          <w:tcPr>
            <w:tcW w:w="1132" w:type="dxa"/>
            <w:vMerge/>
            <w:tcBorders>
              <w:top w:val="nil"/>
              <w:left w:val="single" w:sz="4" w:space="0" w:color="000000"/>
              <w:bottom w:val="single" w:sz="4" w:space="0" w:color="000000"/>
              <w:right w:val="single" w:sz="4" w:space="0" w:color="000000"/>
            </w:tcBorders>
          </w:tcPr>
          <w:p>
            <w:pPr>
              <w:rPr>
                <w:sz w:val="2"/>
                <w:szCs w:val="2"/>
              </w:rPr>
            </w:pPr>
          </w:p>
        </w:tc>
        <w:tc>
          <w:tcPr>
            <w:tcW w:w="1740" w:type="dxa"/>
            <w:tcBorders>
              <w:top w:val="single" w:sz="4" w:space="0" w:color="000000"/>
              <w:left w:val="single" w:sz="4" w:space="0" w:color="000000"/>
              <w:bottom w:val="single" w:sz="4" w:space="0" w:color="000000"/>
              <w:right w:val="single" w:sz="4" w:space="0" w:color="000000"/>
            </w:tcBorders>
          </w:tcPr>
          <w:p>
            <w:pPr>
              <w:pStyle w:val="TableParagraph"/>
              <w:spacing w:before="71"/>
              <w:ind w:left="49" w:right="21"/>
              <w:rPr>
                <w:sz w:val="18"/>
              </w:rPr>
            </w:pPr>
            <w:r>
              <w:rPr>
                <w:sz w:val="18"/>
              </w:rPr>
              <w:t>盖瓦（长×宽）</w:t>
            </w:r>
          </w:p>
        </w:tc>
        <w:tc>
          <w:tcPr>
            <w:tcW w:w="1336" w:type="dxa"/>
            <w:tcBorders>
              <w:top w:val="single" w:sz="4" w:space="0" w:color="000000"/>
              <w:left w:val="single" w:sz="4" w:space="0" w:color="000000"/>
              <w:bottom w:val="single" w:sz="4" w:space="0" w:color="000000"/>
              <w:right w:val="single" w:sz="4" w:space="0" w:color="000000"/>
            </w:tcBorders>
          </w:tcPr>
          <w:p>
            <w:pPr>
              <w:pStyle w:val="TableParagraph"/>
              <w:spacing w:before="71"/>
              <w:ind w:left="69" w:right="45"/>
              <w:rPr>
                <w:sz w:val="18"/>
              </w:rPr>
            </w:pPr>
            <w:r>
              <w:rPr>
                <w:sz w:val="18"/>
              </w:rPr>
              <w:t>140×80</w:t>
            </w:r>
          </w:p>
        </w:tc>
        <w:tc>
          <w:tcPr>
            <w:tcW w:w="1332" w:type="dxa"/>
            <w:tcBorders>
              <w:top w:val="single" w:sz="4" w:space="0" w:color="000000"/>
              <w:left w:val="single" w:sz="4" w:space="0" w:color="000000"/>
              <w:bottom w:val="single" w:sz="4" w:space="0" w:color="000000"/>
              <w:right w:val="single" w:sz="4" w:space="0" w:color="000000"/>
            </w:tcBorders>
          </w:tcPr>
          <w:p>
            <w:pPr>
              <w:pStyle w:val="TableParagraph"/>
              <w:spacing w:before="71"/>
              <w:ind w:left="16" w:right="1"/>
              <w:rPr>
                <w:sz w:val="18"/>
              </w:rPr>
            </w:pPr>
            <w:r>
              <w:rPr>
                <w:sz w:val="18"/>
              </w:rPr>
              <w:t>195×110</w:t>
            </w:r>
          </w:p>
        </w:tc>
        <w:tc>
          <w:tcPr>
            <w:tcW w:w="1336" w:type="dxa"/>
            <w:tcBorders>
              <w:top w:val="single" w:sz="4" w:space="0" w:color="000000"/>
              <w:left w:val="single" w:sz="4" w:space="0" w:color="000000"/>
              <w:bottom w:val="single" w:sz="4" w:space="0" w:color="000000"/>
              <w:right w:val="single" w:sz="4" w:space="0" w:color="000000"/>
            </w:tcBorders>
          </w:tcPr>
          <w:p>
            <w:pPr>
              <w:pStyle w:val="TableParagraph"/>
              <w:spacing w:before="71"/>
              <w:ind w:left="64" w:right="45"/>
              <w:rPr>
                <w:sz w:val="18"/>
              </w:rPr>
            </w:pPr>
            <w:r>
              <w:rPr>
                <w:sz w:val="18"/>
              </w:rPr>
              <w:t>195×125</w:t>
            </w:r>
          </w:p>
        </w:tc>
        <w:tc>
          <w:tcPr>
            <w:tcW w:w="1330" w:type="dxa"/>
            <w:tcBorders>
              <w:top w:val="single" w:sz="4" w:space="0" w:color="000000"/>
              <w:left w:val="single" w:sz="4" w:space="0" w:color="000000"/>
              <w:bottom w:val="single" w:sz="4" w:space="0" w:color="000000"/>
            </w:tcBorders>
          </w:tcPr>
          <w:p>
            <w:pPr>
              <w:pStyle w:val="TableParagraph"/>
              <w:spacing w:before="71"/>
              <w:ind w:left="16"/>
              <w:rPr>
                <w:sz w:val="18"/>
              </w:rPr>
            </w:pPr>
            <w:r>
              <w:rPr>
                <w:sz w:val="18"/>
              </w:rPr>
              <w:t>/</w:t>
            </w:r>
          </w:p>
        </w:tc>
      </w:tr>
      <w:tr>
        <w:tblPrEx>
          <w:tblW w:w="0" w:type="auto"/>
          <w:jc w:val="left"/>
          <w:tblInd w:w="911" w:type="dxa"/>
          <w:tblLayout w:type="fixed"/>
          <w:tblCellMar>
            <w:top w:w="0" w:type="dxa"/>
            <w:left w:w="0" w:type="dxa"/>
            <w:bottom w:w="0" w:type="dxa"/>
            <w:right w:w="0" w:type="dxa"/>
          </w:tblCellMar>
          <w:tblLook w:val="01E0"/>
        </w:tblPrEx>
        <w:trPr>
          <w:trHeight w:val="366"/>
          <w:jc w:val="left"/>
        </w:trPr>
        <w:tc>
          <w:tcPr>
            <w:tcW w:w="1126" w:type="dxa"/>
            <w:vMerge/>
            <w:tcBorders>
              <w:top w:val="nil"/>
              <w:bottom w:val="single" w:sz="4" w:space="0" w:color="000000"/>
              <w:right w:val="single" w:sz="4" w:space="0" w:color="000000"/>
            </w:tcBorders>
          </w:tcPr>
          <w:p>
            <w:pPr>
              <w:rPr>
                <w:sz w:val="2"/>
                <w:szCs w:val="2"/>
              </w:rPr>
            </w:pPr>
          </w:p>
        </w:tc>
        <w:tc>
          <w:tcPr>
            <w:tcW w:w="1132" w:type="dxa"/>
            <w:vMerge/>
            <w:tcBorders>
              <w:top w:val="nil"/>
              <w:left w:val="single" w:sz="4" w:space="0" w:color="000000"/>
              <w:bottom w:val="single" w:sz="4" w:space="0" w:color="000000"/>
              <w:right w:val="single" w:sz="4" w:space="0" w:color="000000"/>
            </w:tcBorders>
          </w:tcPr>
          <w:p>
            <w:pPr>
              <w:rPr>
                <w:sz w:val="2"/>
                <w:szCs w:val="2"/>
              </w:rPr>
            </w:pPr>
          </w:p>
        </w:tc>
        <w:tc>
          <w:tcPr>
            <w:tcW w:w="1740" w:type="dxa"/>
            <w:tcBorders>
              <w:top w:val="single" w:sz="4" w:space="0" w:color="000000"/>
              <w:left w:val="single" w:sz="4" w:space="0" w:color="000000"/>
              <w:bottom w:val="single" w:sz="4" w:space="0" w:color="000000"/>
              <w:right w:val="single" w:sz="4" w:space="0" w:color="000000"/>
            </w:tcBorders>
          </w:tcPr>
          <w:p>
            <w:pPr>
              <w:pStyle w:val="TableParagraph"/>
              <w:spacing w:before="67"/>
              <w:ind w:left="49" w:right="21"/>
              <w:rPr>
                <w:sz w:val="18"/>
              </w:rPr>
            </w:pPr>
            <w:r>
              <w:rPr>
                <w:sz w:val="18"/>
              </w:rPr>
              <w:t>脊类（长×宽×高）</w:t>
            </w:r>
          </w:p>
        </w:tc>
        <w:tc>
          <w:tcPr>
            <w:tcW w:w="1336" w:type="dxa"/>
            <w:tcBorders>
              <w:top w:val="single" w:sz="4" w:space="0" w:color="000000"/>
              <w:left w:val="single" w:sz="4" w:space="0" w:color="000000"/>
              <w:bottom w:val="single" w:sz="4" w:space="0" w:color="000000"/>
              <w:right w:val="single" w:sz="4" w:space="0" w:color="000000"/>
            </w:tcBorders>
          </w:tcPr>
          <w:p>
            <w:pPr>
              <w:pStyle w:val="TableParagraph"/>
              <w:spacing w:before="67"/>
              <w:ind w:left="68" w:right="45"/>
              <w:rPr>
                <w:sz w:val="18"/>
              </w:rPr>
            </w:pPr>
            <w:r>
              <w:rPr>
                <w:sz w:val="18"/>
              </w:rPr>
              <w:t>100×80×80</w:t>
            </w:r>
          </w:p>
        </w:tc>
        <w:tc>
          <w:tcPr>
            <w:tcW w:w="1332" w:type="dxa"/>
            <w:tcBorders>
              <w:top w:val="single" w:sz="4" w:space="0" w:color="000000"/>
              <w:left w:val="single" w:sz="4" w:space="0" w:color="000000"/>
              <w:bottom w:val="single" w:sz="4" w:space="0" w:color="000000"/>
              <w:right w:val="single" w:sz="4" w:space="0" w:color="000000"/>
            </w:tcBorders>
          </w:tcPr>
          <w:p>
            <w:pPr>
              <w:pStyle w:val="TableParagraph"/>
              <w:spacing w:before="67"/>
              <w:ind w:left="22" w:right="1"/>
              <w:rPr>
                <w:sz w:val="18"/>
              </w:rPr>
            </w:pPr>
            <w:r>
              <w:rPr>
                <w:sz w:val="18"/>
              </w:rPr>
              <w:t>200×140×110</w:t>
            </w:r>
          </w:p>
        </w:tc>
        <w:tc>
          <w:tcPr>
            <w:tcW w:w="1336" w:type="dxa"/>
            <w:tcBorders>
              <w:top w:val="single" w:sz="4" w:space="0" w:color="000000"/>
              <w:left w:val="single" w:sz="4" w:space="0" w:color="000000"/>
              <w:bottom w:val="single" w:sz="4" w:space="0" w:color="000000"/>
              <w:right w:val="single" w:sz="4" w:space="0" w:color="000000"/>
            </w:tcBorders>
          </w:tcPr>
          <w:p>
            <w:pPr>
              <w:pStyle w:val="TableParagraph"/>
              <w:spacing w:before="67"/>
              <w:ind w:left="71" w:right="45"/>
              <w:rPr>
                <w:sz w:val="18"/>
              </w:rPr>
            </w:pPr>
            <w:r>
              <w:rPr>
                <w:sz w:val="18"/>
              </w:rPr>
              <w:t>350×200×290</w:t>
            </w:r>
          </w:p>
        </w:tc>
        <w:tc>
          <w:tcPr>
            <w:tcW w:w="1330" w:type="dxa"/>
            <w:tcBorders>
              <w:top w:val="single" w:sz="4" w:space="0" w:color="000000"/>
              <w:left w:val="single" w:sz="4" w:space="0" w:color="000000"/>
              <w:bottom w:val="single" w:sz="4" w:space="0" w:color="000000"/>
            </w:tcBorders>
          </w:tcPr>
          <w:p>
            <w:pPr>
              <w:pStyle w:val="TableParagraph"/>
              <w:spacing w:before="67"/>
              <w:ind w:left="81"/>
              <w:jc w:val="left"/>
              <w:rPr>
                <w:sz w:val="18"/>
              </w:rPr>
            </w:pPr>
            <w:r>
              <w:rPr>
                <w:sz w:val="18"/>
              </w:rPr>
              <w:t>350×360×120</w:t>
            </w:r>
          </w:p>
        </w:tc>
      </w:tr>
      <w:tr>
        <w:tblPrEx>
          <w:tblW w:w="0" w:type="auto"/>
          <w:jc w:val="left"/>
          <w:tblInd w:w="911" w:type="dxa"/>
          <w:tblLayout w:type="fixed"/>
          <w:tblCellMar>
            <w:top w:w="0" w:type="dxa"/>
            <w:left w:w="0" w:type="dxa"/>
            <w:bottom w:w="0" w:type="dxa"/>
            <w:right w:w="0" w:type="dxa"/>
          </w:tblCellMar>
          <w:tblLook w:val="01E0"/>
        </w:tblPrEx>
        <w:trPr>
          <w:trHeight w:val="365"/>
          <w:jc w:val="left"/>
        </w:trPr>
        <w:tc>
          <w:tcPr>
            <w:tcW w:w="3998" w:type="dxa"/>
            <w:gridSpan w:val="3"/>
            <w:tcBorders>
              <w:top w:val="single" w:sz="4" w:space="0" w:color="000000"/>
              <w:bottom w:val="single" w:sz="12" w:space="0" w:color="000000"/>
              <w:right w:val="single" w:sz="4" w:space="0" w:color="000000"/>
            </w:tcBorders>
          </w:tcPr>
          <w:p>
            <w:pPr>
              <w:pStyle w:val="TableParagraph"/>
              <w:spacing w:before="71"/>
              <w:ind w:left="1189"/>
              <w:jc w:val="left"/>
              <w:rPr>
                <w:sz w:val="18"/>
              </w:rPr>
            </w:pPr>
            <w:r>
              <w:rPr>
                <w:sz w:val="18"/>
              </w:rPr>
              <w:t>工艺陶瓷（高度mm）</w:t>
            </w:r>
          </w:p>
        </w:tc>
        <w:tc>
          <w:tcPr>
            <w:tcW w:w="1336" w:type="dxa"/>
            <w:tcBorders>
              <w:top w:val="single" w:sz="4" w:space="0" w:color="000000"/>
              <w:left w:val="single" w:sz="4" w:space="0" w:color="000000"/>
              <w:bottom w:val="single" w:sz="12" w:space="0" w:color="000000"/>
              <w:right w:val="single" w:sz="4" w:space="0" w:color="000000"/>
            </w:tcBorders>
          </w:tcPr>
          <w:p>
            <w:pPr>
              <w:pStyle w:val="TableParagraph"/>
              <w:spacing w:before="71"/>
              <w:ind w:left="71" w:right="43"/>
              <w:rPr>
                <w:sz w:val="18"/>
              </w:rPr>
            </w:pPr>
            <w:r>
              <w:rPr>
                <w:sz w:val="18"/>
              </w:rPr>
              <w:t>≤150</w:t>
            </w:r>
          </w:p>
        </w:tc>
        <w:tc>
          <w:tcPr>
            <w:tcW w:w="1332" w:type="dxa"/>
            <w:tcBorders>
              <w:top w:val="single" w:sz="4" w:space="0" w:color="000000"/>
              <w:left w:val="single" w:sz="4" w:space="0" w:color="000000"/>
              <w:bottom w:val="single" w:sz="12" w:space="0" w:color="000000"/>
              <w:right w:val="single" w:sz="4" w:space="0" w:color="000000"/>
            </w:tcBorders>
          </w:tcPr>
          <w:p>
            <w:pPr>
              <w:pStyle w:val="TableParagraph"/>
              <w:spacing w:before="71"/>
              <w:ind w:left="16" w:right="1"/>
              <w:rPr>
                <w:sz w:val="18"/>
              </w:rPr>
            </w:pPr>
            <w:r>
              <w:rPr>
                <w:sz w:val="18"/>
              </w:rPr>
              <w:t>151～309</w:t>
            </w:r>
          </w:p>
        </w:tc>
        <w:tc>
          <w:tcPr>
            <w:tcW w:w="1336" w:type="dxa"/>
            <w:tcBorders>
              <w:top w:val="single" w:sz="4" w:space="0" w:color="000000"/>
              <w:left w:val="single" w:sz="4" w:space="0" w:color="000000"/>
              <w:bottom w:val="single" w:sz="12" w:space="0" w:color="000000"/>
              <w:right w:val="single" w:sz="4" w:space="0" w:color="000000"/>
            </w:tcBorders>
          </w:tcPr>
          <w:p>
            <w:pPr>
              <w:pStyle w:val="TableParagraph"/>
              <w:spacing w:before="71"/>
              <w:ind w:left="64" w:right="45"/>
              <w:rPr>
                <w:sz w:val="18"/>
              </w:rPr>
            </w:pPr>
            <w:r>
              <w:rPr>
                <w:sz w:val="18"/>
              </w:rPr>
              <w:t>310～500</w:t>
            </w:r>
          </w:p>
        </w:tc>
        <w:tc>
          <w:tcPr>
            <w:tcW w:w="1330" w:type="dxa"/>
            <w:tcBorders>
              <w:top w:val="single" w:sz="4" w:space="0" w:color="000000"/>
              <w:left w:val="single" w:sz="4" w:space="0" w:color="000000"/>
              <w:bottom w:val="single" w:sz="12" w:space="0" w:color="000000"/>
            </w:tcBorders>
          </w:tcPr>
          <w:p>
            <w:pPr>
              <w:pStyle w:val="TableParagraph"/>
              <w:spacing w:before="71"/>
              <w:ind w:left="368"/>
              <w:jc w:val="left"/>
              <w:rPr>
                <w:sz w:val="18"/>
              </w:rPr>
            </w:pPr>
            <w:r>
              <w:rPr>
                <w:sz w:val="18"/>
              </w:rPr>
              <w:t>≥500</w:t>
            </w:r>
          </w:p>
        </w:tc>
      </w:tr>
    </w:tbl>
    <w:p>
      <w:pPr>
        <w:pStyle w:val="BodyText"/>
        <w:spacing w:before="2"/>
        <w:rPr>
          <w:rFonts w:ascii="黑体"/>
          <w:sz w:val="25"/>
        </w:rPr>
      </w:pPr>
      <w:r>
        <w:pict>
          <v:group id="_x0000_s1045" style="width:468.6pt;height:225pt;margin-top:18.09pt;margin-left:56.6pt;mso-position-horizontal-relative:page;mso-wrap-distance-left:0;mso-wrap-distance-right:0;position:absolute;z-index:-251643904" coordorigin="1132,362" coordsize="9372,4500">
            <v:shape id="_x0000_s1046" type="#_x0000_t202" style="width:760;height:212;left:1132;position:absolute;top:361" filled="f" stroked="f">
              <v:textbox inset="0,0,0,0">
                <w:txbxContent>
                  <w:p>
                    <w:pPr>
                      <w:spacing w:before="0" w:line="212" w:lineRule="exact"/>
                      <w:ind w:left="0" w:right="0" w:firstLine="0"/>
                      <w:jc w:val="left"/>
                      <w:rPr>
                        <w:rFonts w:ascii="黑体" w:eastAsia="黑体" w:hint="eastAsia"/>
                        <w:sz w:val="21"/>
                      </w:rPr>
                    </w:pPr>
                    <w:bookmarkStart w:id="7" w:name="6　 原料"/>
                    <w:bookmarkEnd w:id="7"/>
                    <w:r>
                      <w:rPr>
                        <w:rFonts w:ascii="黑体" w:eastAsia="黑体" w:hint="eastAsia"/>
                        <w:sz w:val="21"/>
                      </w:rPr>
                      <w:t>6 原 料</w:t>
                    </w:r>
                  </w:p>
                </w:txbxContent>
              </v:textbox>
            </v:shape>
            <v:shape id="_x0000_s1047" type="#_x0000_t202" style="width:9372;height:2241;left:1132;position:absolute;top:985" filled="f" stroked="f">
              <v:textbox inset="0,0,0,0">
                <w:txbxContent>
                  <w:p>
                    <w:pPr>
                      <w:spacing w:before="0" w:line="241" w:lineRule="exact"/>
                      <w:ind w:left="0" w:right="0" w:firstLine="0"/>
                      <w:jc w:val="left"/>
                      <w:rPr>
                        <w:rFonts w:ascii="黑体" w:eastAsia="黑体" w:hint="eastAsia"/>
                        <w:sz w:val="21"/>
                      </w:rPr>
                    </w:pPr>
                    <w:r>
                      <w:drawing>
                        <wp:inline distT="0" distB="0" distL="0" distR="0">
                          <wp:extent cx="182594" cy="105441"/>
                          <wp:effectExtent l="0" t="0" r="0" b="0"/>
                          <wp:docPr id="1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5.png"/>
                                  <pic:cNvPicPr/>
                                </pic:nvPicPr>
                                <pic:blipFill>
                                  <a:blip xmlns:r="http://schemas.openxmlformats.org/officeDocument/2006/relationships" r:embed="rId17" cstate="print"/>
                                  <a:stretch>
                                    <a:fillRect/>
                                  </a:stretch>
                                </pic:blipFill>
                                <pic:spPr>
                                  <a:xfrm>
                                    <a:off x="0" y="0"/>
                                    <a:ext cx="182594" cy="105441"/>
                                  </a:xfrm>
                                  <a:prstGeom prst="rect">
                                    <a:avLst/>
                                  </a:prstGeom>
                                </pic:spPr>
                              </pic:pic>
                            </a:graphicData>
                          </a:graphic>
                        </wp:inline>
                      </w:drawing>
                    </w:r>
                    <w:r>
                      <w:rPr>
                        <w:rFonts w:ascii="Times New Roman" w:eastAsia="Times New Roman"/>
                        <w:position w:val="1"/>
                        <w:sz w:val="20"/>
                      </w:rPr>
                      <w:t xml:space="preserve">    </w:t>
                    </w:r>
                    <w:r>
                      <w:rPr>
                        <w:rFonts w:ascii="Times New Roman" w:eastAsia="Times New Roman"/>
                        <w:spacing w:val="-14"/>
                        <w:position w:val="1"/>
                        <w:sz w:val="20"/>
                      </w:rPr>
                      <w:t xml:space="preserve"> </w:t>
                    </w:r>
                    <w:bookmarkStart w:id="8" w:name="6.1　 通用要求"/>
                    <w:bookmarkEnd w:id="8"/>
                    <w:r>
                      <w:rPr>
                        <w:rFonts w:ascii="黑体" w:eastAsia="黑体" w:hint="eastAsia"/>
                        <w:spacing w:val="-2"/>
                        <w:position w:val="1"/>
                        <w:sz w:val="21"/>
                      </w:rPr>
                      <w:t>通用要求</w:t>
                    </w:r>
                  </w:p>
                  <w:p>
                    <w:pPr>
                      <w:spacing w:before="6" w:line="240" w:lineRule="auto"/>
                      <w:rPr>
                        <w:rFonts w:ascii="黑体"/>
                        <w:sz w:val="15"/>
                      </w:rPr>
                    </w:pPr>
                  </w:p>
                  <w:p>
                    <w:pPr>
                      <w:numPr>
                        <w:ilvl w:val="2"/>
                        <w:numId w:val="16"/>
                      </w:numPr>
                      <w:tabs>
                        <w:tab w:val="left" w:pos="737"/>
                      </w:tabs>
                      <w:spacing w:before="0"/>
                      <w:ind w:left="736" w:right="0" w:hanging="737"/>
                      <w:jc w:val="left"/>
                      <w:rPr>
                        <w:sz w:val="21"/>
                      </w:rPr>
                    </w:pPr>
                    <w:r>
                      <w:rPr>
                        <w:spacing w:val="-4"/>
                        <w:sz w:val="21"/>
                      </w:rPr>
                      <w:t>坯用原料包括料土、蠕虫状红土、枯土等，应开采自保护范围内。</w:t>
                    </w:r>
                  </w:p>
                  <w:p>
                    <w:pPr>
                      <w:numPr>
                        <w:ilvl w:val="2"/>
                        <w:numId w:val="16"/>
                      </w:numPr>
                      <w:tabs>
                        <w:tab w:val="left" w:pos="737"/>
                      </w:tabs>
                      <w:spacing w:before="43"/>
                      <w:ind w:left="736" w:right="0" w:hanging="737"/>
                      <w:jc w:val="left"/>
                      <w:rPr>
                        <w:sz w:val="21"/>
                      </w:rPr>
                    </w:pPr>
                    <w:r>
                      <w:rPr>
                        <w:spacing w:val="-9"/>
                        <w:sz w:val="21"/>
                      </w:rPr>
                      <w:t xml:space="preserve">料土宜开采于地表 </w:t>
                    </w:r>
                    <w:r>
                      <w:rPr>
                        <w:sz w:val="21"/>
                      </w:rPr>
                      <w:t>30</w:t>
                    </w:r>
                    <w:r>
                      <w:rPr>
                        <w:spacing w:val="19"/>
                        <w:sz w:val="21"/>
                      </w:rPr>
                      <w:t xml:space="preserve"> </w:t>
                    </w:r>
                    <w:r>
                      <w:rPr>
                        <w:sz w:val="21"/>
                      </w:rPr>
                      <w:t>m</w:t>
                    </w:r>
                    <w:r>
                      <w:rPr>
                        <w:spacing w:val="-12"/>
                        <w:sz w:val="21"/>
                      </w:rPr>
                      <w:t xml:space="preserve"> 以下，蠕虫状红土宜开采于地表面 </w:t>
                    </w:r>
                    <w:r>
                      <w:rPr>
                        <w:sz w:val="21"/>
                      </w:rPr>
                      <w:t>10</w:t>
                    </w:r>
                    <w:r>
                      <w:rPr>
                        <w:spacing w:val="23"/>
                        <w:sz w:val="21"/>
                      </w:rPr>
                      <w:t xml:space="preserve"> </w:t>
                    </w:r>
                    <w:r>
                      <w:rPr>
                        <w:sz w:val="21"/>
                      </w:rPr>
                      <w:t>m</w:t>
                    </w:r>
                    <w:r>
                      <w:rPr>
                        <w:spacing w:val="-10"/>
                        <w:sz w:val="21"/>
                      </w:rPr>
                      <w:t xml:space="preserve"> 深左右，枯土宜开采于地表面</w:t>
                    </w:r>
                  </w:p>
                  <w:p>
                    <w:pPr>
                      <w:spacing w:before="43"/>
                      <w:ind w:left="0" w:right="0" w:firstLine="0"/>
                      <w:jc w:val="left"/>
                      <w:rPr>
                        <w:sz w:val="21"/>
                      </w:rPr>
                    </w:pPr>
                    <w:r>
                      <w:rPr>
                        <w:sz w:val="21"/>
                      </w:rPr>
                      <w:t>20 m 以下。</w:t>
                    </w:r>
                  </w:p>
                  <w:p>
                    <w:pPr>
                      <w:spacing w:before="7" w:line="240" w:lineRule="auto"/>
                      <w:rPr>
                        <w:sz w:val="15"/>
                      </w:rPr>
                    </w:pPr>
                  </w:p>
                  <w:p>
                    <w:pPr>
                      <w:spacing w:before="0"/>
                      <w:ind w:left="0" w:right="0" w:firstLine="0"/>
                      <w:jc w:val="left"/>
                      <w:rPr>
                        <w:rFonts w:ascii="黑体" w:eastAsia="黑体" w:hint="eastAsia"/>
                        <w:sz w:val="21"/>
                      </w:rPr>
                    </w:pPr>
                    <w:r>
                      <w:drawing>
                        <wp:inline distT="0" distB="0" distL="0" distR="0">
                          <wp:extent cx="203155" cy="108013"/>
                          <wp:effectExtent l="0" t="0" r="0" b="0"/>
                          <wp:docPr id="2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6.png"/>
                                  <pic:cNvPicPr/>
                                </pic:nvPicPr>
                                <pic:blipFill>
                                  <a:blip xmlns:r="http://schemas.openxmlformats.org/officeDocument/2006/relationships" r:embed="rId18" cstate="print"/>
                                  <a:stretch>
                                    <a:fillRect/>
                                  </a:stretch>
                                </pic:blipFill>
                                <pic:spPr>
                                  <a:xfrm>
                                    <a:off x="0" y="0"/>
                                    <a:ext cx="203155" cy="108013"/>
                                  </a:xfrm>
                                  <a:prstGeom prst="rect">
                                    <a:avLst/>
                                  </a:prstGeom>
                                </pic:spPr>
                              </pic:pic>
                            </a:graphicData>
                          </a:graphic>
                        </wp:inline>
                      </w:drawing>
                    </w:r>
                    <w:r>
                      <w:rPr>
                        <w:rFonts w:ascii="Times New Roman" w:eastAsia="Times New Roman"/>
                        <w:position w:val="1"/>
                        <w:sz w:val="20"/>
                      </w:rPr>
                      <w:t xml:space="preserve">   </w:t>
                    </w:r>
                    <w:r>
                      <w:rPr>
                        <w:rFonts w:ascii="Times New Roman" w:eastAsia="Times New Roman"/>
                        <w:spacing w:val="4"/>
                        <w:position w:val="1"/>
                        <w:sz w:val="20"/>
                      </w:rPr>
                      <w:t xml:space="preserve"> </w:t>
                    </w:r>
                    <w:bookmarkStart w:id="9" w:name="6.2　 感官要求"/>
                    <w:bookmarkEnd w:id="9"/>
                    <w:r>
                      <w:rPr>
                        <w:rFonts w:ascii="黑体" w:eastAsia="黑体" w:hint="eastAsia"/>
                        <w:spacing w:val="-2"/>
                        <w:position w:val="1"/>
                        <w:sz w:val="21"/>
                      </w:rPr>
                      <w:t>感官要求</w:t>
                    </w:r>
                  </w:p>
                  <w:p>
                    <w:pPr>
                      <w:spacing w:before="7" w:line="240" w:lineRule="auto"/>
                      <w:rPr>
                        <w:rFonts w:ascii="黑体"/>
                        <w:sz w:val="15"/>
                      </w:rPr>
                    </w:pPr>
                  </w:p>
                  <w:p>
                    <w:pPr>
                      <w:spacing w:before="0" w:line="240" w:lineRule="exact"/>
                      <w:ind w:left="419" w:right="0" w:firstLine="0"/>
                      <w:jc w:val="left"/>
                      <w:rPr>
                        <w:sz w:val="21"/>
                      </w:rPr>
                    </w:pPr>
                    <w:r>
                      <w:rPr>
                        <w:sz w:val="21"/>
                      </w:rPr>
                      <w:t>坯用原料感官要求应符合表2的规定。</w:t>
                    </w:r>
                  </w:p>
                </w:txbxContent>
              </v:textbox>
            </v:shape>
            <v:shape id="_x0000_s1048" type="#_x0000_t202" style="width:110;height:180;left:1328;position:absolute;top:4681" filled="f" stroked="f">
              <v:textbox inset="0,0,0,0">
                <w:txbxContent>
                  <w:p>
                    <w:pPr>
                      <w:spacing w:before="0" w:line="180" w:lineRule="exact"/>
                      <w:ind w:left="0" w:right="0" w:firstLine="0"/>
                      <w:jc w:val="left"/>
                      <w:rPr>
                        <w:sz w:val="18"/>
                      </w:rPr>
                    </w:pPr>
                    <w:r>
                      <w:rPr>
                        <w:sz w:val="18"/>
                      </w:rPr>
                      <w:t>2</w:t>
                    </w:r>
                  </w:p>
                </w:txbxContent>
              </v:textbox>
            </v:shape>
            <w10:wrap type="topAndBottom"/>
          </v:group>
        </w:pict>
      </w:r>
    </w:p>
    <w:p>
      <w:pPr>
        <w:spacing w:after="0"/>
        <w:rPr>
          <w:rFonts w:ascii="黑体"/>
          <w:sz w:val="25"/>
        </w:rPr>
        <w:sectPr>
          <w:headerReference w:type="even" r:id="rId19"/>
          <w:headerReference w:type="default" r:id="rId20"/>
          <w:pgSz w:w="11910" w:h="16840"/>
          <w:pgMar w:top="1640" w:right="260" w:bottom="280" w:left="240" w:header="1446" w:footer="0"/>
          <w:pgNumType w:start="8"/>
          <w:cols w:space="708"/>
        </w:sectPr>
      </w:pPr>
    </w:p>
    <w:p>
      <w:pPr>
        <w:pStyle w:val="BodyText"/>
        <w:spacing w:before="1"/>
        <w:rPr>
          <w:rFonts w:ascii="黑体"/>
          <w:sz w:val="16"/>
        </w:rPr>
      </w:pPr>
    </w:p>
    <w:tbl>
      <w:tblPr>
        <w:tblStyle w:val="TableNormal2"/>
        <w:tblW w:w="0" w:type="auto"/>
        <w:jc w:val="left"/>
        <w:tblInd w:w="11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410"/>
        <w:gridCol w:w="7922"/>
      </w:tblGrid>
      <w:tr>
        <w:tblPrEx>
          <w:tblW w:w="0" w:type="auto"/>
          <w:jc w:val="left"/>
          <w:tblInd w:w="11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67"/>
          <w:jc w:val="left"/>
        </w:trPr>
        <w:tc>
          <w:tcPr>
            <w:tcW w:w="1410" w:type="dxa"/>
            <w:tcBorders>
              <w:right w:val="single" w:sz="4" w:space="0" w:color="000000"/>
            </w:tcBorders>
          </w:tcPr>
          <w:p>
            <w:pPr>
              <w:pStyle w:val="TableParagraph"/>
              <w:spacing w:before="68"/>
              <w:ind w:left="234" w:right="217"/>
              <w:rPr>
                <w:sz w:val="18"/>
              </w:rPr>
            </w:pPr>
            <w:r>
              <w:rPr>
                <w:sz w:val="18"/>
              </w:rPr>
              <w:t>项目</w:t>
            </w:r>
          </w:p>
        </w:tc>
        <w:tc>
          <w:tcPr>
            <w:tcW w:w="7922" w:type="dxa"/>
            <w:tcBorders>
              <w:left w:val="single" w:sz="4" w:space="0" w:color="000000"/>
            </w:tcBorders>
          </w:tcPr>
          <w:p>
            <w:pPr>
              <w:pStyle w:val="TableParagraph"/>
              <w:spacing w:before="68"/>
              <w:ind w:left="74" w:right="52"/>
              <w:rPr>
                <w:sz w:val="18"/>
              </w:rPr>
            </w:pPr>
            <w:r>
              <w:rPr>
                <w:sz w:val="18"/>
              </w:rPr>
              <w:t>要求</w:t>
            </w:r>
          </w:p>
        </w:tc>
      </w:tr>
      <w:tr>
        <w:tblPrEx>
          <w:tblW w:w="0" w:type="auto"/>
          <w:jc w:val="left"/>
          <w:tblInd w:w="1195" w:type="dxa"/>
          <w:tblLayout w:type="fixed"/>
          <w:tblCellMar>
            <w:top w:w="0" w:type="dxa"/>
            <w:left w:w="0" w:type="dxa"/>
            <w:bottom w:w="0" w:type="dxa"/>
            <w:right w:w="0" w:type="dxa"/>
          </w:tblCellMar>
          <w:tblLook w:val="01E0"/>
        </w:tblPrEx>
        <w:trPr>
          <w:trHeight w:val="622"/>
          <w:jc w:val="left"/>
        </w:trPr>
        <w:tc>
          <w:tcPr>
            <w:tcW w:w="1410" w:type="dxa"/>
            <w:tcBorders>
              <w:bottom w:val="single" w:sz="4" w:space="0" w:color="000000"/>
              <w:right w:val="single" w:sz="4" w:space="0" w:color="000000"/>
            </w:tcBorders>
          </w:tcPr>
          <w:p>
            <w:pPr>
              <w:pStyle w:val="TableParagraph"/>
              <w:spacing w:before="3"/>
              <w:jc w:val="left"/>
              <w:rPr>
                <w:rFonts w:ascii="黑体"/>
                <w:sz w:val="15"/>
              </w:rPr>
            </w:pPr>
          </w:p>
          <w:p>
            <w:pPr>
              <w:pStyle w:val="TableParagraph"/>
              <w:spacing w:before="1"/>
              <w:ind w:left="234" w:right="217"/>
              <w:rPr>
                <w:sz w:val="18"/>
              </w:rPr>
            </w:pPr>
            <w:r>
              <w:rPr>
                <w:sz w:val="18"/>
              </w:rPr>
              <w:t>料土</w:t>
            </w:r>
          </w:p>
        </w:tc>
        <w:tc>
          <w:tcPr>
            <w:tcW w:w="7922" w:type="dxa"/>
            <w:tcBorders>
              <w:left w:val="single" w:sz="4" w:space="0" w:color="000000"/>
              <w:bottom w:val="single" w:sz="4" w:space="0" w:color="000000"/>
            </w:tcBorders>
          </w:tcPr>
          <w:p>
            <w:pPr>
              <w:pStyle w:val="TableParagraph"/>
              <w:spacing w:before="40"/>
              <w:ind w:left="74" w:right="52"/>
              <w:rPr>
                <w:sz w:val="18"/>
              </w:rPr>
            </w:pPr>
            <w:r>
              <w:rPr>
                <w:sz w:val="18"/>
              </w:rPr>
              <w:t>软质泥、质地细腻并成块状，表面呈灰白色、浅青色，肉眼可见云母片，原矿含水率20％～23％，</w:t>
            </w:r>
          </w:p>
          <w:p>
            <w:pPr>
              <w:pStyle w:val="TableParagraph"/>
              <w:spacing w:before="81"/>
              <w:ind w:left="71" w:right="52"/>
              <w:rPr>
                <w:sz w:val="18"/>
              </w:rPr>
            </w:pPr>
            <w:r>
              <w:rPr>
                <w:sz w:val="18"/>
              </w:rPr>
              <w:t>粘性好，手搓后有较强滑感。</w:t>
            </w:r>
          </w:p>
        </w:tc>
      </w:tr>
      <w:tr>
        <w:tblPrEx>
          <w:tblW w:w="0" w:type="auto"/>
          <w:jc w:val="left"/>
          <w:tblInd w:w="1195" w:type="dxa"/>
          <w:tblLayout w:type="fixed"/>
          <w:tblCellMar>
            <w:top w:w="0" w:type="dxa"/>
            <w:left w:w="0" w:type="dxa"/>
            <w:bottom w:w="0" w:type="dxa"/>
            <w:right w:w="0" w:type="dxa"/>
          </w:tblCellMar>
          <w:tblLook w:val="01E0"/>
        </w:tblPrEx>
        <w:trPr>
          <w:trHeight w:val="370"/>
          <w:jc w:val="left"/>
        </w:trPr>
        <w:tc>
          <w:tcPr>
            <w:tcW w:w="1410" w:type="dxa"/>
            <w:tcBorders>
              <w:top w:val="single" w:sz="4" w:space="0" w:color="000000"/>
              <w:bottom w:val="single" w:sz="4" w:space="0" w:color="000000"/>
              <w:right w:val="single" w:sz="4" w:space="0" w:color="000000"/>
            </w:tcBorders>
          </w:tcPr>
          <w:p>
            <w:pPr>
              <w:pStyle w:val="TableParagraph"/>
              <w:spacing w:before="71"/>
              <w:ind w:left="234" w:right="221"/>
              <w:rPr>
                <w:sz w:val="18"/>
              </w:rPr>
            </w:pPr>
            <w:r>
              <w:rPr>
                <w:sz w:val="18"/>
              </w:rPr>
              <w:t>蠕虫状红土</w:t>
            </w:r>
          </w:p>
        </w:tc>
        <w:tc>
          <w:tcPr>
            <w:tcW w:w="7922" w:type="dxa"/>
            <w:tcBorders>
              <w:top w:val="single" w:sz="4" w:space="0" w:color="000000"/>
              <w:left w:val="single" w:sz="4" w:space="0" w:color="000000"/>
              <w:bottom w:val="single" w:sz="4" w:space="0" w:color="000000"/>
            </w:tcBorders>
          </w:tcPr>
          <w:p>
            <w:pPr>
              <w:pStyle w:val="TableParagraph"/>
              <w:spacing w:before="71"/>
              <w:ind w:left="70" w:right="52"/>
              <w:rPr>
                <w:sz w:val="18"/>
              </w:rPr>
            </w:pPr>
            <w:r>
              <w:rPr>
                <w:sz w:val="18"/>
              </w:rPr>
              <w:t>表面呈红色，疏散状，原矿含水率12％～15％，手搓后可成泥团。</w:t>
            </w:r>
          </w:p>
        </w:tc>
      </w:tr>
      <w:tr>
        <w:tblPrEx>
          <w:tblW w:w="0" w:type="auto"/>
          <w:jc w:val="left"/>
          <w:tblInd w:w="1195" w:type="dxa"/>
          <w:tblLayout w:type="fixed"/>
          <w:tblCellMar>
            <w:top w:w="0" w:type="dxa"/>
            <w:left w:w="0" w:type="dxa"/>
            <w:bottom w:w="0" w:type="dxa"/>
            <w:right w:w="0" w:type="dxa"/>
          </w:tblCellMar>
          <w:tblLook w:val="01E0"/>
        </w:tblPrEx>
        <w:trPr>
          <w:trHeight w:val="365"/>
          <w:jc w:val="left"/>
        </w:trPr>
        <w:tc>
          <w:tcPr>
            <w:tcW w:w="1410" w:type="dxa"/>
            <w:tcBorders>
              <w:top w:val="single" w:sz="4" w:space="0" w:color="000000"/>
              <w:bottom w:val="single" w:sz="12" w:space="0" w:color="000000"/>
              <w:right w:val="single" w:sz="4" w:space="0" w:color="000000"/>
            </w:tcBorders>
          </w:tcPr>
          <w:p>
            <w:pPr>
              <w:pStyle w:val="TableParagraph"/>
              <w:spacing w:before="71"/>
              <w:ind w:left="234" w:right="217"/>
              <w:rPr>
                <w:sz w:val="18"/>
              </w:rPr>
            </w:pPr>
            <w:r>
              <w:rPr>
                <w:sz w:val="18"/>
              </w:rPr>
              <w:t>枯土</w:t>
            </w:r>
          </w:p>
        </w:tc>
        <w:tc>
          <w:tcPr>
            <w:tcW w:w="7922" w:type="dxa"/>
            <w:tcBorders>
              <w:top w:val="single" w:sz="4" w:space="0" w:color="000000"/>
              <w:left w:val="single" w:sz="4" w:space="0" w:color="000000"/>
              <w:bottom w:val="single" w:sz="12" w:space="0" w:color="000000"/>
            </w:tcBorders>
          </w:tcPr>
          <w:p>
            <w:pPr>
              <w:pStyle w:val="TableParagraph"/>
              <w:spacing w:before="71"/>
              <w:ind w:left="71" w:right="52"/>
              <w:rPr>
                <w:sz w:val="18"/>
              </w:rPr>
            </w:pPr>
            <w:r>
              <w:rPr>
                <w:sz w:val="18"/>
              </w:rPr>
              <w:t>表面呈灰色或桃红色，原矿较疏散，含水率15％～18％，粘性好，手搓后有滑感，无外来杂质。</w:t>
            </w:r>
          </w:p>
        </w:tc>
      </w:tr>
    </w:tbl>
    <w:p>
      <w:pPr>
        <w:pStyle w:val="BodyText"/>
        <w:spacing w:before="3"/>
        <w:rPr>
          <w:rFonts w:ascii="黑体"/>
          <w:sz w:val="8"/>
        </w:rPr>
      </w:pPr>
    </w:p>
    <w:p>
      <w:pPr>
        <w:spacing w:before="70"/>
        <w:ind w:left="1176" w:right="0" w:firstLine="0"/>
        <w:jc w:val="left"/>
        <w:rPr>
          <w:rFonts w:ascii="黑体" w:eastAsia="黑体" w:hint="eastAsia"/>
          <w:sz w:val="21"/>
        </w:rPr>
      </w:pPr>
      <w:r>
        <w:drawing>
          <wp:inline distT="0" distB="0" distL="0" distR="0">
            <wp:extent cx="200647" cy="104139"/>
            <wp:effectExtent l="0" t="0" r="0" b="0"/>
            <wp:docPr id="2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7.png"/>
                    <pic:cNvPicPr/>
                  </pic:nvPicPr>
                  <pic:blipFill>
                    <a:blip xmlns:r="http://schemas.openxmlformats.org/officeDocument/2006/relationships" r:embed="rId21" cstate="print"/>
                    <a:stretch>
                      <a:fillRect/>
                    </a:stretch>
                  </pic:blipFill>
                  <pic:spPr>
                    <a:xfrm>
                      <a:off x="0" y="0"/>
                      <a:ext cx="200647" cy="104139"/>
                    </a:xfrm>
                    <a:prstGeom prst="rect">
                      <a:avLst/>
                    </a:prstGeom>
                  </pic:spPr>
                </pic:pic>
              </a:graphicData>
            </a:graphic>
          </wp:inline>
        </w:drawing>
      </w:r>
      <w:r>
        <w:rPr>
          <w:rFonts w:ascii="Times New Roman" w:eastAsia="Times New Roman"/>
          <w:position w:val="1"/>
          <w:sz w:val="20"/>
        </w:rPr>
        <w:t xml:space="preserve">   </w:t>
      </w:r>
      <w:r>
        <w:rPr>
          <w:rFonts w:ascii="Times New Roman" w:eastAsia="Times New Roman"/>
          <w:spacing w:val="8"/>
          <w:position w:val="1"/>
          <w:sz w:val="20"/>
        </w:rPr>
        <w:t xml:space="preserve"> </w:t>
      </w:r>
      <w:bookmarkStart w:id="10" w:name="6.3　 理化指标"/>
      <w:bookmarkEnd w:id="10"/>
      <w:r>
        <w:rPr>
          <w:rFonts w:ascii="黑体" w:eastAsia="黑体" w:hint="eastAsia"/>
          <w:spacing w:val="-2"/>
          <w:position w:val="1"/>
          <w:sz w:val="21"/>
        </w:rPr>
        <w:t>理化指标</w:t>
      </w:r>
    </w:p>
    <w:p>
      <w:pPr>
        <w:pStyle w:val="BodyText"/>
        <w:spacing w:before="1"/>
        <w:rPr>
          <w:rFonts w:ascii="黑体"/>
          <w:sz w:val="10"/>
        </w:rPr>
      </w:pPr>
    </w:p>
    <w:p>
      <w:pPr>
        <w:pStyle w:val="ListParagraph"/>
        <w:numPr>
          <w:ilvl w:val="2"/>
          <w:numId w:val="15"/>
        </w:numPr>
        <w:tabs>
          <w:tab w:val="left" w:pos="1913"/>
        </w:tabs>
        <w:spacing w:before="72" w:after="0" w:line="240" w:lineRule="auto"/>
        <w:ind w:left="1912" w:right="0" w:hanging="738"/>
        <w:jc w:val="left"/>
        <w:rPr>
          <w:rFonts w:ascii="黑体" w:eastAsia="黑体" w:hint="eastAsia"/>
          <w:sz w:val="21"/>
        </w:rPr>
      </w:pPr>
      <w:bookmarkStart w:id="11" w:name="6.3.1　 坯体"/>
      <w:bookmarkEnd w:id="11"/>
      <w:r>
        <w:rPr>
          <w:rFonts w:ascii="黑体" w:eastAsia="黑体" w:hint="eastAsia"/>
          <w:sz w:val="21"/>
        </w:rPr>
        <w:t>坯体</w:t>
      </w:r>
    </w:p>
    <w:p>
      <w:pPr>
        <w:pStyle w:val="BodyText"/>
        <w:spacing w:before="7"/>
        <w:rPr>
          <w:rFonts w:ascii="黑体"/>
          <w:sz w:val="15"/>
        </w:rPr>
      </w:pPr>
    </w:p>
    <w:p>
      <w:pPr>
        <w:pStyle w:val="BodyText"/>
        <w:ind w:left="1595"/>
      </w:pPr>
      <w:r>
        <w:t>坯体理化指标应符合表3的规定。</w:t>
      </w:r>
    </w:p>
    <w:p>
      <w:pPr>
        <w:pStyle w:val="BodyText"/>
        <w:spacing w:before="11"/>
        <w:rPr>
          <w:sz w:val="9"/>
        </w:rPr>
      </w:pPr>
    </w:p>
    <w:p>
      <w:pPr>
        <w:pStyle w:val="BodyText"/>
        <w:spacing w:before="73"/>
        <w:ind w:left="85"/>
        <w:jc w:val="center"/>
        <w:rPr>
          <w:rFonts w:ascii="黑体" w:eastAsia="黑体" w:hint="eastAsia"/>
        </w:rPr>
      </w:pPr>
      <w:r>
        <w:rPr>
          <w:rFonts w:ascii="黑体" w:eastAsia="黑体" w:hint="eastAsia"/>
        </w:rPr>
        <w:t>表3</w:t>
      </w:r>
    </w:p>
    <w:p>
      <w:pPr>
        <w:pStyle w:val="BodyText"/>
        <w:spacing w:before="10"/>
        <w:rPr>
          <w:rFonts w:ascii="黑体"/>
          <w:sz w:val="13"/>
        </w:rPr>
      </w:pPr>
    </w:p>
    <w:tbl>
      <w:tblPr>
        <w:tblStyle w:val="TableNormal2"/>
        <w:tblW w:w="0" w:type="auto"/>
        <w:jc w:val="left"/>
        <w:tblInd w:w="11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334"/>
        <w:gridCol w:w="1332"/>
        <w:gridCol w:w="1332"/>
        <w:gridCol w:w="1336"/>
        <w:gridCol w:w="1332"/>
        <w:gridCol w:w="1336"/>
        <w:gridCol w:w="1330"/>
      </w:tblGrid>
      <w:tr>
        <w:tblPrEx>
          <w:tblW w:w="0" w:type="auto"/>
          <w:jc w:val="left"/>
          <w:tblInd w:w="11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67"/>
          <w:jc w:val="left"/>
        </w:trPr>
        <w:tc>
          <w:tcPr>
            <w:tcW w:w="1334" w:type="dxa"/>
            <w:vMerge w:val="restart"/>
            <w:tcBorders>
              <w:bottom w:val="single" w:sz="4" w:space="0" w:color="000000"/>
              <w:right w:val="single" w:sz="4" w:space="0" w:color="000000"/>
            </w:tcBorders>
          </w:tcPr>
          <w:p>
            <w:pPr>
              <w:pStyle w:val="TableParagraph"/>
              <w:spacing w:before="3"/>
              <w:jc w:val="left"/>
              <w:rPr>
                <w:rFonts w:ascii="黑体"/>
                <w:sz w:val="20"/>
              </w:rPr>
            </w:pPr>
          </w:p>
          <w:p>
            <w:pPr>
              <w:pStyle w:val="TableParagraph"/>
              <w:ind w:left="466" w:right="453"/>
              <w:rPr>
                <w:sz w:val="18"/>
              </w:rPr>
            </w:pPr>
            <w:r>
              <w:rPr>
                <w:sz w:val="18"/>
              </w:rPr>
              <w:t>项目</w:t>
            </w:r>
          </w:p>
        </w:tc>
        <w:tc>
          <w:tcPr>
            <w:tcW w:w="7998" w:type="dxa"/>
            <w:gridSpan w:val="6"/>
            <w:tcBorders>
              <w:left w:val="single" w:sz="4" w:space="0" w:color="000000"/>
            </w:tcBorders>
          </w:tcPr>
          <w:p>
            <w:pPr>
              <w:pStyle w:val="TableParagraph"/>
              <w:spacing w:before="68"/>
              <w:ind w:left="3666" w:right="3647"/>
              <w:rPr>
                <w:sz w:val="18"/>
              </w:rPr>
            </w:pPr>
            <w:r>
              <w:rPr>
                <w:sz w:val="18"/>
              </w:rPr>
              <w:t>指标/％</w:t>
            </w:r>
          </w:p>
        </w:tc>
      </w:tr>
      <w:tr>
        <w:tblPrEx>
          <w:tblW w:w="0" w:type="auto"/>
          <w:jc w:val="left"/>
          <w:tblInd w:w="1195" w:type="dxa"/>
          <w:tblLayout w:type="fixed"/>
          <w:tblCellMar>
            <w:top w:w="0" w:type="dxa"/>
            <w:left w:w="0" w:type="dxa"/>
            <w:bottom w:w="0" w:type="dxa"/>
            <w:right w:w="0" w:type="dxa"/>
          </w:tblCellMar>
          <w:tblLook w:val="01E0"/>
        </w:tblPrEx>
        <w:trPr>
          <w:trHeight w:val="366"/>
          <w:jc w:val="left"/>
        </w:trPr>
        <w:tc>
          <w:tcPr>
            <w:tcW w:w="1334" w:type="dxa"/>
            <w:vMerge/>
            <w:tcBorders>
              <w:top w:val="nil"/>
              <w:bottom w:val="single" w:sz="4" w:space="0" w:color="000000"/>
              <w:right w:val="single" w:sz="4" w:space="0" w:color="000000"/>
            </w:tcBorders>
          </w:tcPr>
          <w:p>
            <w:pPr>
              <w:rPr>
                <w:sz w:val="2"/>
                <w:szCs w:val="2"/>
              </w:rPr>
            </w:pPr>
          </w:p>
        </w:tc>
        <w:tc>
          <w:tcPr>
            <w:tcW w:w="1332" w:type="dxa"/>
            <w:tcBorders>
              <w:left w:val="single" w:sz="4" w:space="0" w:color="000000"/>
              <w:bottom w:val="single" w:sz="4" w:space="0" w:color="000000"/>
              <w:right w:val="single" w:sz="4" w:space="0" w:color="000000"/>
            </w:tcBorders>
          </w:tcPr>
          <w:p>
            <w:pPr>
              <w:pStyle w:val="TableParagraph"/>
              <w:spacing w:before="68"/>
              <w:ind w:left="22" w:right="1"/>
              <w:rPr>
                <w:rFonts w:ascii="Cambria Math" w:hAnsi="Cambria Math"/>
                <w:sz w:val="18"/>
              </w:rPr>
            </w:pPr>
            <w:r>
              <w:rPr>
                <w:sz w:val="18"/>
              </w:rPr>
              <w:t>S</w:t>
            </w:r>
            <w:r>
              <w:rPr>
                <w:rFonts w:ascii="Times New Roman" w:hAnsi="Times New Roman"/>
                <w:sz w:val="18"/>
              </w:rPr>
              <w:t>і</w:t>
            </w:r>
            <w:r>
              <w:rPr>
                <w:sz w:val="18"/>
              </w:rPr>
              <w:t>O</w:t>
            </w:r>
            <w:r>
              <w:rPr>
                <w:rFonts w:ascii="Cambria Math" w:hAnsi="Cambria Math"/>
                <w:sz w:val="18"/>
              </w:rPr>
              <w:t>₂</w:t>
            </w:r>
          </w:p>
        </w:tc>
        <w:tc>
          <w:tcPr>
            <w:tcW w:w="1332" w:type="dxa"/>
            <w:tcBorders>
              <w:left w:val="single" w:sz="4" w:space="0" w:color="000000"/>
              <w:bottom w:val="single" w:sz="4" w:space="0" w:color="000000"/>
              <w:right w:val="single" w:sz="4" w:space="0" w:color="000000"/>
            </w:tcBorders>
          </w:tcPr>
          <w:p>
            <w:pPr>
              <w:pStyle w:val="TableParagraph"/>
              <w:spacing w:before="68"/>
              <w:ind w:left="461"/>
              <w:jc w:val="left"/>
              <w:rPr>
                <w:rFonts w:ascii="Cambria Math" w:hAnsi="Cambria Math"/>
                <w:sz w:val="18"/>
              </w:rPr>
            </w:pPr>
            <w:r>
              <w:rPr>
                <w:sz w:val="18"/>
              </w:rPr>
              <w:t>Al</w:t>
            </w:r>
            <w:r>
              <w:rPr>
                <w:rFonts w:ascii="Cambria Math" w:hAnsi="Cambria Math"/>
                <w:sz w:val="18"/>
              </w:rPr>
              <w:t>₂</w:t>
            </w:r>
            <w:r>
              <w:rPr>
                <w:sz w:val="18"/>
              </w:rPr>
              <w:t>O</w:t>
            </w:r>
            <w:r>
              <w:rPr>
                <w:rFonts w:ascii="Cambria Math" w:hAnsi="Cambria Math"/>
                <w:sz w:val="18"/>
              </w:rPr>
              <w:t>₃</w:t>
            </w:r>
          </w:p>
        </w:tc>
        <w:tc>
          <w:tcPr>
            <w:tcW w:w="1336" w:type="dxa"/>
            <w:tcBorders>
              <w:left w:val="single" w:sz="4" w:space="0" w:color="000000"/>
              <w:bottom w:val="single" w:sz="4" w:space="0" w:color="000000"/>
              <w:right w:val="single" w:sz="4" w:space="0" w:color="000000"/>
            </w:tcBorders>
          </w:tcPr>
          <w:p>
            <w:pPr>
              <w:pStyle w:val="TableParagraph"/>
              <w:spacing w:before="68"/>
              <w:ind w:left="70" w:right="45"/>
              <w:rPr>
                <w:rFonts w:ascii="Cambria Math" w:hAnsi="Cambria Math"/>
                <w:sz w:val="18"/>
              </w:rPr>
            </w:pPr>
            <w:r>
              <w:rPr>
                <w:sz w:val="18"/>
              </w:rPr>
              <w:t>Fe</w:t>
            </w:r>
            <w:r>
              <w:rPr>
                <w:rFonts w:ascii="Cambria Math" w:hAnsi="Cambria Math"/>
                <w:sz w:val="18"/>
              </w:rPr>
              <w:t>₂</w:t>
            </w:r>
            <w:r>
              <w:rPr>
                <w:sz w:val="18"/>
              </w:rPr>
              <w:t>O</w:t>
            </w:r>
            <w:r>
              <w:rPr>
                <w:rFonts w:ascii="Cambria Math" w:hAnsi="Cambria Math"/>
                <w:sz w:val="18"/>
              </w:rPr>
              <w:t>₃</w:t>
            </w:r>
            <w:r>
              <w:rPr>
                <w:sz w:val="18"/>
              </w:rPr>
              <w:t>+T</w:t>
            </w:r>
            <w:r>
              <w:rPr>
                <w:rFonts w:ascii="Times New Roman" w:hAnsi="Times New Roman"/>
                <w:sz w:val="18"/>
              </w:rPr>
              <w:t>і</w:t>
            </w:r>
            <w:r>
              <w:rPr>
                <w:sz w:val="18"/>
              </w:rPr>
              <w:t>O</w:t>
            </w:r>
            <w:r>
              <w:rPr>
                <w:rFonts w:ascii="Cambria Math" w:hAnsi="Cambria Math"/>
                <w:sz w:val="18"/>
              </w:rPr>
              <w:t>₂</w:t>
            </w:r>
          </w:p>
        </w:tc>
        <w:tc>
          <w:tcPr>
            <w:tcW w:w="1332" w:type="dxa"/>
            <w:tcBorders>
              <w:left w:val="single" w:sz="4" w:space="0" w:color="000000"/>
              <w:bottom w:val="single" w:sz="4" w:space="0" w:color="000000"/>
              <w:right w:val="single" w:sz="4" w:space="0" w:color="000000"/>
            </w:tcBorders>
          </w:tcPr>
          <w:p>
            <w:pPr>
              <w:pStyle w:val="TableParagraph"/>
              <w:spacing w:before="68"/>
              <w:ind w:left="20" w:right="1"/>
              <w:rPr>
                <w:sz w:val="18"/>
              </w:rPr>
            </w:pPr>
            <w:r>
              <w:rPr>
                <w:sz w:val="18"/>
              </w:rPr>
              <w:t>CaO+Mg0</w:t>
            </w:r>
          </w:p>
        </w:tc>
        <w:tc>
          <w:tcPr>
            <w:tcW w:w="1336" w:type="dxa"/>
            <w:tcBorders>
              <w:left w:val="single" w:sz="4" w:space="0" w:color="000000"/>
              <w:bottom w:val="single" w:sz="4" w:space="0" w:color="000000"/>
              <w:right w:val="single" w:sz="4" w:space="0" w:color="000000"/>
            </w:tcBorders>
          </w:tcPr>
          <w:p>
            <w:pPr>
              <w:pStyle w:val="TableParagraph"/>
              <w:spacing w:before="68"/>
              <w:ind w:left="67" w:right="45"/>
              <w:rPr>
                <w:sz w:val="18"/>
              </w:rPr>
            </w:pPr>
            <w:r>
              <w:rPr>
                <w:sz w:val="18"/>
              </w:rPr>
              <w:t>K</w:t>
            </w:r>
            <w:r>
              <w:rPr>
                <w:rFonts w:ascii="Cambria Math" w:hAnsi="Cambria Math"/>
                <w:sz w:val="18"/>
              </w:rPr>
              <w:t>₂</w:t>
            </w:r>
            <w:r>
              <w:rPr>
                <w:sz w:val="18"/>
              </w:rPr>
              <w:t>O+Na</w:t>
            </w:r>
            <w:r>
              <w:rPr>
                <w:rFonts w:ascii="Cambria Math" w:hAnsi="Cambria Math"/>
                <w:sz w:val="18"/>
              </w:rPr>
              <w:t>₂</w:t>
            </w:r>
            <w:r>
              <w:rPr>
                <w:sz w:val="18"/>
              </w:rPr>
              <w:t>O</w:t>
            </w:r>
          </w:p>
        </w:tc>
        <w:tc>
          <w:tcPr>
            <w:tcW w:w="1330" w:type="dxa"/>
            <w:tcBorders>
              <w:left w:val="single" w:sz="4" w:space="0" w:color="000000"/>
              <w:bottom w:val="single" w:sz="4" w:space="0" w:color="000000"/>
            </w:tcBorders>
          </w:tcPr>
          <w:p>
            <w:pPr>
              <w:pStyle w:val="TableParagraph"/>
              <w:spacing w:before="68"/>
              <w:ind w:left="26"/>
              <w:rPr>
                <w:sz w:val="18"/>
              </w:rPr>
            </w:pPr>
            <w:r>
              <w:rPr>
                <w:sz w:val="18"/>
              </w:rPr>
              <w:t>I.L</w:t>
            </w:r>
          </w:p>
        </w:tc>
      </w:tr>
      <w:tr>
        <w:tblPrEx>
          <w:tblW w:w="0" w:type="auto"/>
          <w:jc w:val="left"/>
          <w:tblInd w:w="1195" w:type="dxa"/>
          <w:tblLayout w:type="fixed"/>
          <w:tblCellMar>
            <w:top w:w="0" w:type="dxa"/>
            <w:left w:w="0" w:type="dxa"/>
            <w:bottom w:w="0" w:type="dxa"/>
            <w:right w:w="0" w:type="dxa"/>
          </w:tblCellMar>
          <w:tblLook w:val="01E0"/>
        </w:tblPrEx>
        <w:trPr>
          <w:trHeight w:val="371"/>
          <w:jc w:val="left"/>
        </w:trPr>
        <w:tc>
          <w:tcPr>
            <w:tcW w:w="1334" w:type="dxa"/>
            <w:tcBorders>
              <w:top w:val="single" w:sz="4" w:space="0" w:color="000000"/>
              <w:right w:val="single" w:sz="4" w:space="0" w:color="000000"/>
            </w:tcBorders>
          </w:tcPr>
          <w:p>
            <w:pPr>
              <w:pStyle w:val="TableParagraph"/>
              <w:spacing w:before="71"/>
              <w:ind w:left="466" w:right="453"/>
              <w:rPr>
                <w:sz w:val="18"/>
              </w:rPr>
            </w:pPr>
            <w:r>
              <w:rPr>
                <w:sz w:val="18"/>
              </w:rPr>
              <w:t>坯料</w:t>
            </w:r>
          </w:p>
        </w:tc>
        <w:tc>
          <w:tcPr>
            <w:tcW w:w="1332" w:type="dxa"/>
            <w:tcBorders>
              <w:top w:val="single" w:sz="4" w:space="0" w:color="000000"/>
              <w:left w:val="single" w:sz="4" w:space="0" w:color="000000"/>
              <w:right w:val="single" w:sz="4" w:space="0" w:color="000000"/>
            </w:tcBorders>
          </w:tcPr>
          <w:p>
            <w:pPr>
              <w:pStyle w:val="TableParagraph"/>
              <w:spacing w:before="71"/>
              <w:ind w:left="20" w:right="1"/>
              <w:rPr>
                <w:sz w:val="18"/>
              </w:rPr>
            </w:pPr>
            <w:r>
              <w:rPr>
                <w:sz w:val="18"/>
              </w:rPr>
              <w:t>68～70</w:t>
            </w:r>
          </w:p>
        </w:tc>
        <w:tc>
          <w:tcPr>
            <w:tcW w:w="1332" w:type="dxa"/>
            <w:tcBorders>
              <w:top w:val="single" w:sz="4" w:space="0" w:color="000000"/>
              <w:left w:val="single" w:sz="4" w:space="0" w:color="000000"/>
              <w:right w:val="single" w:sz="4" w:space="0" w:color="000000"/>
            </w:tcBorders>
          </w:tcPr>
          <w:p>
            <w:pPr>
              <w:pStyle w:val="TableParagraph"/>
              <w:spacing w:before="71"/>
              <w:ind w:left="400"/>
              <w:jc w:val="left"/>
              <w:rPr>
                <w:sz w:val="18"/>
              </w:rPr>
            </w:pPr>
            <w:r>
              <w:rPr>
                <w:sz w:val="18"/>
              </w:rPr>
              <w:t>18～20</w:t>
            </w:r>
          </w:p>
        </w:tc>
        <w:tc>
          <w:tcPr>
            <w:tcW w:w="1336" w:type="dxa"/>
            <w:tcBorders>
              <w:top w:val="single" w:sz="4" w:space="0" w:color="000000"/>
              <w:left w:val="single" w:sz="4" w:space="0" w:color="000000"/>
              <w:right w:val="single" w:sz="4" w:space="0" w:color="000000"/>
            </w:tcBorders>
          </w:tcPr>
          <w:p>
            <w:pPr>
              <w:pStyle w:val="TableParagraph"/>
              <w:spacing w:before="71"/>
              <w:ind w:left="66" w:right="45"/>
              <w:rPr>
                <w:sz w:val="18"/>
              </w:rPr>
            </w:pPr>
            <w:r>
              <w:rPr>
                <w:sz w:val="18"/>
              </w:rPr>
              <w:t>2～7</w:t>
            </w:r>
          </w:p>
        </w:tc>
        <w:tc>
          <w:tcPr>
            <w:tcW w:w="1332" w:type="dxa"/>
            <w:tcBorders>
              <w:top w:val="single" w:sz="4" w:space="0" w:color="000000"/>
              <w:left w:val="single" w:sz="4" w:space="0" w:color="000000"/>
              <w:right w:val="single" w:sz="4" w:space="0" w:color="000000"/>
            </w:tcBorders>
          </w:tcPr>
          <w:p>
            <w:pPr>
              <w:pStyle w:val="TableParagraph"/>
              <w:spacing w:before="71"/>
              <w:ind w:left="14" w:right="1"/>
              <w:rPr>
                <w:sz w:val="18"/>
              </w:rPr>
            </w:pPr>
            <w:r>
              <w:rPr>
                <w:sz w:val="18"/>
              </w:rPr>
              <w:t>≥2</w:t>
            </w:r>
          </w:p>
        </w:tc>
        <w:tc>
          <w:tcPr>
            <w:tcW w:w="1336" w:type="dxa"/>
            <w:tcBorders>
              <w:top w:val="single" w:sz="4" w:space="0" w:color="000000"/>
              <w:left w:val="single" w:sz="4" w:space="0" w:color="000000"/>
              <w:right w:val="single" w:sz="4" w:space="0" w:color="000000"/>
            </w:tcBorders>
          </w:tcPr>
          <w:p>
            <w:pPr>
              <w:pStyle w:val="TableParagraph"/>
              <w:spacing w:before="71"/>
              <w:ind w:left="71" w:right="44"/>
              <w:rPr>
                <w:sz w:val="18"/>
              </w:rPr>
            </w:pPr>
            <w:r>
              <w:rPr>
                <w:sz w:val="18"/>
              </w:rPr>
              <w:t>≥3.5</w:t>
            </w:r>
          </w:p>
        </w:tc>
        <w:tc>
          <w:tcPr>
            <w:tcW w:w="1330" w:type="dxa"/>
            <w:tcBorders>
              <w:top w:val="single" w:sz="4" w:space="0" w:color="000000"/>
              <w:left w:val="single" w:sz="4" w:space="0" w:color="000000"/>
            </w:tcBorders>
          </w:tcPr>
          <w:p>
            <w:pPr>
              <w:pStyle w:val="TableParagraph"/>
              <w:spacing w:before="71"/>
              <w:ind w:left="24"/>
              <w:rPr>
                <w:sz w:val="18"/>
              </w:rPr>
            </w:pPr>
            <w:r>
              <w:rPr>
                <w:sz w:val="18"/>
              </w:rPr>
              <w:t>5～8</w:t>
            </w:r>
          </w:p>
        </w:tc>
      </w:tr>
    </w:tbl>
    <w:p>
      <w:pPr>
        <w:pStyle w:val="BodyText"/>
        <w:spacing w:before="3"/>
        <w:rPr>
          <w:rFonts w:ascii="黑体"/>
          <w:sz w:val="8"/>
        </w:rPr>
      </w:pPr>
    </w:p>
    <w:p>
      <w:pPr>
        <w:pStyle w:val="ListParagraph"/>
        <w:numPr>
          <w:ilvl w:val="2"/>
          <w:numId w:val="15"/>
        </w:numPr>
        <w:tabs>
          <w:tab w:val="left" w:pos="1913"/>
        </w:tabs>
        <w:spacing w:before="72" w:after="0" w:line="240" w:lineRule="auto"/>
        <w:ind w:left="1912" w:right="0" w:hanging="737"/>
        <w:jc w:val="left"/>
        <w:rPr>
          <w:rFonts w:ascii="黑体" w:eastAsia="黑体" w:hint="eastAsia"/>
          <w:sz w:val="21"/>
        </w:rPr>
      </w:pPr>
      <w:bookmarkStart w:id="12" w:name="6.3.2　 釉料"/>
      <w:bookmarkEnd w:id="12"/>
      <w:r>
        <w:rPr>
          <w:rFonts w:ascii="黑体" w:eastAsia="黑体" w:hint="eastAsia"/>
          <w:sz w:val="21"/>
        </w:rPr>
        <w:t>釉料</w:t>
      </w:r>
    </w:p>
    <w:p>
      <w:pPr>
        <w:pStyle w:val="BodyText"/>
        <w:spacing w:before="7"/>
        <w:rPr>
          <w:rFonts w:ascii="黑体"/>
          <w:sz w:val="15"/>
        </w:rPr>
      </w:pPr>
    </w:p>
    <w:p>
      <w:pPr>
        <w:pStyle w:val="BodyText"/>
        <w:ind w:left="1595"/>
      </w:pPr>
      <w:r>
        <w:pict>
          <v:group id="_x0000_s1049" style="width:457.3pt;height:356.2pt;margin-top:24.8pt;margin-left:70.8pt;mso-position-horizontal-relative:page;position:absolute;z-index:-251640832" coordorigin="1416,496" coordsize="9146,7124">
            <v:shape id="_x0000_s1050" type="#_x0000_t202" style="width:338;height:212;left:5827;position:absolute;top:495" filled="f" stroked="f">
              <v:textbox inset="0,0,0,0">
                <w:txbxContent>
                  <w:p>
                    <w:pPr>
                      <w:spacing w:before="0" w:line="212" w:lineRule="exact"/>
                      <w:ind w:left="0" w:right="0" w:firstLine="0"/>
                      <w:jc w:val="left"/>
                      <w:rPr>
                        <w:rFonts w:ascii="黑体" w:eastAsia="黑体" w:hint="eastAsia"/>
                        <w:sz w:val="21"/>
                      </w:rPr>
                    </w:pPr>
                    <w:r>
                      <w:rPr>
                        <w:rFonts w:ascii="黑体" w:eastAsia="黑体" w:hint="eastAsia"/>
                        <w:sz w:val="21"/>
                      </w:rPr>
                      <w:t>表4</w:t>
                    </w:r>
                  </w:p>
                </w:txbxContent>
              </v:textbox>
            </v:shape>
            <v:shape id="_x0000_s1051" type="#_x0000_t202" style="width:1180;height:212;left:1416;position:absolute;top:2451" filled="f" stroked="f">
              <v:textbox inset="0,0,0,0">
                <w:txbxContent>
                  <w:p>
                    <w:pPr>
                      <w:spacing w:before="0" w:line="212" w:lineRule="exact"/>
                      <w:ind w:left="0" w:right="0" w:firstLine="0"/>
                      <w:jc w:val="left"/>
                      <w:rPr>
                        <w:rFonts w:ascii="黑体" w:eastAsia="黑体" w:hint="eastAsia"/>
                        <w:sz w:val="21"/>
                      </w:rPr>
                    </w:pPr>
                    <w:bookmarkStart w:id="13" w:name="7　 加工工艺"/>
                    <w:bookmarkEnd w:id="13"/>
                    <w:r>
                      <w:rPr>
                        <w:rFonts w:ascii="黑体" w:eastAsia="黑体" w:hint="eastAsia"/>
                        <w:sz w:val="21"/>
                      </w:rPr>
                      <w:t>7 加工工艺</w:t>
                    </w:r>
                  </w:p>
                </w:txbxContent>
              </v:textbox>
            </v:shape>
            <v:shape id="_x0000_s1052" type="#_x0000_t202" style="width:3069;height:1149;left:1416;position:absolute;top:3075" filled="f" stroked="f">
              <v:textbox inset="0,0,0,0">
                <w:txbxContent>
                  <w:p>
                    <w:pPr>
                      <w:spacing w:before="0" w:line="241" w:lineRule="exact"/>
                      <w:ind w:left="524" w:right="0" w:firstLine="0"/>
                      <w:jc w:val="left"/>
                      <w:rPr>
                        <w:rFonts w:ascii="黑体" w:eastAsia="黑体" w:hint="eastAsia"/>
                        <w:sz w:val="21"/>
                      </w:rPr>
                    </w:pPr>
                    <w:bookmarkStart w:id="14" w:name="7.1　 工艺流程"/>
                    <w:bookmarkEnd w:id="14"/>
                    <w:r>
                      <w:rPr>
                        <w:rFonts w:ascii="黑体" w:eastAsia="黑体" w:hint="eastAsia"/>
                        <w:spacing w:val="-2"/>
                        <w:sz w:val="21"/>
                      </w:rPr>
                      <w:t>工艺流程</w:t>
                    </w:r>
                  </w:p>
                  <w:p>
                    <w:pPr>
                      <w:spacing w:before="6" w:line="240" w:lineRule="auto"/>
                      <w:rPr>
                        <w:rFonts w:ascii="黑体"/>
                        <w:sz w:val="15"/>
                      </w:rPr>
                    </w:pPr>
                  </w:p>
                  <w:p>
                    <w:pPr>
                      <w:spacing w:before="1"/>
                      <w:ind w:left="0" w:right="0" w:firstLine="0"/>
                      <w:jc w:val="left"/>
                      <w:rPr>
                        <w:rFonts w:ascii="黑体" w:eastAsia="黑体" w:hint="eastAsia"/>
                        <w:sz w:val="21"/>
                      </w:rPr>
                    </w:pPr>
                    <w:bookmarkStart w:id="15" w:name="7.1.1　 釉下彩"/>
                    <w:bookmarkEnd w:id="15"/>
                    <w:r>
                      <w:rPr>
                        <w:rFonts w:ascii="黑体" w:eastAsia="黑体" w:hint="eastAsia"/>
                        <w:sz w:val="21"/>
                      </w:rPr>
                      <w:t>7.1.1  釉下彩</w:t>
                    </w:r>
                  </w:p>
                  <w:p>
                    <w:pPr>
                      <w:spacing w:before="6" w:line="240" w:lineRule="auto"/>
                      <w:rPr>
                        <w:rFonts w:ascii="黑体"/>
                        <w:sz w:val="15"/>
                      </w:rPr>
                    </w:pPr>
                  </w:p>
                  <w:p>
                    <w:pPr>
                      <w:spacing w:before="0" w:line="240" w:lineRule="exact"/>
                      <w:ind w:left="419" w:right="0" w:firstLine="0"/>
                      <w:jc w:val="left"/>
                      <w:rPr>
                        <w:sz w:val="21"/>
                      </w:rPr>
                    </w:pPr>
                    <w:r>
                      <w:rPr>
                        <w:sz w:val="21"/>
                      </w:rPr>
                      <w:t>釉下彩加工工艺流程见图1。</w:t>
                    </w:r>
                  </w:p>
                </w:txbxContent>
              </v:textbox>
            </v:shape>
            <v:shape id="_x0000_s1053" type="#_x0000_t202" style="width:2441;height:212;left:4884;position:absolute;top:6975" filled="f" stroked="f">
              <v:textbox inset="0,0,0,0">
                <w:txbxContent>
                  <w:p>
                    <w:pPr>
                      <w:spacing w:before="0" w:line="212" w:lineRule="exact"/>
                      <w:ind w:left="0" w:right="0" w:firstLine="0"/>
                      <w:jc w:val="left"/>
                      <w:rPr>
                        <w:rFonts w:ascii="黑体" w:eastAsia="黑体" w:hint="eastAsia"/>
                        <w:sz w:val="21"/>
                      </w:rPr>
                    </w:pPr>
                    <w:r>
                      <w:rPr>
                        <w:rFonts w:ascii="黑体" w:eastAsia="黑体" w:hint="eastAsia"/>
                        <w:sz w:val="21"/>
                      </w:rPr>
                      <w:t>图1 釉下彩加工工艺流程</w:t>
                    </w:r>
                  </w:p>
                </w:txbxContent>
              </v:textbox>
            </v:shape>
            <v:shape id="_x0000_s1054" type="#_x0000_t202" style="width:110;height:180;left:10452;position:absolute;top:7439" filled="f" stroked="f">
              <v:textbox inset="0,0,0,0">
                <w:txbxContent>
                  <w:p>
                    <w:pPr>
                      <w:spacing w:before="0" w:line="180" w:lineRule="exact"/>
                      <w:ind w:left="0" w:right="0" w:firstLine="0"/>
                      <w:jc w:val="left"/>
                      <w:rPr>
                        <w:sz w:val="18"/>
                      </w:rPr>
                    </w:pPr>
                    <w:r>
                      <w:rPr>
                        <w:sz w:val="18"/>
                      </w:rPr>
                      <w:t>3</w:t>
                    </w:r>
                  </w:p>
                </w:txbxContent>
              </v:textbox>
            </v:shape>
          </v:group>
        </w:pict>
      </w:r>
      <w:r>
        <w:pict>
          <v:group id="_x0000_s1055" style="width:560pt;height:384pt;margin-top:9.9pt;margin-left:17pt;mso-position-horizontal-relative:page;position:absolute;z-index:251674624" coordorigin="340,198" coordsize="11200,7680">
            <v:shape id="_x0000_s1056" type="#_x0000_t75" style="width:9242;height:1564;left:1455;position:absolute;top:4824" stroked="f">
              <v:imagedata r:id="rId22" o:title=""/>
            </v:shape>
            <v:shape id="_x0000_s1057" type="#_x0000_t75" style="width:11200;height:7680;left:340;position:absolute;top:197" stroked="f">
              <v:imagedata r:id="rId5" o:title=""/>
            </v:shape>
          </v:group>
        </w:pict>
      </w:r>
      <w:r>
        <w:t>釉料理化指标应符合表4的规定。</w:t>
      </w:r>
    </w:p>
    <w:p>
      <w:pPr>
        <w:pStyle w:val="BodyText"/>
        <w:rPr>
          <w:sz w:val="20"/>
        </w:rPr>
      </w:pPr>
    </w:p>
    <w:p>
      <w:pPr>
        <w:pStyle w:val="BodyText"/>
        <w:rPr>
          <w:sz w:val="20"/>
        </w:rPr>
      </w:pPr>
    </w:p>
    <w:p>
      <w:pPr>
        <w:pStyle w:val="BodyText"/>
        <w:spacing w:before="4"/>
        <w:rPr>
          <w:sz w:val="10"/>
        </w:rPr>
      </w:pPr>
    </w:p>
    <w:tbl>
      <w:tblPr>
        <w:tblStyle w:val="TableNormal2"/>
        <w:tblW w:w="0" w:type="auto"/>
        <w:jc w:val="left"/>
        <w:tblInd w:w="11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166"/>
        <w:gridCol w:w="1168"/>
        <w:gridCol w:w="1164"/>
        <w:gridCol w:w="1168"/>
        <w:gridCol w:w="1168"/>
        <w:gridCol w:w="1168"/>
        <w:gridCol w:w="1164"/>
        <w:gridCol w:w="1166"/>
      </w:tblGrid>
      <w:tr>
        <w:tblPrEx>
          <w:tblW w:w="0" w:type="auto"/>
          <w:jc w:val="left"/>
          <w:tblInd w:w="11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67"/>
          <w:jc w:val="left"/>
        </w:trPr>
        <w:tc>
          <w:tcPr>
            <w:tcW w:w="1166" w:type="dxa"/>
            <w:vMerge w:val="restart"/>
            <w:tcBorders>
              <w:bottom w:val="single" w:sz="4" w:space="0" w:color="000000"/>
              <w:right w:val="single" w:sz="4" w:space="0" w:color="000000"/>
            </w:tcBorders>
          </w:tcPr>
          <w:p>
            <w:pPr>
              <w:pStyle w:val="TableParagraph"/>
              <w:spacing w:before="7"/>
              <w:jc w:val="left"/>
              <w:rPr>
                <w:sz w:val="20"/>
              </w:rPr>
            </w:pPr>
          </w:p>
          <w:p>
            <w:pPr>
              <w:pStyle w:val="TableParagraph"/>
              <w:ind w:left="382" w:right="361"/>
              <w:rPr>
                <w:sz w:val="18"/>
              </w:rPr>
            </w:pPr>
            <w:r>
              <w:rPr>
                <w:sz w:val="18"/>
              </w:rPr>
              <w:t>项目</w:t>
            </w:r>
          </w:p>
        </w:tc>
        <w:tc>
          <w:tcPr>
            <w:tcW w:w="8166" w:type="dxa"/>
            <w:gridSpan w:val="7"/>
            <w:tcBorders>
              <w:left w:val="single" w:sz="4" w:space="0" w:color="000000"/>
            </w:tcBorders>
          </w:tcPr>
          <w:p>
            <w:pPr>
              <w:pStyle w:val="TableParagraph"/>
              <w:spacing w:before="68"/>
              <w:ind w:left="3754" w:right="3727"/>
              <w:rPr>
                <w:sz w:val="18"/>
              </w:rPr>
            </w:pPr>
            <w:r>
              <w:rPr>
                <w:sz w:val="18"/>
              </w:rPr>
              <w:t>指标/％</w:t>
            </w:r>
          </w:p>
        </w:tc>
      </w:tr>
      <w:tr>
        <w:tblPrEx>
          <w:tblW w:w="0" w:type="auto"/>
          <w:jc w:val="left"/>
          <w:tblInd w:w="1195" w:type="dxa"/>
          <w:tblLayout w:type="fixed"/>
          <w:tblCellMar>
            <w:top w:w="0" w:type="dxa"/>
            <w:left w:w="0" w:type="dxa"/>
            <w:bottom w:w="0" w:type="dxa"/>
            <w:right w:w="0" w:type="dxa"/>
          </w:tblCellMar>
          <w:tblLook w:val="01E0"/>
        </w:tblPrEx>
        <w:trPr>
          <w:trHeight w:val="366"/>
          <w:jc w:val="left"/>
        </w:trPr>
        <w:tc>
          <w:tcPr>
            <w:tcW w:w="1166" w:type="dxa"/>
            <w:vMerge/>
            <w:tcBorders>
              <w:top w:val="nil"/>
              <w:bottom w:val="single" w:sz="4" w:space="0" w:color="000000"/>
              <w:right w:val="single" w:sz="4" w:space="0" w:color="000000"/>
            </w:tcBorders>
          </w:tcPr>
          <w:p>
            <w:pPr>
              <w:rPr>
                <w:sz w:val="2"/>
                <w:szCs w:val="2"/>
              </w:rPr>
            </w:pPr>
          </w:p>
        </w:tc>
        <w:tc>
          <w:tcPr>
            <w:tcW w:w="1168" w:type="dxa"/>
            <w:tcBorders>
              <w:left w:val="single" w:sz="4" w:space="0" w:color="000000"/>
              <w:bottom w:val="single" w:sz="4" w:space="0" w:color="000000"/>
              <w:right w:val="single" w:sz="4" w:space="0" w:color="000000"/>
            </w:tcBorders>
          </w:tcPr>
          <w:p>
            <w:pPr>
              <w:pStyle w:val="TableParagraph"/>
              <w:spacing w:before="68"/>
              <w:ind w:left="166" w:right="141"/>
              <w:rPr>
                <w:rFonts w:ascii="Cambria Math" w:hAnsi="Cambria Math"/>
                <w:sz w:val="18"/>
              </w:rPr>
            </w:pPr>
            <w:r>
              <w:rPr>
                <w:sz w:val="18"/>
              </w:rPr>
              <w:t>S</w:t>
            </w:r>
            <w:r>
              <w:rPr>
                <w:rFonts w:ascii="Times New Roman" w:hAnsi="Times New Roman"/>
                <w:sz w:val="18"/>
              </w:rPr>
              <w:t>і</w:t>
            </w:r>
            <w:r>
              <w:rPr>
                <w:sz w:val="18"/>
              </w:rPr>
              <w:t>O</w:t>
            </w:r>
            <w:r>
              <w:rPr>
                <w:rFonts w:ascii="Cambria Math" w:hAnsi="Cambria Math"/>
                <w:sz w:val="18"/>
              </w:rPr>
              <w:t>₂</w:t>
            </w:r>
          </w:p>
        </w:tc>
        <w:tc>
          <w:tcPr>
            <w:tcW w:w="1164" w:type="dxa"/>
            <w:tcBorders>
              <w:left w:val="single" w:sz="4" w:space="0" w:color="000000"/>
              <w:bottom w:val="single" w:sz="4" w:space="0" w:color="000000"/>
              <w:right w:val="single" w:sz="4" w:space="0" w:color="000000"/>
            </w:tcBorders>
          </w:tcPr>
          <w:p>
            <w:pPr>
              <w:pStyle w:val="TableParagraph"/>
              <w:spacing w:before="68"/>
              <w:ind w:left="377"/>
              <w:jc w:val="left"/>
              <w:rPr>
                <w:rFonts w:ascii="Cambria Math" w:hAnsi="Cambria Math"/>
                <w:sz w:val="18"/>
              </w:rPr>
            </w:pPr>
            <w:r>
              <w:rPr>
                <w:sz w:val="18"/>
              </w:rPr>
              <w:t>Al</w:t>
            </w:r>
            <w:r>
              <w:rPr>
                <w:rFonts w:ascii="Cambria Math" w:hAnsi="Cambria Math"/>
                <w:sz w:val="18"/>
              </w:rPr>
              <w:t>₂</w:t>
            </w:r>
            <w:r>
              <w:rPr>
                <w:sz w:val="18"/>
              </w:rPr>
              <w:t>O</w:t>
            </w:r>
            <w:r>
              <w:rPr>
                <w:rFonts w:ascii="Cambria Math" w:hAnsi="Cambria Math"/>
                <w:sz w:val="18"/>
              </w:rPr>
              <w:t>₃</w:t>
            </w:r>
          </w:p>
        </w:tc>
        <w:tc>
          <w:tcPr>
            <w:tcW w:w="1168" w:type="dxa"/>
            <w:tcBorders>
              <w:left w:val="single" w:sz="4" w:space="0" w:color="000000"/>
              <w:bottom w:val="single" w:sz="4" w:space="0" w:color="000000"/>
              <w:right w:val="single" w:sz="4" w:space="0" w:color="000000"/>
            </w:tcBorders>
          </w:tcPr>
          <w:p>
            <w:pPr>
              <w:pStyle w:val="TableParagraph"/>
              <w:spacing w:before="68"/>
              <w:ind w:left="166" w:right="141"/>
              <w:rPr>
                <w:rFonts w:ascii="Cambria Math" w:hAnsi="Cambria Math"/>
                <w:sz w:val="18"/>
              </w:rPr>
            </w:pPr>
            <w:r>
              <w:rPr>
                <w:sz w:val="18"/>
              </w:rPr>
              <w:t>Fe</w:t>
            </w:r>
            <w:r>
              <w:rPr>
                <w:rFonts w:ascii="Cambria Math" w:hAnsi="Cambria Math"/>
                <w:sz w:val="18"/>
              </w:rPr>
              <w:t>₂</w:t>
            </w:r>
            <w:r>
              <w:rPr>
                <w:sz w:val="18"/>
              </w:rPr>
              <w:t>O</w:t>
            </w:r>
            <w:r>
              <w:rPr>
                <w:rFonts w:ascii="Cambria Math" w:hAnsi="Cambria Math"/>
                <w:sz w:val="18"/>
              </w:rPr>
              <w:t>₃</w:t>
            </w:r>
            <w:r>
              <w:rPr>
                <w:sz w:val="18"/>
              </w:rPr>
              <w:t>+T</w:t>
            </w:r>
            <w:r>
              <w:rPr>
                <w:rFonts w:ascii="Times New Roman" w:hAnsi="Times New Roman"/>
                <w:sz w:val="18"/>
              </w:rPr>
              <w:t>і</w:t>
            </w:r>
            <w:r>
              <w:rPr>
                <w:sz w:val="18"/>
              </w:rPr>
              <w:t>O</w:t>
            </w:r>
            <w:r>
              <w:rPr>
                <w:rFonts w:ascii="Cambria Math" w:hAnsi="Cambria Math"/>
                <w:sz w:val="18"/>
              </w:rPr>
              <w:t>₂</w:t>
            </w:r>
          </w:p>
        </w:tc>
        <w:tc>
          <w:tcPr>
            <w:tcW w:w="1168" w:type="dxa"/>
            <w:tcBorders>
              <w:left w:val="single" w:sz="4" w:space="0" w:color="000000"/>
              <w:bottom w:val="single" w:sz="4" w:space="0" w:color="000000"/>
              <w:right w:val="single" w:sz="4" w:space="0" w:color="000000"/>
            </w:tcBorders>
          </w:tcPr>
          <w:p>
            <w:pPr>
              <w:pStyle w:val="TableParagraph"/>
              <w:spacing w:before="68"/>
              <w:ind w:left="453"/>
              <w:jc w:val="left"/>
              <w:rPr>
                <w:sz w:val="18"/>
              </w:rPr>
            </w:pPr>
            <w:r>
              <w:rPr>
                <w:sz w:val="18"/>
              </w:rPr>
              <w:t>CaO</w:t>
            </w:r>
          </w:p>
        </w:tc>
        <w:tc>
          <w:tcPr>
            <w:tcW w:w="1168" w:type="dxa"/>
            <w:tcBorders>
              <w:left w:val="single" w:sz="4" w:space="0" w:color="000000"/>
              <w:bottom w:val="single" w:sz="4" w:space="0" w:color="000000"/>
              <w:right w:val="single" w:sz="4" w:space="0" w:color="000000"/>
            </w:tcBorders>
          </w:tcPr>
          <w:p>
            <w:pPr>
              <w:pStyle w:val="TableParagraph"/>
              <w:spacing w:before="68"/>
              <w:ind w:left="157" w:right="141"/>
              <w:rPr>
                <w:sz w:val="18"/>
              </w:rPr>
            </w:pPr>
            <w:r>
              <w:rPr>
                <w:sz w:val="18"/>
              </w:rPr>
              <w:t>Mg0</w:t>
            </w:r>
          </w:p>
        </w:tc>
        <w:tc>
          <w:tcPr>
            <w:tcW w:w="1164" w:type="dxa"/>
            <w:tcBorders>
              <w:left w:val="single" w:sz="4" w:space="0" w:color="000000"/>
              <w:bottom w:val="single" w:sz="4" w:space="0" w:color="000000"/>
              <w:right w:val="single" w:sz="4" w:space="0" w:color="000000"/>
            </w:tcBorders>
          </w:tcPr>
          <w:p>
            <w:pPr>
              <w:pStyle w:val="TableParagraph"/>
              <w:spacing w:before="68"/>
              <w:ind w:left="222" w:right="204"/>
              <w:rPr>
                <w:sz w:val="18"/>
              </w:rPr>
            </w:pPr>
            <w:r>
              <w:rPr>
                <w:sz w:val="18"/>
              </w:rPr>
              <w:t>K</w:t>
            </w:r>
            <w:r>
              <w:rPr>
                <w:rFonts w:ascii="Cambria Math" w:hAnsi="Cambria Math"/>
                <w:sz w:val="18"/>
              </w:rPr>
              <w:t>₂</w:t>
            </w:r>
            <w:r>
              <w:rPr>
                <w:sz w:val="18"/>
              </w:rPr>
              <w:t>O+Na</w:t>
            </w:r>
            <w:r>
              <w:rPr>
                <w:rFonts w:ascii="Cambria Math" w:hAnsi="Cambria Math"/>
                <w:sz w:val="18"/>
              </w:rPr>
              <w:t>₂</w:t>
            </w:r>
            <w:r>
              <w:rPr>
                <w:sz w:val="18"/>
              </w:rPr>
              <w:t>O</w:t>
            </w:r>
          </w:p>
        </w:tc>
        <w:tc>
          <w:tcPr>
            <w:tcW w:w="1166" w:type="dxa"/>
            <w:tcBorders>
              <w:left w:val="single" w:sz="4" w:space="0" w:color="000000"/>
              <w:bottom w:val="single" w:sz="4" w:space="0" w:color="000000"/>
            </w:tcBorders>
          </w:tcPr>
          <w:p>
            <w:pPr>
              <w:pStyle w:val="TableParagraph"/>
              <w:spacing w:before="68"/>
              <w:ind w:left="386" w:right="355"/>
              <w:rPr>
                <w:sz w:val="18"/>
              </w:rPr>
            </w:pPr>
            <w:r>
              <w:rPr>
                <w:sz w:val="18"/>
              </w:rPr>
              <w:t>I.L</w:t>
            </w:r>
          </w:p>
        </w:tc>
      </w:tr>
      <w:tr>
        <w:tblPrEx>
          <w:tblW w:w="0" w:type="auto"/>
          <w:jc w:val="left"/>
          <w:tblInd w:w="1195" w:type="dxa"/>
          <w:tblLayout w:type="fixed"/>
          <w:tblCellMar>
            <w:top w:w="0" w:type="dxa"/>
            <w:left w:w="0" w:type="dxa"/>
            <w:bottom w:w="0" w:type="dxa"/>
            <w:right w:w="0" w:type="dxa"/>
          </w:tblCellMar>
          <w:tblLook w:val="01E0"/>
        </w:tblPrEx>
        <w:trPr>
          <w:trHeight w:val="371"/>
          <w:jc w:val="left"/>
        </w:trPr>
        <w:tc>
          <w:tcPr>
            <w:tcW w:w="1166" w:type="dxa"/>
            <w:tcBorders>
              <w:top w:val="single" w:sz="4" w:space="0" w:color="000000"/>
              <w:right w:val="single" w:sz="4" w:space="0" w:color="000000"/>
            </w:tcBorders>
          </w:tcPr>
          <w:p>
            <w:pPr>
              <w:pStyle w:val="TableParagraph"/>
              <w:spacing w:before="71"/>
              <w:ind w:left="382" w:right="361"/>
              <w:rPr>
                <w:sz w:val="18"/>
              </w:rPr>
            </w:pPr>
            <w:r>
              <w:rPr>
                <w:sz w:val="18"/>
              </w:rPr>
              <w:t>釉料</w:t>
            </w:r>
          </w:p>
        </w:tc>
        <w:tc>
          <w:tcPr>
            <w:tcW w:w="1168" w:type="dxa"/>
            <w:tcBorders>
              <w:top w:val="single" w:sz="4" w:space="0" w:color="000000"/>
              <w:left w:val="single" w:sz="4" w:space="0" w:color="000000"/>
              <w:right w:val="single" w:sz="4" w:space="0" w:color="000000"/>
            </w:tcBorders>
          </w:tcPr>
          <w:p>
            <w:pPr>
              <w:pStyle w:val="TableParagraph"/>
              <w:spacing w:before="71"/>
              <w:ind w:left="165" w:right="141"/>
              <w:rPr>
                <w:sz w:val="18"/>
              </w:rPr>
            </w:pPr>
            <w:r>
              <w:rPr>
                <w:sz w:val="18"/>
              </w:rPr>
              <w:t>68～72</w:t>
            </w:r>
          </w:p>
        </w:tc>
        <w:tc>
          <w:tcPr>
            <w:tcW w:w="1164" w:type="dxa"/>
            <w:tcBorders>
              <w:top w:val="single" w:sz="4" w:space="0" w:color="000000"/>
              <w:left w:val="single" w:sz="4" w:space="0" w:color="000000"/>
              <w:right w:val="single" w:sz="4" w:space="0" w:color="000000"/>
            </w:tcBorders>
          </w:tcPr>
          <w:p>
            <w:pPr>
              <w:pStyle w:val="TableParagraph"/>
              <w:spacing w:before="71"/>
              <w:ind w:left="361"/>
              <w:jc w:val="left"/>
              <w:rPr>
                <w:sz w:val="18"/>
              </w:rPr>
            </w:pPr>
            <w:r>
              <w:rPr>
                <w:sz w:val="18"/>
              </w:rPr>
              <w:t>9～12</w:t>
            </w:r>
          </w:p>
        </w:tc>
        <w:tc>
          <w:tcPr>
            <w:tcW w:w="1168" w:type="dxa"/>
            <w:tcBorders>
              <w:top w:val="single" w:sz="4" w:space="0" w:color="000000"/>
              <w:left w:val="single" w:sz="4" w:space="0" w:color="000000"/>
              <w:right w:val="single" w:sz="4" w:space="0" w:color="000000"/>
            </w:tcBorders>
          </w:tcPr>
          <w:p>
            <w:pPr>
              <w:pStyle w:val="TableParagraph"/>
              <w:spacing w:before="71"/>
              <w:ind w:left="164" w:right="141"/>
              <w:rPr>
                <w:sz w:val="18"/>
              </w:rPr>
            </w:pPr>
            <w:r>
              <w:rPr>
                <w:sz w:val="18"/>
              </w:rPr>
              <w:t>≤10</w:t>
            </w:r>
          </w:p>
        </w:tc>
        <w:tc>
          <w:tcPr>
            <w:tcW w:w="1168" w:type="dxa"/>
            <w:tcBorders>
              <w:top w:val="single" w:sz="4" w:space="0" w:color="000000"/>
              <w:left w:val="single" w:sz="4" w:space="0" w:color="000000"/>
              <w:right w:val="single" w:sz="4" w:space="0" w:color="000000"/>
            </w:tcBorders>
          </w:tcPr>
          <w:p>
            <w:pPr>
              <w:pStyle w:val="TableParagraph"/>
              <w:spacing w:before="71"/>
              <w:ind w:left="408"/>
              <w:jc w:val="left"/>
              <w:rPr>
                <w:sz w:val="18"/>
              </w:rPr>
            </w:pPr>
            <w:r>
              <w:rPr>
                <w:sz w:val="18"/>
              </w:rPr>
              <w:t>2～5</w:t>
            </w:r>
          </w:p>
        </w:tc>
        <w:tc>
          <w:tcPr>
            <w:tcW w:w="1168" w:type="dxa"/>
            <w:tcBorders>
              <w:top w:val="single" w:sz="4" w:space="0" w:color="000000"/>
              <w:left w:val="single" w:sz="4" w:space="0" w:color="000000"/>
              <w:right w:val="single" w:sz="4" w:space="0" w:color="000000"/>
            </w:tcBorders>
          </w:tcPr>
          <w:p>
            <w:pPr>
              <w:pStyle w:val="TableParagraph"/>
              <w:spacing w:before="71"/>
              <w:ind w:left="159" w:right="141"/>
              <w:rPr>
                <w:sz w:val="18"/>
              </w:rPr>
            </w:pPr>
            <w:r>
              <w:rPr>
                <w:sz w:val="18"/>
              </w:rPr>
              <w:t>0.2～1</w:t>
            </w:r>
          </w:p>
        </w:tc>
        <w:tc>
          <w:tcPr>
            <w:tcW w:w="1164" w:type="dxa"/>
            <w:tcBorders>
              <w:top w:val="single" w:sz="4" w:space="0" w:color="000000"/>
              <w:left w:val="single" w:sz="4" w:space="0" w:color="000000"/>
              <w:right w:val="single" w:sz="4" w:space="0" w:color="000000"/>
            </w:tcBorders>
          </w:tcPr>
          <w:p>
            <w:pPr>
              <w:pStyle w:val="TableParagraph"/>
              <w:spacing w:before="71"/>
              <w:ind w:left="222" w:right="204"/>
              <w:rPr>
                <w:sz w:val="18"/>
              </w:rPr>
            </w:pPr>
            <w:r>
              <w:rPr>
                <w:sz w:val="18"/>
              </w:rPr>
              <w:t>5～7</w:t>
            </w:r>
          </w:p>
        </w:tc>
        <w:tc>
          <w:tcPr>
            <w:tcW w:w="1166" w:type="dxa"/>
            <w:tcBorders>
              <w:top w:val="single" w:sz="4" w:space="0" w:color="000000"/>
              <w:left w:val="single" w:sz="4" w:space="0" w:color="000000"/>
            </w:tcBorders>
          </w:tcPr>
          <w:p>
            <w:pPr>
              <w:pStyle w:val="TableParagraph"/>
              <w:spacing w:before="71"/>
              <w:ind w:left="386" w:right="357"/>
              <w:rPr>
                <w:sz w:val="18"/>
              </w:rPr>
            </w:pPr>
            <w:r>
              <w:rPr>
                <w:sz w:val="18"/>
              </w:rPr>
              <w:t>2～4</w:t>
            </w:r>
          </w:p>
        </w:tc>
      </w:tr>
    </w:tbl>
    <w:p>
      <w:pPr>
        <w:pStyle w:val="BodyText"/>
        <w:rPr>
          <w:sz w:val="20"/>
        </w:rPr>
      </w:pPr>
    </w:p>
    <w:p>
      <w:pPr>
        <w:pStyle w:val="BodyText"/>
        <w:rPr>
          <w:sz w:val="20"/>
        </w:rPr>
      </w:pPr>
    </w:p>
    <w:p>
      <w:pPr>
        <w:pStyle w:val="BodyText"/>
        <w:rPr>
          <w:sz w:val="20"/>
        </w:rPr>
      </w:pPr>
    </w:p>
    <w:p>
      <w:pPr>
        <w:pStyle w:val="BodyText"/>
        <w:spacing w:before="12"/>
        <w:rPr>
          <w:sz w:val="15"/>
        </w:rPr>
      </w:pPr>
      <w:r>
        <w:drawing>
          <wp:anchor distT="0" distB="0" distL="0" distR="0" simplePos="0" relativeHeight="251673600" behindDoc="0" locked="0" layoutInCell="1" allowOverlap="1">
            <wp:simplePos x="0" y="0"/>
            <wp:positionH relativeFrom="page">
              <wp:posOffset>899160</wp:posOffset>
            </wp:positionH>
            <wp:positionV relativeFrom="paragraph">
              <wp:posOffset>154463</wp:posOffset>
            </wp:positionV>
            <wp:extent cx="182581" cy="102870"/>
            <wp:effectExtent l="0" t="0" r="0" b="0"/>
            <wp:wrapTopAndBottom/>
            <wp:docPr id="2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9.png"/>
                    <pic:cNvPicPr/>
                  </pic:nvPicPr>
                  <pic:blipFill>
                    <a:blip xmlns:r="http://schemas.openxmlformats.org/officeDocument/2006/relationships" r:embed="rId23" cstate="print"/>
                    <a:stretch>
                      <a:fillRect/>
                    </a:stretch>
                  </pic:blipFill>
                  <pic:spPr>
                    <a:xfrm>
                      <a:off x="0" y="0"/>
                      <a:ext cx="182581" cy="102870"/>
                    </a:xfrm>
                    <a:prstGeom prst="rect">
                      <a:avLst/>
                    </a:prstGeom>
                  </pic:spPr>
                </pic:pic>
              </a:graphicData>
            </a:graphic>
          </wp:anchor>
        </w:drawing>
      </w:r>
    </w:p>
    <w:p>
      <w:pPr>
        <w:spacing w:after="0"/>
        <w:rPr>
          <w:sz w:val="15"/>
        </w:rPr>
        <w:sectPr>
          <w:headerReference w:type="even" r:id="rId24"/>
          <w:headerReference w:type="default" r:id="rId25"/>
          <w:pgSz w:w="11910" w:h="16840"/>
          <w:pgMar w:top="2180" w:right="260" w:bottom="280" w:left="240" w:header="1446" w:footer="0"/>
          <w:pgNumType w:start="9"/>
          <w:cols w:space="708"/>
        </w:sectPr>
      </w:pPr>
    </w:p>
    <w:p>
      <w:pPr>
        <w:pStyle w:val="BodyText"/>
        <w:spacing w:before="2"/>
        <w:rPr>
          <w:sz w:val="17"/>
        </w:rPr>
      </w:pPr>
      <w:r>
        <w:drawing>
          <wp:anchor distT="0" distB="0" distL="0" distR="0" simplePos="0" relativeHeight="251678720" behindDoc="1" locked="0" layoutInCell="1" allowOverlap="1">
            <wp:simplePos x="0" y="0"/>
            <wp:positionH relativeFrom="page">
              <wp:posOffset>716280</wp:posOffset>
            </wp:positionH>
            <wp:positionV relativeFrom="page">
              <wp:posOffset>7909559</wp:posOffset>
            </wp:positionV>
            <wp:extent cx="185166" cy="105441"/>
            <wp:effectExtent l="0" t="0" r="0" b="0"/>
            <wp:wrapNone/>
            <wp:docPr id="2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0.png"/>
                    <pic:cNvPicPr/>
                  </pic:nvPicPr>
                  <pic:blipFill>
                    <a:blip xmlns:r="http://schemas.openxmlformats.org/officeDocument/2006/relationships" r:embed="rId26" cstate="print"/>
                    <a:stretch>
                      <a:fillRect/>
                    </a:stretch>
                  </pic:blipFill>
                  <pic:spPr>
                    <a:xfrm>
                      <a:off x="0" y="0"/>
                      <a:ext cx="185166" cy="105441"/>
                    </a:xfrm>
                    <a:prstGeom prst="rect">
                      <a:avLst/>
                    </a:prstGeom>
                  </pic:spPr>
                </pic:pic>
              </a:graphicData>
            </a:graphic>
          </wp:anchor>
        </w:drawing>
      </w:r>
    </w:p>
    <w:p>
      <w:pPr>
        <w:pStyle w:val="BodyText"/>
        <w:spacing w:before="72"/>
        <w:ind w:left="892"/>
        <w:rPr>
          <w:rFonts w:ascii="黑体" w:eastAsia="黑体" w:hint="eastAsia"/>
        </w:rPr>
      </w:pPr>
      <w:bookmarkStart w:id="16" w:name="7.1.2　 釉上（中）彩"/>
      <w:bookmarkEnd w:id="16"/>
      <w:r>
        <w:rPr>
          <w:rFonts w:ascii="黑体" w:eastAsia="黑体" w:hint="eastAsia"/>
        </w:rPr>
        <w:t>7.1.2 釉上（中）彩</w:t>
      </w:r>
    </w:p>
    <w:p>
      <w:pPr>
        <w:pStyle w:val="BodyText"/>
        <w:spacing w:before="7"/>
        <w:rPr>
          <w:rFonts w:ascii="黑体"/>
          <w:sz w:val="15"/>
        </w:rPr>
      </w:pPr>
    </w:p>
    <w:p>
      <w:pPr>
        <w:pStyle w:val="BodyText"/>
        <w:ind w:left="1311"/>
      </w:pPr>
      <w:r>
        <w:t>釉上（中）彩加工工艺流程见图2。</w:t>
      </w:r>
    </w:p>
    <w:p>
      <w:pPr>
        <w:pStyle w:val="BodyText"/>
        <w:rPr>
          <w:sz w:val="20"/>
        </w:rPr>
      </w:pPr>
    </w:p>
    <w:p>
      <w:pPr>
        <w:pStyle w:val="BodyText"/>
        <w:spacing w:before="4"/>
        <w:rPr>
          <w:sz w:val="17"/>
        </w:rPr>
      </w:pPr>
      <w:r>
        <w:drawing>
          <wp:anchor distT="0" distB="0" distL="0" distR="0" simplePos="0" relativeHeight="251676672" behindDoc="0" locked="0" layoutInCell="1" allowOverlap="1">
            <wp:simplePos x="0" y="0"/>
            <wp:positionH relativeFrom="page">
              <wp:posOffset>727972</wp:posOffset>
            </wp:positionH>
            <wp:positionV relativeFrom="paragraph">
              <wp:posOffset>165983</wp:posOffset>
            </wp:positionV>
            <wp:extent cx="5894472" cy="972693"/>
            <wp:effectExtent l="0" t="0" r="0" b="0"/>
            <wp:wrapTopAndBottom/>
            <wp:docPr id="2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1.png"/>
                    <pic:cNvPicPr/>
                  </pic:nvPicPr>
                  <pic:blipFill>
                    <a:blip xmlns:r="http://schemas.openxmlformats.org/officeDocument/2006/relationships" r:embed="rId27" cstate="print"/>
                    <a:stretch>
                      <a:fillRect/>
                    </a:stretch>
                  </pic:blipFill>
                  <pic:spPr>
                    <a:xfrm>
                      <a:off x="0" y="0"/>
                      <a:ext cx="5894472" cy="972693"/>
                    </a:xfrm>
                    <a:prstGeom prst="rect">
                      <a:avLst/>
                    </a:prstGeom>
                  </pic:spPr>
                </pic:pic>
              </a:graphicData>
            </a:graphic>
          </wp:anchor>
        </w:drawing>
      </w:r>
    </w:p>
    <w:p>
      <w:pPr>
        <w:pStyle w:val="BodyText"/>
        <w:rPr>
          <w:sz w:val="20"/>
        </w:rPr>
      </w:pPr>
    </w:p>
    <w:p>
      <w:pPr>
        <w:pStyle w:val="BodyText"/>
        <w:spacing w:before="1"/>
        <w:rPr>
          <w:sz w:val="28"/>
        </w:rPr>
      </w:pPr>
    </w:p>
    <w:p>
      <w:pPr>
        <w:pStyle w:val="BodyText"/>
        <w:ind w:left="719" w:right="989"/>
        <w:jc w:val="center"/>
        <w:rPr>
          <w:rFonts w:ascii="黑体" w:eastAsia="黑体" w:hint="eastAsia"/>
        </w:rPr>
      </w:pPr>
      <w:r>
        <w:rPr>
          <w:rFonts w:ascii="黑体" w:eastAsia="黑体" w:hint="eastAsia"/>
        </w:rPr>
        <w:t>图2 釉上（中）彩加工工艺流程</w:t>
      </w:r>
    </w:p>
    <w:p>
      <w:pPr>
        <w:pStyle w:val="BodyText"/>
        <w:spacing w:before="12"/>
        <w:rPr>
          <w:rFonts w:ascii="黑体"/>
          <w:sz w:val="9"/>
        </w:rPr>
      </w:pPr>
    </w:p>
    <w:p>
      <w:pPr>
        <w:spacing w:before="76"/>
        <w:ind w:left="892" w:right="0" w:firstLine="0"/>
        <w:jc w:val="left"/>
        <w:rPr>
          <w:rFonts w:ascii="黑体" w:eastAsia="黑体" w:hint="eastAsia"/>
          <w:sz w:val="21"/>
        </w:rPr>
      </w:pPr>
      <w:r>
        <w:drawing>
          <wp:inline distT="0" distB="0" distL="0" distR="0">
            <wp:extent cx="200647" cy="104139"/>
            <wp:effectExtent l="0" t="0" r="0" b="0"/>
            <wp:docPr id="3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2.png"/>
                    <pic:cNvPicPr/>
                  </pic:nvPicPr>
                  <pic:blipFill>
                    <a:blip xmlns:r="http://schemas.openxmlformats.org/officeDocument/2006/relationships" r:embed="rId28" cstate="print"/>
                    <a:stretch>
                      <a:fillRect/>
                    </a:stretch>
                  </pic:blipFill>
                  <pic:spPr>
                    <a:xfrm>
                      <a:off x="0" y="0"/>
                      <a:ext cx="200647" cy="104139"/>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8"/>
          <w:sz w:val="20"/>
        </w:rPr>
        <w:t xml:space="preserve"> </w:t>
      </w:r>
      <w:bookmarkStart w:id="17" w:name="7.2　 关键工艺要求"/>
      <w:bookmarkEnd w:id="17"/>
      <w:r>
        <w:rPr>
          <w:rFonts w:ascii="黑体" w:eastAsia="黑体" w:hint="eastAsia"/>
          <w:spacing w:val="-3"/>
          <w:sz w:val="21"/>
        </w:rPr>
        <w:t>关键工艺要求</w:t>
      </w:r>
    </w:p>
    <w:p>
      <w:pPr>
        <w:pStyle w:val="BodyText"/>
        <w:spacing w:before="7"/>
        <w:rPr>
          <w:rFonts w:ascii="黑体"/>
          <w:sz w:val="9"/>
        </w:rPr>
      </w:pPr>
    </w:p>
    <w:p>
      <w:pPr>
        <w:pStyle w:val="ListParagraph"/>
        <w:numPr>
          <w:ilvl w:val="2"/>
          <w:numId w:val="14"/>
        </w:numPr>
        <w:tabs>
          <w:tab w:val="left" w:pos="1629"/>
        </w:tabs>
        <w:spacing w:before="73" w:after="0" w:line="240" w:lineRule="auto"/>
        <w:ind w:left="1628" w:right="0" w:hanging="737"/>
        <w:jc w:val="left"/>
        <w:rPr>
          <w:rFonts w:ascii="黑体" w:eastAsia="黑体" w:hint="eastAsia"/>
          <w:sz w:val="21"/>
        </w:rPr>
      </w:pPr>
      <w:bookmarkStart w:id="18" w:name="7.2.1　 制浆"/>
      <w:bookmarkEnd w:id="18"/>
      <w:r>
        <w:rPr>
          <w:rFonts w:ascii="黑体" w:eastAsia="黑体" w:hint="eastAsia"/>
          <w:sz w:val="21"/>
        </w:rPr>
        <w:t>制浆</w:t>
      </w:r>
    </w:p>
    <w:p>
      <w:pPr>
        <w:pStyle w:val="BodyText"/>
        <w:spacing w:before="6"/>
        <w:rPr>
          <w:rFonts w:ascii="黑体"/>
          <w:sz w:val="15"/>
        </w:rPr>
      </w:pPr>
    </w:p>
    <w:p>
      <w:pPr>
        <w:pStyle w:val="BodyText"/>
        <w:spacing w:before="1"/>
        <w:ind w:left="1311"/>
      </w:pPr>
      <w:r>
        <w:t>泥浆细度应为200目筛及以下。</w:t>
      </w:r>
    </w:p>
    <w:p>
      <w:pPr>
        <w:pStyle w:val="BodyText"/>
        <w:spacing w:before="6"/>
        <w:rPr>
          <w:sz w:val="15"/>
        </w:rPr>
      </w:pPr>
    </w:p>
    <w:p>
      <w:pPr>
        <w:pStyle w:val="ListParagraph"/>
        <w:numPr>
          <w:ilvl w:val="2"/>
          <w:numId w:val="14"/>
        </w:numPr>
        <w:tabs>
          <w:tab w:val="left" w:pos="1629"/>
        </w:tabs>
        <w:spacing w:before="0" w:after="0" w:line="240" w:lineRule="auto"/>
        <w:ind w:left="1628" w:right="0" w:hanging="737"/>
        <w:jc w:val="left"/>
        <w:rPr>
          <w:rFonts w:ascii="黑体" w:eastAsia="黑体" w:hint="eastAsia"/>
          <w:sz w:val="21"/>
        </w:rPr>
      </w:pPr>
      <w:bookmarkStart w:id="19" w:name="7.2.2　 制坯"/>
      <w:bookmarkEnd w:id="19"/>
      <w:r>
        <w:rPr>
          <w:rFonts w:ascii="黑体" w:eastAsia="黑体" w:hint="eastAsia"/>
          <w:sz w:val="21"/>
        </w:rPr>
        <w:t>制坯</w:t>
      </w:r>
    </w:p>
    <w:p>
      <w:pPr>
        <w:pStyle w:val="BodyText"/>
        <w:spacing w:before="7"/>
        <w:rPr>
          <w:rFonts w:ascii="黑体"/>
          <w:sz w:val="15"/>
        </w:rPr>
      </w:pPr>
    </w:p>
    <w:p>
      <w:pPr>
        <w:pStyle w:val="BodyText"/>
        <w:ind w:left="1311"/>
      </w:pPr>
      <w:r>
        <w:drawing>
          <wp:anchor distT="0" distB="0" distL="0" distR="0" simplePos="0" relativeHeight="251677696" behindDoc="0" locked="0" layoutInCell="1" allowOverlap="1">
            <wp:simplePos x="0" y="0"/>
            <wp:positionH relativeFrom="page">
              <wp:posOffset>215900</wp:posOffset>
            </wp:positionH>
            <wp:positionV relativeFrom="paragraph">
              <wp:posOffset>338845</wp:posOffset>
            </wp:positionV>
            <wp:extent cx="7112000" cy="4876800"/>
            <wp:effectExtent l="0" t="0" r="0" b="0"/>
            <wp:wrapNone/>
            <wp:docPr id="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t>日用陶瓷应采用滚压成型、注浆成型等工艺，工艺陶瓷应采用手捏、拉、雕塑等多种成型方法。</w:t>
      </w:r>
    </w:p>
    <w:p>
      <w:pPr>
        <w:pStyle w:val="BodyText"/>
        <w:spacing w:before="8"/>
        <w:rPr>
          <w:sz w:val="14"/>
        </w:rPr>
      </w:pPr>
      <w:r>
        <w:pict>
          <v:group id="_x0000_s1058" style="width:469.05pt;height:373pt;margin-top:11.37pt;margin-left:56.6pt;mso-position-horizontal-relative:page;mso-wrap-distance-left:0;mso-wrap-distance-right:0;position:absolute;z-index:-251636736" coordorigin="1132,227" coordsize="9381,7460">
            <v:shape id="_x0000_s1059" type="#_x0000_t202" style="width:7901;height:3177;left:1132;position:absolute;top:227" filled="f" stroked="f">
              <v:textbox inset="0,0,0,0">
                <w:txbxContent>
                  <w:p>
                    <w:pPr>
                      <w:numPr>
                        <w:ilvl w:val="2"/>
                        <w:numId w:val="13"/>
                      </w:numPr>
                      <w:tabs>
                        <w:tab w:val="left" w:pos="737"/>
                      </w:tabs>
                      <w:spacing w:before="0" w:line="241" w:lineRule="exact"/>
                      <w:ind w:left="736" w:right="0" w:hanging="737"/>
                      <w:jc w:val="left"/>
                      <w:rPr>
                        <w:rFonts w:ascii="黑体" w:eastAsia="黑体" w:hint="eastAsia"/>
                        <w:sz w:val="21"/>
                      </w:rPr>
                    </w:pPr>
                    <w:bookmarkStart w:id="20" w:name="7.2.3　 彩绘"/>
                    <w:bookmarkEnd w:id="20"/>
                    <w:r>
                      <w:rPr>
                        <w:rFonts w:ascii="黑体" w:eastAsia="黑体" w:hint="eastAsia"/>
                        <w:sz w:val="21"/>
                      </w:rPr>
                      <w:t>彩绘</w:t>
                    </w:r>
                  </w:p>
                  <w:p>
                    <w:pPr>
                      <w:spacing w:before="6" w:line="240" w:lineRule="auto"/>
                      <w:rPr>
                        <w:rFonts w:ascii="黑体"/>
                        <w:sz w:val="15"/>
                      </w:rPr>
                    </w:pPr>
                  </w:p>
                  <w:p>
                    <w:pPr>
                      <w:spacing w:before="1"/>
                      <w:ind w:left="419" w:right="0" w:firstLine="0"/>
                      <w:jc w:val="left"/>
                      <w:rPr>
                        <w:sz w:val="21"/>
                      </w:rPr>
                    </w:pPr>
                    <w:r>
                      <w:rPr>
                        <w:sz w:val="21"/>
                      </w:rPr>
                      <w:t>采用釉下彩、釉中彩或釉上彩工艺。</w:t>
                    </w:r>
                  </w:p>
                  <w:p>
                    <w:pPr>
                      <w:spacing w:before="6" w:line="240" w:lineRule="auto"/>
                      <w:rPr>
                        <w:sz w:val="15"/>
                      </w:rPr>
                    </w:pPr>
                  </w:p>
                  <w:p>
                    <w:pPr>
                      <w:numPr>
                        <w:ilvl w:val="2"/>
                        <w:numId w:val="13"/>
                      </w:numPr>
                      <w:tabs>
                        <w:tab w:val="left" w:pos="737"/>
                      </w:tabs>
                      <w:spacing w:before="0"/>
                      <w:ind w:left="736" w:right="0" w:hanging="737"/>
                      <w:jc w:val="left"/>
                      <w:rPr>
                        <w:rFonts w:ascii="黑体" w:eastAsia="黑体" w:hint="eastAsia"/>
                        <w:sz w:val="21"/>
                      </w:rPr>
                    </w:pPr>
                    <w:bookmarkStart w:id="21" w:name="7.2.4　 施釉"/>
                    <w:bookmarkEnd w:id="21"/>
                    <w:r>
                      <w:rPr>
                        <w:rFonts w:ascii="黑体" w:eastAsia="黑体" w:hint="eastAsia"/>
                        <w:sz w:val="21"/>
                      </w:rPr>
                      <w:t>施釉</w:t>
                    </w:r>
                  </w:p>
                  <w:p>
                    <w:pPr>
                      <w:spacing w:before="7" w:line="240" w:lineRule="auto"/>
                      <w:rPr>
                        <w:rFonts w:ascii="黑体"/>
                        <w:sz w:val="15"/>
                      </w:rPr>
                    </w:pPr>
                  </w:p>
                  <w:p>
                    <w:pPr>
                      <w:spacing w:before="0"/>
                      <w:ind w:left="419" w:right="0" w:firstLine="0"/>
                      <w:jc w:val="left"/>
                      <w:rPr>
                        <w:sz w:val="21"/>
                      </w:rPr>
                    </w:pPr>
                    <w:r>
                      <w:rPr>
                        <w:sz w:val="21"/>
                      </w:rPr>
                      <w:t>应以浇、灌、荡、喷为主。</w:t>
                    </w:r>
                  </w:p>
                  <w:p>
                    <w:pPr>
                      <w:spacing w:before="7" w:line="240" w:lineRule="auto"/>
                      <w:rPr>
                        <w:sz w:val="15"/>
                      </w:rPr>
                    </w:pPr>
                  </w:p>
                  <w:p>
                    <w:pPr>
                      <w:numPr>
                        <w:ilvl w:val="2"/>
                        <w:numId w:val="13"/>
                      </w:numPr>
                      <w:tabs>
                        <w:tab w:val="left" w:pos="737"/>
                      </w:tabs>
                      <w:spacing w:before="0"/>
                      <w:ind w:left="736" w:right="0" w:hanging="737"/>
                      <w:jc w:val="left"/>
                      <w:rPr>
                        <w:rFonts w:ascii="黑体" w:eastAsia="黑体" w:hint="eastAsia"/>
                        <w:sz w:val="21"/>
                      </w:rPr>
                    </w:pPr>
                    <w:bookmarkStart w:id="22" w:name="7.2.5　 烧成"/>
                    <w:bookmarkEnd w:id="22"/>
                    <w:r>
                      <w:rPr>
                        <w:rFonts w:ascii="黑体" w:eastAsia="黑体" w:hint="eastAsia"/>
                        <w:sz w:val="21"/>
                      </w:rPr>
                      <w:t>烧成</w:t>
                    </w:r>
                  </w:p>
                  <w:p>
                    <w:pPr>
                      <w:spacing w:before="7" w:line="240" w:lineRule="auto"/>
                      <w:rPr>
                        <w:rFonts w:ascii="黑体"/>
                        <w:sz w:val="15"/>
                      </w:rPr>
                    </w:pPr>
                  </w:p>
                  <w:p>
                    <w:pPr>
                      <w:numPr>
                        <w:ilvl w:val="3"/>
                        <w:numId w:val="13"/>
                      </w:numPr>
                      <w:tabs>
                        <w:tab w:val="left" w:pos="945"/>
                      </w:tabs>
                      <w:spacing w:before="0"/>
                      <w:ind w:left="944" w:right="0" w:hanging="945"/>
                      <w:jc w:val="left"/>
                      <w:rPr>
                        <w:sz w:val="21"/>
                      </w:rPr>
                    </w:pPr>
                    <w:r>
                      <w:rPr>
                        <w:spacing w:val="-9"/>
                        <w:sz w:val="21"/>
                      </w:rPr>
                      <w:t xml:space="preserve">釉中彩、釉下彩烧成温度为 </w:t>
                    </w:r>
                    <w:r>
                      <w:rPr>
                        <w:sz w:val="21"/>
                      </w:rPr>
                      <w:t>1100℃～1250</w:t>
                    </w:r>
                    <w:r>
                      <w:rPr>
                        <w:spacing w:val="-3"/>
                        <w:sz w:val="21"/>
                      </w:rPr>
                      <w:t>℃。</w:t>
                    </w:r>
                  </w:p>
                  <w:p>
                    <w:pPr>
                      <w:numPr>
                        <w:ilvl w:val="3"/>
                        <w:numId w:val="13"/>
                      </w:numPr>
                      <w:tabs>
                        <w:tab w:val="left" w:pos="945"/>
                      </w:tabs>
                      <w:spacing w:before="43"/>
                      <w:ind w:left="944" w:right="0" w:hanging="945"/>
                      <w:jc w:val="left"/>
                      <w:rPr>
                        <w:sz w:val="21"/>
                      </w:rPr>
                    </w:pPr>
                    <w:r>
                      <w:rPr>
                        <w:spacing w:val="-10"/>
                        <w:sz w:val="21"/>
                      </w:rPr>
                      <w:t xml:space="preserve">釉上彩烧成温度为 </w:t>
                    </w:r>
                    <w:r>
                      <w:rPr>
                        <w:sz w:val="21"/>
                      </w:rPr>
                      <w:t>780℃～820℃。</w:t>
                    </w:r>
                  </w:p>
                  <w:p>
                    <w:pPr>
                      <w:numPr>
                        <w:ilvl w:val="3"/>
                        <w:numId w:val="13"/>
                      </w:numPr>
                      <w:tabs>
                        <w:tab w:val="left" w:pos="945"/>
                      </w:tabs>
                      <w:spacing w:before="43" w:line="240" w:lineRule="exact"/>
                      <w:ind w:left="944" w:right="0" w:hanging="945"/>
                      <w:jc w:val="left"/>
                      <w:rPr>
                        <w:sz w:val="21"/>
                      </w:rPr>
                    </w:pPr>
                    <w:r>
                      <w:rPr>
                        <w:spacing w:val="-4"/>
                        <w:sz w:val="21"/>
                      </w:rPr>
                      <w:t>保持氧化焰气氛或还原焰烧成，烧后应出现单色釉、花釉等不同釉面效果。</w:t>
                    </w:r>
                  </w:p>
                </w:txbxContent>
              </v:textbox>
            </v:shape>
            <v:shape id="_x0000_s1060" type="#_x0000_t202" style="width:1180;height:212;left:1132;position:absolute;top:3815" filled="f" stroked="f">
              <v:textbox inset="0,0,0,0">
                <w:txbxContent>
                  <w:p>
                    <w:pPr>
                      <w:spacing w:before="0" w:line="212" w:lineRule="exact"/>
                      <w:ind w:left="0" w:right="0" w:firstLine="0"/>
                      <w:jc w:val="left"/>
                      <w:rPr>
                        <w:rFonts w:ascii="黑体" w:eastAsia="黑体" w:hint="eastAsia"/>
                        <w:sz w:val="21"/>
                      </w:rPr>
                    </w:pPr>
                    <w:bookmarkStart w:id="23" w:name="8　 质量要求"/>
                    <w:bookmarkEnd w:id="23"/>
                    <w:r>
                      <w:rPr>
                        <w:rFonts w:ascii="黑体" w:eastAsia="黑体" w:hint="eastAsia"/>
                        <w:sz w:val="21"/>
                      </w:rPr>
                      <w:t>8 质量要求</w:t>
                    </w:r>
                  </w:p>
                </w:txbxContent>
              </v:textbox>
            </v:shape>
            <v:shape id="_x0000_s1061" type="#_x0000_t202" style="width:9381;height:2085;left:1132;position:absolute;top:4438" filled="f" stroked="f">
              <v:textbox inset="0,0,0,0">
                <w:txbxContent>
                  <w:p>
                    <w:pPr>
                      <w:spacing w:before="0" w:line="241" w:lineRule="exact"/>
                      <w:ind w:left="524" w:right="0" w:firstLine="0"/>
                      <w:jc w:val="left"/>
                      <w:rPr>
                        <w:rFonts w:ascii="黑体" w:eastAsia="黑体" w:hint="eastAsia"/>
                        <w:sz w:val="21"/>
                      </w:rPr>
                    </w:pPr>
                    <w:bookmarkStart w:id="24" w:name="8.1　 感官要求"/>
                    <w:bookmarkEnd w:id="24"/>
                    <w:r>
                      <w:rPr>
                        <w:rFonts w:ascii="黑体" w:eastAsia="黑体" w:hint="eastAsia"/>
                        <w:sz w:val="21"/>
                      </w:rPr>
                      <w:t>感官要求</w:t>
                    </w:r>
                  </w:p>
                  <w:p>
                    <w:pPr>
                      <w:spacing w:before="6" w:line="240" w:lineRule="auto"/>
                      <w:rPr>
                        <w:rFonts w:ascii="黑体"/>
                        <w:sz w:val="15"/>
                      </w:rPr>
                    </w:pPr>
                  </w:p>
                  <w:p>
                    <w:pPr>
                      <w:numPr>
                        <w:ilvl w:val="2"/>
                        <w:numId w:val="12"/>
                      </w:numPr>
                      <w:tabs>
                        <w:tab w:val="left" w:pos="737"/>
                      </w:tabs>
                      <w:spacing w:before="1"/>
                      <w:ind w:left="736" w:right="0" w:hanging="737"/>
                      <w:jc w:val="left"/>
                      <w:rPr>
                        <w:rFonts w:ascii="黑体" w:eastAsia="黑体" w:hint="eastAsia"/>
                        <w:sz w:val="21"/>
                      </w:rPr>
                    </w:pPr>
                    <w:bookmarkStart w:id="25" w:name="8.1.1　 日用陶瓷"/>
                    <w:bookmarkEnd w:id="25"/>
                    <w:r>
                      <w:rPr>
                        <w:rFonts w:ascii="黑体" w:eastAsia="黑体" w:hint="eastAsia"/>
                        <w:spacing w:val="-2"/>
                        <w:sz w:val="21"/>
                      </w:rPr>
                      <w:t>日用陶瓷</w:t>
                    </w:r>
                  </w:p>
                  <w:p>
                    <w:pPr>
                      <w:spacing w:before="6" w:line="240" w:lineRule="auto"/>
                      <w:rPr>
                        <w:rFonts w:ascii="黑体"/>
                        <w:sz w:val="15"/>
                      </w:rPr>
                    </w:pPr>
                  </w:p>
                  <w:p>
                    <w:pPr>
                      <w:numPr>
                        <w:ilvl w:val="3"/>
                        <w:numId w:val="12"/>
                      </w:numPr>
                      <w:tabs>
                        <w:tab w:val="left" w:pos="945"/>
                      </w:tabs>
                      <w:spacing w:before="0" w:line="278" w:lineRule="auto"/>
                      <w:ind w:left="0" w:right="18" w:firstLine="0"/>
                      <w:jc w:val="left"/>
                      <w:rPr>
                        <w:sz w:val="21"/>
                      </w:rPr>
                    </w:pPr>
                    <w:r>
                      <w:rPr>
                        <w:spacing w:val="-5"/>
                        <w:sz w:val="21"/>
                      </w:rPr>
                      <w:t>日用陶瓷胎质成米黄色，因使用钙质釉而釉面光亮，在同一产品上可同时采用釉下彩和复色</w:t>
                    </w:r>
                    <w:r>
                      <w:rPr>
                        <w:spacing w:val="-4"/>
                        <w:sz w:val="21"/>
                      </w:rPr>
                      <w:t>彩装饰，色彩丰富，外形有规则型和异型，质硬、致密，能抵御外力冲击不易破碎。</w:t>
                    </w:r>
                  </w:p>
                  <w:p>
                    <w:pPr>
                      <w:numPr>
                        <w:ilvl w:val="3"/>
                        <w:numId w:val="12"/>
                      </w:numPr>
                      <w:tabs>
                        <w:tab w:val="left" w:pos="945"/>
                      </w:tabs>
                      <w:spacing w:before="0"/>
                      <w:ind w:left="944" w:right="0" w:hanging="945"/>
                      <w:jc w:val="left"/>
                      <w:rPr>
                        <w:sz w:val="21"/>
                      </w:rPr>
                    </w:pPr>
                    <w:r>
                      <w:rPr>
                        <w:spacing w:val="-20"/>
                        <w:sz w:val="21"/>
                      </w:rPr>
                      <w:t xml:space="preserve">日用炻瓷白度、釉面光泽度、釉面色差、产品规格误差及其他外观质量应符合 </w:t>
                    </w:r>
                    <w:r>
                      <w:rPr>
                        <w:sz w:val="21"/>
                      </w:rPr>
                      <w:t>GB/T</w:t>
                    </w:r>
                    <w:r>
                      <w:rPr>
                        <w:spacing w:val="7"/>
                        <w:sz w:val="21"/>
                      </w:rPr>
                      <w:t xml:space="preserve"> </w:t>
                    </w:r>
                    <w:r>
                      <w:rPr>
                        <w:sz w:val="21"/>
                      </w:rPr>
                      <w:t>3532-2022</w:t>
                    </w:r>
                  </w:p>
                  <w:p>
                    <w:pPr>
                      <w:spacing w:before="43" w:line="240" w:lineRule="exact"/>
                      <w:ind w:left="0" w:right="0" w:firstLine="0"/>
                      <w:jc w:val="left"/>
                      <w:rPr>
                        <w:sz w:val="21"/>
                      </w:rPr>
                    </w:pPr>
                    <w:r>
                      <w:rPr>
                        <w:sz w:val="21"/>
                      </w:rPr>
                      <w:t>的规定；产品不应有炸釉、磕碰、裂穿和渗漏缺陷，外观缺陷应符合表 5 的规定。</w:t>
                    </w:r>
                  </w:p>
                </w:txbxContent>
              </v:textbox>
            </v:shape>
            <v:shape id="_x0000_s1062" type="#_x0000_t202" style="width:110;height:180;left:1328;position:absolute;top:7506" filled="f" stroked="f">
              <v:textbox inset="0,0,0,0">
                <w:txbxContent>
                  <w:p>
                    <w:pPr>
                      <w:spacing w:before="0" w:line="180" w:lineRule="exact"/>
                      <w:ind w:left="0" w:right="0" w:firstLine="0"/>
                      <w:jc w:val="left"/>
                      <w:rPr>
                        <w:sz w:val="18"/>
                      </w:rPr>
                    </w:pPr>
                    <w:r>
                      <w:rPr>
                        <w:sz w:val="18"/>
                      </w:rPr>
                      <w:t>4</w:t>
                    </w:r>
                  </w:p>
                </w:txbxContent>
              </v:textbox>
            </v:shape>
            <w10:wrap type="topAndBottom"/>
          </v:group>
        </w:pict>
      </w:r>
    </w:p>
    <w:p>
      <w:pPr>
        <w:spacing w:after="0"/>
        <w:rPr>
          <w:sz w:val="14"/>
        </w:rPr>
      </w:pPr>
      <w:r>
        <w:rPr>
          <w:sz w:val="14"/>
        </w:rPr>
        <w:br/>
      </w:r>
      <w:r>
        <w:rPr>
          <w:sz w:val="1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9" w:history="1">
        <w:r>
          <w:rPr>
            <w:rFonts w:ascii="SimSun" w:eastAsia="SimSun" w:hAnsi="SimSun" w:cs="SimSun"/>
            <w:b/>
            <w:bCs/>
            <w:color w:val="0000EE"/>
            <w:sz w:val="30"/>
            <w:szCs w:val="30"/>
            <w:u w:val="single" w:color="0000EE"/>
          </w:rPr>
          <w:t>https://d.book118.com/158011042004006027</w:t>
        </w:r>
      </w:hyperlink>
    </w:p>
    <w:p>
      <w:pPr>
        <w:spacing w:after="0"/>
        <w:rPr>
          <w:sz w:val="14"/>
        </w:rPr>
      </w:pPr>
    </w:p>
    <w:sectPr>
      <w:headerReference w:type="even" r:id="rId30"/>
      <w:headerReference w:type="default" r:id="rId31"/>
      <w:pgSz w:w="11910" w:h="16840"/>
      <w:pgMar w:top="1640" w:right="260" w:bottom="280" w:left="240" w:header="1446" w:footer="0"/>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Cambria Math">
    <w:altName w:val="Cambria Math"/>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91.25pt;height:12.6pt;margin-top:71.29pt;margin-left:448.4pt;mso-position-horizontal-relative:page;mso-position-vertical-relative:page;position:absolute;z-index:-251658240" filled="f" stroked="f">
          <v:textbox inset="0,0,0,0">
            <w:txbxContent>
              <w:p>
                <w:pPr>
                  <w:pStyle w:val="BodyText"/>
                  <w:spacing w:line="252" w:lineRule="exact"/>
                  <w:ind w:left="20"/>
                  <w:rPr>
                    <w:rFonts w:ascii="黑体" w:hAnsi="黑体"/>
                  </w:rPr>
                </w:pPr>
                <w:r>
                  <w:rPr>
                    <w:rFonts w:ascii="黑体" w:hAnsi="黑体"/>
                  </w:rPr>
                  <w:t>DB 43/T 839</w:t>
                </w:r>
                <w:r>
                  <w:t>—</w:t>
                </w:r>
                <w:r>
                  <w:rPr>
                    <w:rFonts w:ascii="黑体" w:hAnsi="黑体"/>
                  </w:rPr>
                  <w:t>2023</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91.25pt;height:12.6pt;margin-top:71.29pt;margin-left:448.4pt;mso-position-horizontal-relative:page;mso-position-vertical-relative:page;position:absolute;z-index:-251657216" filled="f" stroked="f">
          <v:textbox inset="0,0,0,0">
            <w:txbxContent>
              <w:p>
                <w:pPr>
                  <w:pStyle w:val="BodyText"/>
                  <w:spacing w:line="252" w:lineRule="exact"/>
                  <w:ind w:left="20"/>
                  <w:rPr>
                    <w:rFonts w:ascii="黑体" w:hAnsi="黑体"/>
                  </w:rPr>
                </w:pPr>
                <w:r>
                  <w:rPr>
                    <w:rFonts w:ascii="黑体" w:hAnsi="黑体"/>
                  </w:rPr>
                  <w:t>DB 43/T 839</w:t>
                </w:r>
                <w:r>
                  <w:t>—</w:t>
                </w:r>
                <w:r>
                  <w:rPr>
                    <w:rFonts w:ascii="黑体" w:hAnsi="黑体"/>
                  </w:rPr>
                  <w:t>2023</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91.25pt;height:12.6pt;margin-top:71.29pt;margin-left:69.8pt;mso-position-horizontal-relative:page;mso-position-vertical-relative:page;position:absolute;z-index:-251655168" filled="f" stroked="f">
          <v:textbox inset="0,0,0,0">
            <w:txbxContent>
              <w:p>
                <w:pPr>
                  <w:pStyle w:val="BodyText"/>
                  <w:spacing w:line="252" w:lineRule="exact"/>
                  <w:ind w:left="20"/>
                  <w:rPr>
                    <w:rFonts w:ascii="黑体" w:hAnsi="黑体"/>
                  </w:rPr>
                </w:pPr>
                <w:r>
                  <w:rPr>
                    <w:rFonts w:ascii="黑体" w:hAnsi="黑体"/>
                  </w:rPr>
                  <w:t>DB 43/T 839</w:t>
                </w:r>
                <w:r>
                  <w:t>—</w:t>
                </w:r>
                <w:r>
                  <w:rPr>
                    <w:rFonts w:ascii="黑体" w:hAnsi="黑体"/>
                  </w:rPr>
                  <w:t>2023</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91.25pt;height:12.6pt;margin-top:71.29pt;margin-left:434pt;mso-position-horizontal-relative:page;mso-position-vertical-relative:page;position:absolute;z-index:-251656192" filled="f" stroked="f">
          <v:textbox inset="0,0,0,0">
            <w:txbxContent>
              <w:p>
                <w:pPr>
                  <w:pStyle w:val="BodyText"/>
                  <w:spacing w:line="252" w:lineRule="exact"/>
                  <w:ind w:left="20"/>
                  <w:rPr>
                    <w:rFonts w:ascii="黑体" w:hAnsi="黑体"/>
                  </w:rPr>
                </w:pPr>
                <w:r>
                  <w:rPr>
                    <w:rFonts w:ascii="黑体" w:hAnsi="黑体"/>
                  </w:rPr>
                  <w:t>DB 43/T 839</w:t>
                </w:r>
                <w:r>
                  <w:t>—</w:t>
                </w:r>
                <w:r>
                  <w:rPr>
                    <w:rFonts w:ascii="黑体" w:hAnsi="黑体"/>
                  </w:rPr>
                  <w:t>2023</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91.25pt;height:12.6pt;margin-top:71.29pt;margin-left:69.8pt;mso-position-horizontal-relative:page;mso-position-vertical-relative:page;position:absolute;z-index:-251653120" filled="f" stroked="f">
          <v:textbox inset="0,0,0,0">
            <w:txbxContent>
              <w:p>
                <w:pPr>
                  <w:pStyle w:val="BodyText"/>
                  <w:spacing w:line="252" w:lineRule="exact"/>
                  <w:ind w:left="20"/>
                  <w:rPr>
                    <w:rFonts w:ascii="黑体" w:hAnsi="黑体"/>
                  </w:rPr>
                </w:pPr>
                <w:r>
                  <w:rPr>
                    <w:rFonts w:ascii="黑体" w:hAnsi="黑体"/>
                  </w:rPr>
                  <w:t>DB 43/T 839</w:t>
                </w:r>
                <w:r>
                  <w:t>—</w:t>
                </w:r>
                <w:r>
                  <w:rPr>
                    <w:rFonts w:ascii="黑体" w:hAnsi="黑体"/>
                  </w:rPr>
                  <w:t>2023</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91.25pt;height:12.6pt;margin-top:71.29pt;margin-left:434pt;mso-position-horizontal-relative:page;mso-position-vertical-relative:page;position:absolute;z-index:-251654144" filled="f" stroked="f">
          <v:textbox inset="0,0,0,0">
            <w:txbxContent>
              <w:p>
                <w:pPr>
                  <w:pStyle w:val="BodyText"/>
                  <w:spacing w:line="252" w:lineRule="exact"/>
                  <w:ind w:left="20"/>
                  <w:rPr>
                    <w:rFonts w:ascii="黑体" w:hAnsi="黑体"/>
                  </w:rPr>
                </w:pPr>
                <w:r>
                  <w:rPr>
                    <w:rFonts w:ascii="黑体" w:hAnsi="黑体"/>
                  </w:rPr>
                  <w:t>DB 43/T 839</w:t>
                </w:r>
                <w:r>
                  <w:t>—</w:t>
                </w:r>
                <w:r>
                  <w:rPr>
                    <w:rFonts w:ascii="黑体" w:hAnsi="黑体"/>
                  </w:rPr>
                  <w:t>2023</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91.25pt;height:12.6pt;margin-top:71.29pt;margin-left:69.8pt;mso-position-horizontal-relative:page;mso-position-vertical-relative:page;position:absolute;z-index:-251651072" filled="f" stroked="f">
          <v:textbox inset="0,0,0,0">
            <w:txbxContent>
              <w:p>
                <w:pPr>
                  <w:pStyle w:val="BodyText"/>
                  <w:spacing w:line="252" w:lineRule="exact"/>
                  <w:ind w:left="20"/>
                  <w:rPr>
                    <w:rFonts w:ascii="黑体" w:hAnsi="黑体"/>
                  </w:rPr>
                </w:pPr>
                <w:r>
                  <w:rPr>
                    <w:rFonts w:ascii="黑体" w:hAnsi="黑体"/>
                  </w:rPr>
                  <w:t>DB 43/T 839</w:t>
                </w:r>
                <w:r>
                  <w:t>—</w:t>
                </w:r>
                <w:r>
                  <w:rPr>
                    <w:rFonts w:ascii="黑体" w:hAnsi="黑体"/>
                  </w:rPr>
                  <w:t>2023</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91.25pt;height:12.6pt;margin-top:71.29pt;margin-left:434pt;mso-position-horizontal-relative:page;mso-position-vertical-relative:page;position:absolute;z-index:-251652096" filled="f" stroked="f">
          <v:textbox inset="0,0,0,0">
            <w:txbxContent>
              <w:p>
                <w:pPr>
                  <w:pStyle w:val="BodyText"/>
                  <w:spacing w:line="252" w:lineRule="exact"/>
                  <w:ind w:left="20"/>
                  <w:rPr>
                    <w:rFonts w:ascii="黑体" w:hAnsi="黑体"/>
                  </w:rPr>
                </w:pPr>
                <w:r>
                  <w:rPr>
                    <w:rFonts w:ascii="黑体" w:hAnsi="黑体"/>
                  </w:rPr>
                  <w:t>DB 43/T 839</w:t>
                </w:r>
                <w:r>
                  <w:t>—</w:t>
                </w:r>
                <w:r>
                  <w:rPr>
                    <w:rFonts w:ascii="黑体" w:hAnsi="黑体"/>
                  </w:rPr>
                  <w:t>2023</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91.25pt;height:12.6pt;margin-top:71.29pt;margin-left:69.8pt;mso-position-horizontal-relative:page;mso-position-vertical-relative:page;position:absolute;z-index:-251649024" filled="f" stroked="f">
          <v:textbox inset="0,0,0,0">
            <w:txbxContent>
              <w:p>
                <w:pPr>
                  <w:pStyle w:val="BodyText"/>
                  <w:spacing w:line="252" w:lineRule="exact"/>
                  <w:ind w:left="20"/>
                  <w:rPr>
                    <w:rFonts w:ascii="黑体" w:hAnsi="黑体"/>
                  </w:rPr>
                </w:pPr>
                <w:r>
                  <w:rPr>
                    <w:rFonts w:ascii="黑体" w:hAnsi="黑体"/>
                  </w:rPr>
                  <w:t>DB 43/T 839</w:t>
                </w:r>
                <w:r>
                  <w:t>—</w:t>
                </w:r>
                <w:r>
                  <w:rPr>
                    <w:rFonts w:ascii="黑体" w:hAnsi="黑体"/>
                  </w:rPr>
                  <w:t>2023</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91.25pt;height:12.6pt;margin-top:71.29pt;margin-left:434pt;mso-position-horizontal-relative:page;mso-position-vertical-relative:page;position:absolute;z-index:-251650048" filled="f" stroked="f">
          <v:textbox inset="0,0,0,0">
            <w:txbxContent>
              <w:p>
                <w:pPr>
                  <w:pStyle w:val="BodyText"/>
                  <w:spacing w:line="252" w:lineRule="exact"/>
                  <w:ind w:left="20"/>
                  <w:rPr>
                    <w:rFonts w:ascii="黑体" w:hAnsi="黑体"/>
                  </w:rPr>
                </w:pPr>
                <w:r>
                  <w:rPr>
                    <w:rFonts w:ascii="黑体" w:hAnsi="黑体"/>
                  </w:rPr>
                  <w:t>DB 43/T 839</w:t>
                </w:r>
                <w:r>
                  <w:t>—</w:t>
                </w:r>
                <w:r>
                  <w:rPr>
                    <w:rFonts w:ascii="黑体" w:hAnsi="黑体"/>
                  </w:rPr>
                  <w:t>2023</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91.25pt;height:12.6pt;margin-top:71.29pt;margin-left:55.6pt;mso-position-horizontal-relative:page;mso-position-vertical-relative:page;position:absolute;z-index:-251645952" filled="f" stroked="f">
          <v:textbox inset="0,0,0,0">
            <w:txbxContent>
              <w:p>
                <w:pPr>
                  <w:pStyle w:val="BodyText"/>
                  <w:spacing w:line="252" w:lineRule="exact"/>
                  <w:ind w:left="20"/>
                  <w:rPr>
                    <w:rFonts w:ascii="黑体" w:hAnsi="黑体"/>
                  </w:rPr>
                </w:pPr>
                <w:r>
                  <w:rPr>
                    <w:rFonts w:ascii="黑体" w:hAnsi="黑体"/>
                  </w:rPr>
                  <w:t>DB 43/T 839</w:t>
                </w:r>
                <w:r>
                  <w:t>—</w:t>
                </w:r>
                <w:r>
                  <w:rPr>
                    <w:rFonts w:ascii="黑体" w:hAnsi="黑体"/>
                  </w:rPr>
                  <w:t>2023</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91.25pt;height:12.6pt;margin-top:71.29pt;margin-left:448.4pt;mso-position-horizontal-relative:page;mso-position-vertical-relative:page;position:absolute;z-index:-251648000" filled="f" stroked="f">
          <v:textbox inset="0,0,0,0">
            <w:txbxContent>
              <w:p>
                <w:pPr>
                  <w:pStyle w:val="BodyText"/>
                  <w:spacing w:line="252" w:lineRule="exact"/>
                  <w:ind w:left="20"/>
                  <w:rPr>
                    <w:rFonts w:ascii="黑体" w:hAnsi="黑体"/>
                  </w:rPr>
                </w:pPr>
                <w:r>
                  <w:rPr>
                    <w:rFonts w:ascii="黑体" w:hAnsi="黑体"/>
                  </w:rPr>
                  <w:t>DB 43/T 839</w:t>
                </w:r>
                <w:r>
                  <w:t>—</w:t>
                </w:r>
                <w:r>
                  <w:rPr>
                    <w:rFonts w:ascii="黑体" w:hAnsi="黑体"/>
                  </w:rPr>
                  <w:t>2023</w:t>
                </w:r>
              </w:p>
            </w:txbxContent>
          </v:textbox>
        </v:shape>
      </w:pict>
    </w:r>
    <w:r>
      <w:pict>
        <v:shape id="_x0000_s2060" type="#_x0000_t202" style="width:17.9pt;height:12.6pt;margin-top:97.89pt;margin-left:290.4pt;mso-position-horizontal-relative:page;mso-position-vertical-relative:page;position:absolute;z-index:-251646976" filled="f" stroked="f">
          <v:textbox inset="0,0,0,0">
            <w:txbxContent>
              <w:p>
                <w:pPr>
                  <w:pStyle w:val="BodyText"/>
                  <w:spacing w:line="252" w:lineRule="exact"/>
                  <w:ind w:left="20"/>
                  <w:rPr>
                    <w:rFonts w:ascii="黑体" w:eastAsia="黑体" w:hint="eastAsia"/>
                  </w:rPr>
                </w:pPr>
                <w:r>
                  <w:rPr>
                    <w:rFonts w:ascii="黑体" w:eastAsia="黑体" w:hint="eastAsia"/>
                  </w:rPr>
                  <w:t>表2</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91.25pt;height:12.6pt;margin-top:71.29pt;margin-left:55.6pt;mso-position-horizontal-relative:page;mso-position-vertical-relative:page;position:absolute;z-index:-251642880" filled="f" stroked="f">
          <v:textbox inset="0,0,0,0">
            <w:txbxContent>
              <w:p>
                <w:pPr>
                  <w:pStyle w:val="BodyText"/>
                  <w:spacing w:line="252" w:lineRule="exact"/>
                  <w:ind w:left="20"/>
                  <w:rPr>
                    <w:rFonts w:ascii="黑体" w:hAnsi="黑体"/>
                  </w:rPr>
                </w:pPr>
                <w:r>
                  <w:rPr>
                    <w:rFonts w:ascii="黑体" w:hAnsi="黑体"/>
                  </w:rPr>
                  <w:t>DB 43/T 839</w:t>
                </w:r>
                <w:r>
                  <w:t>—</w:t>
                </w:r>
                <w:r>
                  <w:rPr>
                    <w:rFonts w:ascii="黑体" w:hAnsi="黑体"/>
                  </w:rPr>
                  <w:t>2023</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91.25pt;height:12.6pt;margin-top:71.29pt;margin-left:448.4pt;mso-position-horizontal-relative:page;mso-position-vertical-relative:page;position:absolute;z-index:-251644928" filled="f" stroked="f">
          <v:textbox inset="0,0,0,0">
            <w:txbxContent>
              <w:p>
                <w:pPr>
                  <w:pStyle w:val="BodyText"/>
                  <w:spacing w:line="252" w:lineRule="exact"/>
                  <w:ind w:left="20"/>
                  <w:rPr>
                    <w:rFonts w:ascii="黑体" w:hAnsi="黑体"/>
                  </w:rPr>
                </w:pPr>
                <w:r>
                  <w:rPr>
                    <w:rFonts w:ascii="黑体" w:hAnsi="黑体"/>
                  </w:rPr>
                  <w:t>DB 43/T 839</w:t>
                </w:r>
                <w:r>
                  <w:t>—</w:t>
                </w:r>
                <w:r>
                  <w:rPr>
                    <w:rFonts w:ascii="黑体" w:hAnsi="黑体"/>
                  </w:rPr>
                  <w:t>2023</w:t>
                </w:r>
              </w:p>
            </w:txbxContent>
          </v:textbox>
        </v:shape>
      </w:pict>
    </w:r>
    <w:r>
      <w:pict>
        <v:shape id="_x0000_s2063" type="#_x0000_t202" style="width:17.9pt;height:12.6pt;margin-top:97.89pt;margin-left:290.4pt;mso-position-horizontal-relative:page;mso-position-vertical-relative:page;position:absolute;z-index:-251643904" filled="f" stroked="f">
          <v:textbox inset="0,0,0,0">
            <w:txbxContent>
              <w:p>
                <w:pPr>
                  <w:pStyle w:val="BodyText"/>
                  <w:spacing w:line="252" w:lineRule="exact"/>
                  <w:ind w:left="20"/>
                  <w:rPr>
                    <w:rFonts w:ascii="黑体" w:eastAsia="黑体" w:hint="eastAsia"/>
                  </w:rPr>
                </w:pPr>
                <w:r>
                  <w:rPr>
                    <w:rFonts w:ascii="黑体" w:eastAsia="黑体" w:hint="eastAsia"/>
                  </w:rPr>
                  <w:t>表2</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C195F8"/>
    <w:multiLevelType w:val="hybridMultilevel"/>
    <w:tmpl w:val="00000000"/>
    <w:lvl w:ilvl="0">
      <w:start w:val="6"/>
      <w:numFmt w:val="decimal"/>
      <w:lvlText w:val="%1"/>
      <w:lvlJc w:val="left"/>
      <w:pPr>
        <w:ind w:left="1912" w:hanging="737"/>
        <w:jc w:val="left"/>
      </w:pPr>
      <w:rPr>
        <w:rFonts w:hint="default"/>
        <w:lang w:val="en-US" w:eastAsia="en-US" w:bidi="ar-SA"/>
      </w:rPr>
    </w:lvl>
    <w:lvl w:ilvl="1">
      <w:start w:val="3"/>
      <w:numFmt w:val="decimal"/>
      <w:lvlText w:val="%1.%2"/>
      <w:lvlJc w:val="left"/>
      <w:pPr>
        <w:ind w:left="1912" w:hanging="737"/>
        <w:jc w:val="left"/>
      </w:pPr>
      <w:rPr>
        <w:rFonts w:hint="default"/>
        <w:lang w:val="en-US" w:eastAsia="en-US" w:bidi="ar-SA"/>
      </w:rPr>
    </w:lvl>
    <w:lvl w:ilvl="2">
      <w:start w:val="1"/>
      <w:numFmt w:val="decimal"/>
      <w:lvlText w:val="%1.%2.%3"/>
      <w:lvlJc w:val="left"/>
      <w:pPr>
        <w:ind w:left="1912" w:hanging="737"/>
        <w:jc w:val="left"/>
      </w:pPr>
      <w:rPr>
        <w:rFonts w:ascii="黑体" w:eastAsia="黑体" w:hAnsi="黑体" w:cs="黑体" w:hint="default"/>
        <w:spacing w:val="-3"/>
        <w:w w:val="100"/>
        <w:sz w:val="21"/>
        <w:szCs w:val="21"/>
        <w:lang w:val="en-US" w:eastAsia="en-US" w:bidi="ar-SA"/>
      </w:rPr>
    </w:lvl>
    <w:lvl w:ilvl="3">
      <w:start w:val="0"/>
      <w:numFmt w:val="bullet"/>
      <w:lvlText w:val="•"/>
      <w:lvlJc w:val="left"/>
      <w:pPr>
        <w:ind w:left="4766" w:hanging="737"/>
      </w:pPr>
      <w:rPr>
        <w:rFonts w:hint="default"/>
        <w:lang w:val="en-US" w:eastAsia="en-US" w:bidi="ar-SA"/>
      </w:rPr>
    </w:lvl>
    <w:lvl w:ilvl="4">
      <w:start w:val="0"/>
      <w:numFmt w:val="bullet"/>
      <w:lvlText w:val="•"/>
      <w:lvlJc w:val="left"/>
      <w:pPr>
        <w:ind w:left="5715" w:hanging="737"/>
      </w:pPr>
      <w:rPr>
        <w:rFonts w:hint="default"/>
        <w:lang w:val="en-US" w:eastAsia="en-US" w:bidi="ar-SA"/>
      </w:rPr>
    </w:lvl>
    <w:lvl w:ilvl="5">
      <w:start w:val="0"/>
      <w:numFmt w:val="bullet"/>
      <w:lvlText w:val="•"/>
      <w:lvlJc w:val="left"/>
      <w:pPr>
        <w:ind w:left="6664" w:hanging="737"/>
      </w:pPr>
      <w:rPr>
        <w:rFonts w:hint="default"/>
        <w:lang w:val="en-US" w:eastAsia="en-US" w:bidi="ar-SA"/>
      </w:rPr>
    </w:lvl>
    <w:lvl w:ilvl="6">
      <w:start w:val="0"/>
      <w:numFmt w:val="bullet"/>
      <w:lvlText w:val="•"/>
      <w:lvlJc w:val="left"/>
      <w:pPr>
        <w:ind w:left="7612" w:hanging="737"/>
      </w:pPr>
      <w:rPr>
        <w:rFonts w:hint="default"/>
        <w:lang w:val="en-US" w:eastAsia="en-US" w:bidi="ar-SA"/>
      </w:rPr>
    </w:lvl>
    <w:lvl w:ilvl="7">
      <w:start w:val="0"/>
      <w:numFmt w:val="bullet"/>
      <w:lvlText w:val="•"/>
      <w:lvlJc w:val="left"/>
      <w:pPr>
        <w:ind w:left="8561" w:hanging="737"/>
      </w:pPr>
      <w:rPr>
        <w:rFonts w:hint="default"/>
        <w:lang w:val="en-US" w:eastAsia="en-US" w:bidi="ar-SA"/>
      </w:rPr>
    </w:lvl>
    <w:lvl w:ilvl="8">
      <w:start w:val="0"/>
      <w:numFmt w:val="bullet"/>
      <w:lvlText w:val="•"/>
      <w:lvlJc w:val="left"/>
      <w:pPr>
        <w:ind w:left="9510" w:hanging="737"/>
      </w:pPr>
      <w:rPr>
        <w:rFonts w:hint="default"/>
        <w:lang w:val="en-US" w:eastAsia="en-US" w:bidi="ar-SA"/>
      </w:rPr>
    </w:lvl>
  </w:abstractNum>
  <w:abstractNum w:abstractNumId="1">
    <w:nsid w:val="08D751DB"/>
    <w:multiLevelType w:val="hybridMultilevel"/>
    <w:tmpl w:val="00000000"/>
    <w:lvl w:ilvl="0">
      <w:start w:val="10"/>
      <w:numFmt w:val="decimal"/>
      <w:lvlText w:val="%1"/>
      <w:lvlJc w:val="left"/>
      <w:pPr>
        <w:ind w:left="1175" w:hanging="1052"/>
        <w:jc w:val="left"/>
      </w:pPr>
      <w:rPr>
        <w:rFonts w:hint="default"/>
        <w:lang w:val="en-US" w:eastAsia="en-US" w:bidi="ar-SA"/>
      </w:rPr>
    </w:lvl>
    <w:lvl w:ilvl="1">
      <w:start w:val="2"/>
      <w:numFmt w:val="decimal"/>
      <w:lvlText w:val="%1.%2"/>
      <w:lvlJc w:val="left"/>
      <w:pPr>
        <w:ind w:left="1175" w:hanging="1052"/>
        <w:jc w:val="left"/>
      </w:pPr>
      <w:rPr>
        <w:rFonts w:hint="default"/>
        <w:lang w:val="en-US" w:eastAsia="en-US" w:bidi="ar-SA"/>
      </w:rPr>
    </w:lvl>
    <w:lvl w:ilvl="2">
      <w:start w:val="1"/>
      <w:numFmt w:val="decimal"/>
      <w:lvlText w:val="%1.%2.%3"/>
      <w:lvlJc w:val="left"/>
      <w:pPr>
        <w:ind w:left="1175" w:hanging="1052"/>
        <w:jc w:val="left"/>
      </w:pPr>
      <w:rPr>
        <w:rFonts w:hint="default"/>
        <w:lang w:val="en-US" w:eastAsia="en-US" w:bidi="ar-SA"/>
      </w:rPr>
    </w:lvl>
    <w:lvl w:ilvl="3">
      <w:start w:val="2"/>
      <w:numFmt w:val="decimal"/>
      <w:lvlText w:val="%1.%2.%3.%4"/>
      <w:lvlJc w:val="left"/>
      <w:pPr>
        <w:ind w:left="1175" w:hanging="1052"/>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5271" w:hanging="1052"/>
      </w:pPr>
      <w:rPr>
        <w:rFonts w:hint="default"/>
        <w:lang w:val="en-US" w:eastAsia="en-US" w:bidi="ar-SA"/>
      </w:rPr>
    </w:lvl>
    <w:lvl w:ilvl="5">
      <w:start w:val="0"/>
      <w:numFmt w:val="bullet"/>
      <w:lvlText w:val="•"/>
      <w:lvlJc w:val="left"/>
      <w:pPr>
        <w:ind w:left="6294" w:hanging="1052"/>
      </w:pPr>
      <w:rPr>
        <w:rFonts w:hint="default"/>
        <w:lang w:val="en-US" w:eastAsia="en-US" w:bidi="ar-SA"/>
      </w:rPr>
    </w:lvl>
    <w:lvl w:ilvl="6">
      <w:start w:val="0"/>
      <w:numFmt w:val="bullet"/>
      <w:lvlText w:val="•"/>
      <w:lvlJc w:val="left"/>
      <w:pPr>
        <w:ind w:left="7316" w:hanging="1052"/>
      </w:pPr>
      <w:rPr>
        <w:rFonts w:hint="default"/>
        <w:lang w:val="en-US" w:eastAsia="en-US" w:bidi="ar-SA"/>
      </w:rPr>
    </w:lvl>
    <w:lvl w:ilvl="7">
      <w:start w:val="0"/>
      <w:numFmt w:val="bullet"/>
      <w:lvlText w:val="•"/>
      <w:lvlJc w:val="left"/>
      <w:pPr>
        <w:ind w:left="8339" w:hanging="1052"/>
      </w:pPr>
      <w:rPr>
        <w:rFonts w:hint="default"/>
        <w:lang w:val="en-US" w:eastAsia="en-US" w:bidi="ar-SA"/>
      </w:rPr>
    </w:lvl>
    <w:lvl w:ilvl="8">
      <w:start w:val="0"/>
      <w:numFmt w:val="bullet"/>
      <w:lvlText w:val="•"/>
      <w:lvlJc w:val="left"/>
      <w:pPr>
        <w:ind w:left="9362" w:hanging="1052"/>
      </w:pPr>
      <w:rPr>
        <w:rFonts w:hint="default"/>
        <w:lang w:val="en-US" w:eastAsia="en-US" w:bidi="ar-SA"/>
      </w:rPr>
    </w:lvl>
  </w:abstractNum>
  <w:abstractNum w:abstractNumId="2">
    <w:nsid w:val="176146CD"/>
    <w:multiLevelType w:val="hybridMultilevel"/>
    <w:tmpl w:val="00000000"/>
    <w:lvl w:ilvl="0">
      <w:start w:val="1"/>
      <w:numFmt w:val="decimal"/>
      <w:lvlText w:val="%1"/>
      <w:lvlJc w:val="left"/>
      <w:pPr>
        <w:ind w:left="1491" w:hanging="316"/>
        <w:jc w:val="left"/>
      </w:pPr>
      <w:rPr>
        <w:rFonts w:ascii="黑体" w:eastAsia="黑体" w:hAnsi="黑体" w:cs="黑体" w:hint="default"/>
        <w:w w:val="100"/>
        <w:sz w:val="21"/>
        <w:szCs w:val="21"/>
        <w:lang w:val="en-US" w:eastAsia="en-US" w:bidi="ar-SA"/>
      </w:rPr>
    </w:lvl>
    <w:lvl w:ilvl="1">
      <w:start w:val="0"/>
      <w:numFmt w:val="bullet"/>
      <w:lvlText w:val="•"/>
      <w:lvlJc w:val="left"/>
      <w:pPr>
        <w:ind w:left="2490" w:hanging="316"/>
      </w:pPr>
      <w:rPr>
        <w:rFonts w:hint="default"/>
        <w:lang w:val="en-US" w:eastAsia="en-US" w:bidi="ar-SA"/>
      </w:rPr>
    </w:lvl>
    <w:lvl w:ilvl="2">
      <w:start w:val="0"/>
      <w:numFmt w:val="bullet"/>
      <w:lvlText w:val="•"/>
      <w:lvlJc w:val="left"/>
      <w:pPr>
        <w:ind w:left="3481" w:hanging="316"/>
      </w:pPr>
      <w:rPr>
        <w:rFonts w:hint="default"/>
        <w:lang w:val="en-US" w:eastAsia="en-US" w:bidi="ar-SA"/>
      </w:rPr>
    </w:lvl>
    <w:lvl w:ilvl="3">
      <w:start w:val="0"/>
      <w:numFmt w:val="bullet"/>
      <w:lvlText w:val="•"/>
      <w:lvlJc w:val="left"/>
      <w:pPr>
        <w:ind w:left="4472" w:hanging="316"/>
      </w:pPr>
      <w:rPr>
        <w:rFonts w:hint="default"/>
        <w:lang w:val="en-US" w:eastAsia="en-US" w:bidi="ar-SA"/>
      </w:rPr>
    </w:lvl>
    <w:lvl w:ilvl="4">
      <w:start w:val="0"/>
      <w:numFmt w:val="bullet"/>
      <w:lvlText w:val="•"/>
      <w:lvlJc w:val="left"/>
      <w:pPr>
        <w:ind w:left="5463" w:hanging="316"/>
      </w:pPr>
      <w:rPr>
        <w:rFonts w:hint="default"/>
        <w:lang w:val="en-US" w:eastAsia="en-US" w:bidi="ar-SA"/>
      </w:rPr>
    </w:lvl>
    <w:lvl w:ilvl="5">
      <w:start w:val="0"/>
      <w:numFmt w:val="bullet"/>
      <w:lvlText w:val="•"/>
      <w:lvlJc w:val="left"/>
      <w:pPr>
        <w:ind w:left="6454" w:hanging="316"/>
      </w:pPr>
      <w:rPr>
        <w:rFonts w:hint="default"/>
        <w:lang w:val="en-US" w:eastAsia="en-US" w:bidi="ar-SA"/>
      </w:rPr>
    </w:lvl>
    <w:lvl w:ilvl="6">
      <w:start w:val="0"/>
      <w:numFmt w:val="bullet"/>
      <w:lvlText w:val="•"/>
      <w:lvlJc w:val="left"/>
      <w:pPr>
        <w:ind w:left="7444" w:hanging="316"/>
      </w:pPr>
      <w:rPr>
        <w:rFonts w:hint="default"/>
        <w:lang w:val="en-US" w:eastAsia="en-US" w:bidi="ar-SA"/>
      </w:rPr>
    </w:lvl>
    <w:lvl w:ilvl="7">
      <w:start w:val="0"/>
      <w:numFmt w:val="bullet"/>
      <w:lvlText w:val="•"/>
      <w:lvlJc w:val="left"/>
      <w:pPr>
        <w:ind w:left="8435" w:hanging="316"/>
      </w:pPr>
      <w:rPr>
        <w:rFonts w:hint="default"/>
        <w:lang w:val="en-US" w:eastAsia="en-US" w:bidi="ar-SA"/>
      </w:rPr>
    </w:lvl>
    <w:lvl w:ilvl="8">
      <w:start w:val="0"/>
      <w:numFmt w:val="bullet"/>
      <w:lvlText w:val="•"/>
      <w:lvlJc w:val="left"/>
      <w:pPr>
        <w:ind w:left="9426" w:hanging="316"/>
      </w:pPr>
      <w:rPr>
        <w:rFonts w:hint="default"/>
        <w:lang w:val="en-US" w:eastAsia="en-US" w:bidi="ar-SA"/>
      </w:rPr>
    </w:lvl>
  </w:abstractNum>
  <w:abstractNum w:abstractNumId="3">
    <w:nsid w:val="211026AF"/>
    <w:multiLevelType w:val="hybridMultilevel"/>
    <w:tmpl w:val="00000000"/>
    <w:lvl w:ilvl="0">
      <w:start w:val="8"/>
      <w:numFmt w:val="decimal"/>
      <w:lvlText w:val="%1"/>
      <w:lvlJc w:val="left"/>
      <w:pPr>
        <w:ind w:left="944" w:hanging="945"/>
        <w:jc w:val="left"/>
      </w:pPr>
      <w:rPr>
        <w:rFonts w:hint="default"/>
        <w:lang w:val="en-US" w:eastAsia="en-US" w:bidi="ar-SA"/>
      </w:rPr>
    </w:lvl>
    <w:lvl w:ilvl="1">
      <w:start w:val="1"/>
      <w:numFmt w:val="decimal"/>
      <w:lvlText w:val="%1.%2"/>
      <w:lvlJc w:val="left"/>
      <w:pPr>
        <w:ind w:left="944" w:hanging="945"/>
        <w:jc w:val="left"/>
      </w:pPr>
      <w:rPr>
        <w:rFonts w:hint="default"/>
        <w:lang w:val="en-US" w:eastAsia="en-US" w:bidi="ar-SA"/>
      </w:rPr>
    </w:lvl>
    <w:lvl w:ilvl="2">
      <w:start w:val="1"/>
      <w:numFmt w:val="decimal"/>
      <w:lvlText w:val="%1.%2.%3"/>
      <w:lvlJc w:val="left"/>
      <w:pPr>
        <w:ind w:left="944" w:hanging="945"/>
        <w:jc w:val="left"/>
      </w:pPr>
      <w:rPr>
        <w:rFonts w:hint="default"/>
        <w:lang w:val="en-US" w:eastAsia="en-US" w:bidi="ar-SA"/>
      </w:rPr>
    </w:lvl>
    <w:lvl w:ilvl="3">
      <w:start w:val="3"/>
      <w:numFmt w:val="decimal"/>
      <w:lvlText w:val="%1.%2.%3.%4"/>
      <w:lvlJc w:val="left"/>
      <w:pPr>
        <w:ind w:left="944" w:hanging="945"/>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4316" w:hanging="945"/>
      </w:pPr>
      <w:rPr>
        <w:rFonts w:hint="default"/>
        <w:lang w:val="en-US" w:eastAsia="en-US" w:bidi="ar-SA"/>
      </w:rPr>
    </w:lvl>
    <w:lvl w:ilvl="5">
      <w:start w:val="0"/>
      <w:numFmt w:val="bullet"/>
      <w:lvlText w:val="•"/>
      <w:lvlJc w:val="left"/>
      <w:pPr>
        <w:ind w:left="5160" w:hanging="945"/>
      </w:pPr>
      <w:rPr>
        <w:rFonts w:hint="default"/>
        <w:lang w:val="en-US" w:eastAsia="en-US" w:bidi="ar-SA"/>
      </w:rPr>
    </w:lvl>
    <w:lvl w:ilvl="6">
      <w:start w:val="0"/>
      <w:numFmt w:val="bullet"/>
      <w:lvlText w:val="•"/>
      <w:lvlJc w:val="left"/>
      <w:pPr>
        <w:ind w:left="6004" w:hanging="945"/>
      </w:pPr>
      <w:rPr>
        <w:rFonts w:hint="default"/>
        <w:lang w:val="en-US" w:eastAsia="en-US" w:bidi="ar-SA"/>
      </w:rPr>
    </w:lvl>
    <w:lvl w:ilvl="7">
      <w:start w:val="0"/>
      <w:numFmt w:val="bullet"/>
      <w:lvlText w:val="•"/>
      <w:lvlJc w:val="left"/>
      <w:pPr>
        <w:ind w:left="6848" w:hanging="945"/>
      </w:pPr>
      <w:rPr>
        <w:rFonts w:hint="default"/>
        <w:lang w:val="en-US" w:eastAsia="en-US" w:bidi="ar-SA"/>
      </w:rPr>
    </w:lvl>
    <w:lvl w:ilvl="8">
      <w:start w:val="0"/>
      <w:numFmt w:val="bullet"/>
      <w:lvlText w:val="•"/>
      <w:lvlJc w:val="left"/>
      <w:pPr>
        <w:ind w:left="7692" w:hanging="945"/>
      </w:pPr>
      <w:rPr>
        <w:rFonts w:hint="default"/>
        <w:lang w:val="en-US" w:eastAsia="en-US" w:bidi="ar-SA"/>
      </w:rPr>
    </w:lvl>
  </w:abstractNum>
  <w:abstractNum w:abstractNumId="4">
    <w:nsid w:val="233F3050"/>
    <w:multiLevelType w:val="hybridMultilevel"/>
    <w:tmpl w:val="00000000"/>
    <w:lvl w:ilvl="0">
      <w:start w:val="7"/>
      <w:numFmt w:val="decimal"/>
      <w:lvlText w:val="%1"/>
      <w:lvlJc w:val="left"/>
      <w:pPr>
        <w:ind w:left="736" w:hanging="737"/>
        <w:jc w:val="left"/>
      </w:pPr>
      <w:rPr>
        <w:rFonts w:hint="default"/>
        <w:lang w:val="en-US" w:eastAsia="en-US" w:bidi="ar-SA"/>
      </w:rPr>
    </w:lvl>
    <w:lvl w:ilvl="1">
      <w:start w:val="2"/>
      <w:numFmt w:val="decimal"/>
      <w:lvlText w:val="%1.%2"/>
      <w:lvlJc w:val="left"/>
      <w:pPr>
        <w:ind w:left="736" w:hanging="737"/>
        <w:jc w:val="left"/>
      </w:pPr>
      <w:rPr>
        <w:rFonts w:hint="default"/>
        <w:lang w:val="en-US" w:eastAsia="en-US" w:bidi="ar-SA"/>
      </w:rPr>
    </w:lvl>
    <w:lvl w:ilvl="2">
      <w:start w:val="3"/>
      <w:numFmt w:val="decimal"/>
      <w:lvlText w:val="%1.%2.%3"/>
      <w:lvlJc w:val="left"/>
      <w:pPr>
        <w:ind w:left="736" w:hanging="737"/>
        <w:jc w:val="left"/>
      </w:pPr>
      <w:rPr>
        <w:rFonts w:ascii="黑体" w:eastAsia="黑体" w:hAnsi="黑体" w:cs="黑体" w:hint="default"/>
        <w:spacing w:val="-3"/>
        <w:w w:val="100"/>
        <w:sz w:val="21"/>
        <w:szCs w:val="21"/>
        <w:lang w:val="en-US" w:eastAsia="en-US" w:bidi="ar-SA"/>
      </w:rPr>
    </w:lvl>
    <w:lvl w:ilvl="3">
      <w:start w:val="1"/>
      <w:numFmt w:val="decimal"/>
      <w:lvlText w:val="%1.%2.%3.%4"/>
      <w:lvlJc w:val="left"/>
      <w:pPr>
        <w:ind w:left="944" w:hanging="945"/>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3260" w:hanging="945"/>
      </w:pPr>
      <w:rPr>
        <w:rFonts w:hint="default"/>
        <w:lang w:val="en-US" w:eastAsia="en-US" w:bidi="ar-SA"/>
      </w:rPr>
    </w:lvl>
    <w:lvl w:ilvl="5">
      <w:start w:val="0"/>
      <w:numFmt w:val="bullet"/>
      <w:lvlText w:val="•"/>
      <w:lvlJc w:val="left"/>
      <w:pPr>
        <w:ind w:left="4033" w:hanging="945"/>
      </w:pPr>
      <w:rPr>
        <w:rFonts w:hint="default"/>
        <w:lang w:val="en-US" w:eastAsia="en-US" w:bidi="ar-SA"/>
      </w:rPr>
    </w:lvl>
    <w:lvl w:ilvl="6">
      <w:start w:val="0"/>
      <w:numFmt w:val="bullet"/>
      <w:lvlText w:val="•"/>
      <w:lvlJc w:val="left"/>
      <w:pPr>
        <w:ind w:left="4806" w:hanging="945"/>
      </w:pPr>
      <w:rPr>
        <w:rFonts w:hint="default"/>
        <w:lang w:val="en-US" w:eastAsia="en-US" w:bidi="ar-SA"/>
      </w:rPr>
    </w:lvl>
    <w:lvl w:ilvl="7">
      <w:start w:val="0"/>
      <w:numFmt w:val="bullet"/>
      <w:lvlText w:val="•"/>
      <w:lvlJc w:val="left"/>
      <w:pPr>
        <w:ind w:left="5580" w:hanging="945"/>
      </w:pPr>
      <w:rPr>
        <w:rFonts w:hint="default"/>
        <w:lang w:val="en-US" w:eastAsia="en-US" w:bidi="ar-SA"/>
      </w:rPr>
    </w:lvl>
    <w:lvl w:ilvl="8">
      <w:start w:val="0"/>
      <w:numFmt w:val="bullet"/>
      <w:lvlText w:val="•"/>
      <w:lvlJc w:val="left"/>
      <w:pPr>
        <w:ind w:left="6353" w:hanging="945"/>
      </w:pPr>
      <w:rPr>
        <w:rFonts w:hint="default"/>
        <w:lang w:val="en-US" w:eastAsia="en-US" w:bidi="ar-SA"/>
      </w:rPr>
    </w:lvl>
  </w:abstractNum>
  <w:abstractNum w:abstractNumId="5">
    <w:nsid w:val="28B6F4DB"/>
    <w:multiLevelType w:val="hybridMultilevel"/>
    <w:tmpl w:val="00000000"/>
    <w:lvl w:ilvl="0">
      <w:start w:val="10"/>
      <w:numFmt w:val="decimal"/>
      <w:lvlText w:val="%1"/>
      <w:lvlJc w:val="left"/>
      <w:pPr>
        <w:ind w:left="840" w:hanging="840"/>
        <w:jc w:val="left"/>
      </w:pPr>
      <w:rPr>
        <w:rFonts w:hint="default"/>
        <w:lang w:val="en-US" w:eastAsia="en-US" w:bidi="ar-SA"/>
      </w:rPr>
    </w:lvl>
    <w:lvl w:ilvl="1">
      <w:start w:val="3"/>
      <w:numFmt w:val="decimal"/>
      <w:lvlText w:val="%1.%2"/>
      <w:lvlJc w:val="left"/>
      <w:pPr>
        <w:ind w:left="840" w:hanging="840"/>
        <w:jc w:val="left"/>
      </w:pPr>
      <w:rPr>
        <w:rFonts w:hint="default"/>
        <w:lang w:val="en-US" w:eastAsia="en-US" w:bidi="ar-SA"/>
      </w:rPr>
    </w:lvl>
    <w:lvl w:ilvl="2">
      <w:start w:val="1"/>
      <w:numFmt w:val="decimal"/>
      <w:lvlText w:val="%1.%2.%3"/>
      <w:lvlJc w:val="left"/>
      <w:pPr>
        <w:ind w:left="840" w:hanging="840"/>
        <w:jc w:val="left"/>
      </w:pPr>
      <w:rPr>
        <w:rFonts w:ascii="黑体" w:eastAsia="黑体" w:hAnsi="黑体" w:cs="黑体" w:hint="default"/>
        <w:spacing w:val="-3"/>
        <w:w w:val="100"/>
        <w:sz w:val="21"/>
        <w:szCs w:val="21"/>
        <w:lang w:val="en-US" w:eastAsia="en-US" w:bidi="ar-SA"/>
      </w:rPr>
    </w:lvl>
    <w:lvl w:ilvl="3">
      <w:start w:val="1"/>
      <w:numFmt w:val="decimal"/>
      <w:lvlText w:val="%1.%2.%3.%4"/>
      <w:lvlJc w:val="left"/>
      <w:pPr>
        <w:ind w:left="1051" w:hanging="1052"/>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3833" w:hanging="1052"/>
      </w:pPr>
      <w:rPr>
        <w:rFonts w:hint="default"/>
        <w:lang w:val="en-US" w:eastAsia="en-US" w:bidi="ar-SA"/>
      </w:rPr>
    </w:lvl>
    <w:lvl w:ilvl="5">
      <w:start w:val="0"/>
      <w:numFmt w:val="bullet"/>
      <w:lvlText w:val="•"/>
      <w:lvlJc w:val="left"/>
      <w:pPr>
        <w:ind w:left="4757" w:hanging="1052"/>
      </w:pPr>
      <w:rPr>
        <w:rFonts w:hint="default"/>
        <w:lang w:val="en-US" w:eastAsia="en-US" w:bidi="ar-SA"/>
      </w:rPr>
    </w:lvl>
    <w:lvl w:ilvl="6">
      <w:start w:val="0"/>
      <w:numFmt w:val="bullet"/>
      <w:lvlText w:val="•"/>
      <w:lvlJc w:val="left"/>
      <w:pPr>
        <w:ind w:left="5682" w:hanging="1052"/>
      </w:pPr>
      <w:rPr>
        <w:rFonts w:hint="default"/>
        <w:lang w:val="en-US" w:eastAsia="en-US" w:bidi="ar-SA"/>
      </w:rPr>
    </w:lvl>
    <w:lvl w:ilvl="7">
      <w:start w:val="0"/>
      <w:numFmt w:val="bullet"/>
      <w:lvlText w:val="•"/>
      <w:lvlJc w:val="left"/>
      <w:pPr>
        <w:ind w:left="6606" w:hanging="1052"/>
      </w:pPr>
      <w:rPr>
        <w:rFonts w:hint="default"/>
        <w:lang w:val="en-US" w:eastAsia="en-US" w:bidi="ar-SA"/>
      </w:rPr>
    </w:lvl>
    <w:lvl w:ilvl="8">
      <w:start w:val="0"/>
      <w:numFmt w:val="bullet"/>
      <w:lvlText w:val="•"/>
      <w:lvlJc w:val="left"/>
      <w:pPr>
        <w:ind w:left="7531" w:hanging="1052"/>
      </w:pPr>
      <w:rPr>
        <w:rFonts w:hint="default"/>
        <w:lang w:val="en-US" w:eastAsia="en-US" w:bidi="ar-SA"/>
      </w:rPr>
    </w:lvl>
  </w:abstractNum>
  <w:abstractNum w:abstractNumId="6">
    <w:nsid w:val="2FD0B8CF"/>
    <w:multiLevelType w:val="hybridMultilevel"/>
    <w:tmpl w:val="00000000"/>
    <w:lvl w:ilvl="0">
      <w:start w:val="10"/>
      <w:numFmt w:val="decimal"/>
      <w:lvlText w:val="%1"/>
      <w:lvlJc w:val="left"/>
      <w:pPr>
        <w:ind w:left="1052" w:hanging="1052"/>
        <w:jc w:val="left"/>
      </w:pPr>
      <w:rPr>
        <w:rFonts w:hint="default"/>
        <w:lang w:val="en-US" w:eastAsia="en-US" w:bidi="ar-SA"/>
      </w:rPr>
    </w:lvl>
    <w:lvl w:ilvl="1">
      <w:start w:val="3"/>
      <w:numFmt w:val="decimal"/>
      <w:lvlText w:val="%1.%2"/>
      <w:lvlJc w:val="left"/>
      <w:pPr>
        <w:ind w:left="1052" w:hanging="1052"/>
        <w:jc w:val="left"/>
      </w:pPr>
      <w:rPr>
        <w:rFonts w:hint="default"/>
        <w:lang w:val="en-US" w:eastAsia="en-US" w:bidi="ar-SA"/>
      </w:rPr>
    </w:lvl>
    <w:lvl w:ilvl="2">
      <w:start w:val="1"/>
      <w:numFmt w:val="decimal"/>
      <w:lvlText w:val="%1.%2.%3"/>
      <w:lvlJc w:val="left"/>
      <w:pPr>
        <w:ind w:left="1052" w:hanging="1052"/>
        <w:jc w:val="left"/>
      </w:pPr>
      <w:rPr>
        <w:rFonts w:hint="default"/>
        <w:lang w:val="en-US" w:eastAsia="en-US" w:bidi="ar-SA"/>
      </w:rPr>
    </w:lvl>
    <w:lvl w:ilvl="3">
      <w:start w:val="5"/>
      <w:numFmt w:val="decimal"/>
      <w:lvlText w:val="%1.%2.%3.%4"/>
      <w:lvlJc w:val="left"/>
      <w:pPr>
        <w:ind w:left="1052" w:hanging="1052"/>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4175" w:hanging="1052"/>
      </w:pPr>
      <w:rPr>
        <w:rFonts w:hint="default"/>
        <w:lang w:val="en-US" w:eastAsia="en-US" w:bidi="ar-SA"/>
      </w:rPr>
    </w:lvl>
    <w:lvl w:ilvl="5">
      <w:start w:val="0"/>
      <w:numFmt w:val="bullet"/>
      <w:lvlText w:val="•"/>
      <w:lvlJc w:val="left"/>
      <w:pPr>
        <w:ind w:left="4954" w:hanging="1052"/>
      </w:pPr>
      <w:rPr>
        <w:rFonts w:hint="default"/>
        <w:lang w:val="en-US" w:eastAsia="en-US" w:bidi="ar-SA"/>
      </w:rPr>
    </w:lvl>
    <w:lvl w:ilvl="6">
      <w:start w:val="0"/>
      <w:numFmt w:val="bullet"/>
      <w:lvlText w:val="•"/>
      <w:lvlJc w:val="left"/>
      <w:pPr>
        <w:ind w:left="5732" w:hanging="1052"/>
      </w:pPr>
      <w:rPr>
        <w:rFonts w:hint="default"/>
        <w:lang w:val="en-US" w:eastAsia="en-US" w:bidi="ar-SA"/>
      </w:rPr>
    </w:lvl>
    <w:lvl w:ilvl="7">
      <w:start w:val="0"/>
      <w:numFmt w:val="bullet"/>
      <w:lvlText w:val="•"/>
      <w:lvlJc w:val="left"/>
      <w:pPr>
        <w:ind w:left="6511" w:hanging="1052"/>
      </w:pPr>
      <w:rPr>
        <w:rFonts w:hint="default"/>
        <w:lang w:val="en-US" w:eastAsia="en-US" w:bidi="ar-SA"/>
      </w:rPr>
    </w:lvl>
    <w:lvl w:ilvl="8">
      <w:start w:val="0"/>
      <w:numFmt w:val="bullet"/>
      <w:lvlText w:val="•"/>
      <w:lvlJc w:val="left"/>
      <w:pPr>
        <w:ind w:left="7290" w:hanging="1052"/>
      </w:pPr>
      <w:rPr>
        <w:rFonts w:hint="default"/>
        <w:lang w:val="en-US" w:eastAsia="en-US" w:bidi="ar-SA"/>
      </w:rPr>
    </w:lvl>
  </w:abstractNum>
  <w:abstractNum w:abstractNumId="7">
    <w:nsid w:val="321156E6"/>
    <w:multiLevelType w:val="hybridMultilevel"/>
    <w:tmpl w:val="00000000"/>
    <w:lvl w:ilvl="0">
      <w:start w:val="8"/>
      <w:numFmt w:val="decimal"/>
      <w:lvlText w:val="%1"/>
      <w:lvlJc w:val="left"/>
      <w:pPr>
        <w:ind w:left="1628" w:hanging="737"/>
        <w:jc w:val="left"/>
      </w:pPr>
      <w:rPr>
        <w:rFonts w:hint="default"/>
        <w:lang w:val="en-US" w:eastAsia="en-US" w:bidi="ar-SA"/>
      </w:rPr>
    </w:lvl>
    <w:lvl w:ilvl="1">
      <w:start w:val="1"/>
      <w:numFmt w:val="decimal"/>
      <w:lvlText w:val="%1.%2"/>
      <w:lvlJc w:val="left"/>
      <w:pPr>
        <w:ind w:left="1628" w:hanging="737"/>
        <w:jc w:val="left"/>
      </w:pPr>
      <w:rPr>
        <w:rFonts w:hint="default"/>
        <w:lang w:val="en-US" w:eastAsia="en-US" w:bidi="ar-SA"/>
      </w:rPr>
    </w:lvl>
    <w:lvl w:ilvl="2">
      <w:start w:val="2"/>
      <w:numFmt w:val="decimal"/>
      <w:lvlText w:val="%1.%2.%3"/>
      <w:lvlJc w:val="left"/>
      <w:pPr>
        <w:ind w:left="1628" w:hanging="737"/>
        <w:jc w:val="left"/>
      </w:pPr>
      <w:rPr>
        <w:rFonts w:ascii="黑体" w:eastAsia="黑体" w:hAnsi="黑体" w:cs="黑体" w:hint="default"/>
        <w:spacing w:val="-3"/>
        <w:w w:val="100"/>
        <w:sz w:val="21"/>
        <w:szCs w:val="21"/>
        <w:lang w:val="en-US" w:eastAsia="en-US" w:bidi="ar-SA"/>
      </w:rPr>
    </w:lvl>
    <w:lvl w:ilvl="3">
      <w:start w:val="1"/>
      <w:numFmt w:val="decimal"/>
      <w:lvlText w:val="%1.%2.%3.%4"/>
      <w:lvlJc w:val="left"/>
      <w:pPr>
        <w:ind w:left="1836" w:hanging="945"/>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5029" w:hanging="945"/>
      </w:pPr>
      <w:rPr>
        <w:rFonts w:hint="default"/>
        <w:lang w:val="en-US" w:eastAsia="en-US" w:bidi="ar-SA"/>
      </w:rPr>
    </w:lvl>
    <w:lvl w:ilvl="5">
      <w:start w:val="0"/>
      <w:numFmt w:val="bullet"/>
      <w:lvlText w:val="•"/>
      <w:lvlJc w:val="left"/>
      <w:pPr>
        <w:ind w:left="6092" w:hanging="945"/>
      </w:pPr>
      <w:rPr>
        <w:rFonts w:hint="default"/>
        <w:lang w:val="en-US" w:eastAsia="en-US" w:bidi="ar-SA"/>
      </w:rPr>
    </w:lvl>
    <w:lvl w:ilvl="6">
      <w:start w:val="0"/>
      <w:numFmt w:val="bullet"/>
      <w:lvlText w:val="•"/>
      <w:lvlJc w:val="left"/>
      <w:pPr>
        <w:ind w:left="7155" w:hanging="945"/>
      </w:pPr>
      <w:rPr>
        <w:rFonts w:hint="default"/>
        <w:lang w:val="en-US" w:eastAsia="en-US" w:bidi="ar-SA"/>
      </w:rPr>
    </w:lvl>
    <w:lvl w:ilvl="7">
      <w:start w:val="0"/>
      <w:numFmt w:val="bullet"/>
      <w:lvlText w:val="•"/>
      <w:lvlJc w:val="left"/>
      <w:pPr>
        <w:ind w:left="8218" w:hanging="945"/>
      </w:pPr>
      <w:rPr>
        <w:rFonts w:hint="default"/>
        <w:lang w:val="en-US" w:eastAsia="en-US" w:bidi="ar-SA"/>
      </w:rPr>
    </w:lvl>
    <w:lvl w:ilvl="8">
      <w:start w:val="0"/>
      <w:numFmt w:val="bullet"/>
      <w:lvlText w:val="•"/>
      <w:lvlJc w:val="left"/>
      <w:pPr>
        <w:ind w:left="9281" w:hanging="945"/>
      </w:pPr>
      <w:rPr>
        <w:rFonts w:hint="default"/>
        <w:lang w:val="en-US" w:eastAsia="en-US" w:bidi="ar-SA"/>
      </w:rPr>
    </w:lvl>
  </w:abstractNum>
  <w:abstractNum w:abstractNumId="8">
    <w:nsid w:val="3D76C394"/>
    <w:multiLevelType w:val="hybridMultilevel"/>
    <w:tmpl w:val="00000000"/>
    <w:lvl w:ilvl="0">
      <w:start w:val="10"/>
      <w:numFmt w:val="decimal"/>
      <w:lvlText w:val="%1"/>
      <w:lvlJc w:val="left"/>
      <w:pPr>
        <w:ind w:left="0" w:hanging="1052"/>
        <w:jc w:val="left"/>
      </w:pPr>
      <w:rPr>
        <w:rFonts w:hint="default"/>
        <w:lang w:val="en-US" w:eastAsia="en-US" w:bidi="ar-SA"/>
      </w:rPr>
    </w:lvl>
    <w:lvl w:ilvl="1">
      <w:start w:val="3"/>
      <w:numFmt w:val="decimal"/>
      <w:lvlText w:val="%1.%2"/>
      <w:lvlJc w:val="left"/>
      <w:pPr>
        <w:ind w:left="0" w:hanging="1052"/>
        <w:jc w:val="left"/>
      </w:pPr>
      <w:rPr>
        <w:rFonts w:hint="default"/>
        <w:lang w:val="en-US" w:eastAsia="en-US" w:bidi="ar-SA"/>
      </w:rPr>
    </w:lvl>
    <w:lvl w:ilvl="2">
      <w:start w:val="1"/>
      <w:numFmt w:val="decimal"/>
      <w:lvlText w:val="%1.%2.%3"/>
      <w:lvlJc w:val="left"/>
      <w:pPr>
        <w:ind w:left="0" w:hanging="1052"/>
        <w:jc w:val="left"/>
      </w:pPr>
      <w:rPr>
        <w:rFonts w:hint="default"/>
        <w:lang w:val="en-US" w:eastAsia="en-US" w:bidi="ar-SA"/>
      </w:rPr>
    </w:lvl>
    <w:lvl w:ilvl="3">
      <w:start w:val="2"/>
      <w:numFmt w:val="decimal"/>
      <w:lvlText w:val="%1.%2.%3.%4"/>
      <w:lvlJc w:val="left"/>
      <w:pPr>
        <w:ind w:left="0" w:hanging="1052"/>
        <w:jc w:val="left"/>
      </w:pPr>
      <w:rPr>
        <w:rFonts w:ascii="黑体" w:eastAsia="黑体" w:hAnsi="黑体" w:cs="黑体" w:hint="default"/>
        <w:spacing w:val="-3"/>
        <w:w w:val="100"/>
        <w:sz w:val="21"/>
        <w:szCs w:val="21"/>
        <w:lang w:val="en-US" w:eastAsia="en-US" w:bidi="ar-SA"/>
      </w:rPr>
    </w:lvl>
    <w:lvl w:ilvl="4">
      <w:start w:val="1"/>
      <w:numFmt w:val="lowerLetter"/>
      <w:lvlText w:val="%5)"/>
      <w:lvlJc w:val="left"/>
      <w:pPr>
        <w:ind w:left="852" w:hanging="429"/>
        <w:jc w:val="left"/>
      </w:pPr>
      <w:rPr>
        <w:rFonts w:ascii="宋体" w:eastAsia="宋体" w:hAnsi="宋体" w:cs="宋体" w:hint="default"/>
        <w:spacing w:val="0"/>
        <w:w w:val="100"/>
        <w:sz w:val="21"/>
        <w:szCs w:val="21"/>
        <w:lang w:val="en-US" w:eastAsia="en-US" w:bidi="ar-SA"/>
      </w:rPr>
    </w:lvl>
    <w:lvl w:ilvl="5">
      <w:start w:val="0"/>
      <w:numFmt w:val="bullet"/>
      <w:lvlText w:val="•"/>
      <w:lvlJc w:val="left"/>
      <w:pPr>
        <w:ind w:left="4646" w:hanging="429"/>
      </w:pPr>
      <w:rPr>
        <w:rFonts w:hint="default"/>
        <w:lang w:val="en-US" w:eastAsia="en-US" w:bidi="ar-SA"/>
      </w:rPr>
    </w:lvl>
    <w:lvl w:ilvl="6">
      <w:start w:val="0"/>
      <w:numFmt w:val="bullet"/>
      <w:lvlText w:val="•"/>
      <w:lvlJc w:val="left"/>
      <w:pPr>
        <w:ind w:left="5593" w:hanging="429"/>
      </w:pPr>
      <w:rPr>
        <w:rFonts w:hint="default"/>
        <w:lang w:val="en-US" w:eastAsia="en-US" w:bidi="ar-SA"/>
      </w:rPr>
    </w:lvl>
    <w:lvl w:ilvl="7">
      <w:start w:val="0"/>
      <w:numFmt w:val="bullet"/>
      <w:lvlText w:val="•"/>
      <w:lvlJc w:val="left"/>
      <w:pPr>
        <w:ind w:left="6540" w:hanging="429"/>
      </w:pPr>
      <w:rPr>
        <w:rFonts w:hint="default"/>
        <w:lang w:val="en-US" w:eastAsia="en-US" w:bidi="ar-SA"/>
      </w:rPr>
    </w:lvl>
    <w:lvl w:ilvl="8">
      <w:start w:val="0"/>
      <w:numFmt w:val="bullet"/>
      <w:lvlText w:val="•"/>
      <w:lvlJc w:val="left"/>
      <w:pPr>
        <w:ind w:left="7486" w:hanging="429"/>
      </w:pPr>
      <w:rPr>
        <w:rFonts w:hint="default"/>
        <w:lang w:val="en-US" w:eastAsia="en-US" w:bidi="ar-SA"/>
      </w:rPr>
    </w:lvl>
  </w:abstractNum>
  <w:abstractNum w:abstractNumId="9">
    <w:nsid w:val="514830EA"/>
    <w:multiLevelType w:val="hybridMultilevel"/>
    <w:tmpl w:val="00000000"/>
    <w:lvl w:ilvl="0">
      <w:start w:val="4"/>
      <w:numFmt w:val="decimal"/>
      <w:lvlText w:val="%1"/>
      <w:lvlJc w:val="left"/>
      <w:pPr>
        <w:ind w:left="1207" w:hanging="316"/>
        <w:jc w:val="left"/>
      </w:pPr>
      <w:rPr>
        <w:rFonts w:ascii="黑体" w:eastAsia="黑体" w:hAnsi="黑体" w:cs="黑体" w:hint="default"/>
        <w:w w:val="100"/>
        <w:sz w:val="21"/>
        <w:szCs w:val="21"/>
        <w:lang w:val="en-US" w:eastAsia="en-US" w:bidi="ar-SA"/>
      </w:rPr>
    </w:lvl>
    <w:lvl w:ilvl="1">
      <w:start w:val="0"/>
      <w:numFmt w:val="bullet"/>
      <w:lvlText w:val="•"/>
      <w:lvlJc w:val="left"/>
      <w:pPr>
        <w:ind w:left="2220" w:hanging="316"/>
      </w:pPr>
      <w:rPr>
        <w:rFonts w:hint="default"/>
        <w:lang w:val="en-US" w:eastAsia="en-US" w:bidi="ar-SA"/>
      </w:rPr>
    </w:lvl>
    <w:lvl w:ilvl="2">
      <w:start w:val="0"/>
      <w:numFmt w:val="bullet"/>
      <w:lvlText w:val="•"/>
      <w:lvlJc w:val="left"/>
      <w:pPr>
        <w:ind w:left="3241" w:hanging="316"/>
      </w:pPr>
      <w:rPr>
        <w:rFonts w:hint="default"/>
        <w:lang w:val="en-US" w:eastAsia="en-US" w:bidi="ar-SA"/>
      </w:rPr>
    </w:lvl>
    <w:lvl w:ilvl="3">
      <w:start w:val="0"/>
      <w:numFmt w:val="bullet"/>
      <w:lvlText w:val="•"/>
      <w:lvlJc w:val="left"/>
      <w:pPr>
        <w:ind w:left="4262" w:hanging="316"/>
      </w:pPr>
      <w:rPr>
        <w:rFonts w:hint="default"/>
        <w:lang w:val="en-US" w:eastAsia="en-US" w:bidi="ar-SA"/>
      </w:rPr>
    </w:lvl>
    <w:lvl w:ilvl="4">
      <w:start w:val="0"/>
      <w:numFmt w:val="bullet"/>
      <w:lvlText w:val="•"/>
      <w:lvlJc w:val="left"/>
      <w:pPr>
        <w:ind w:left="5283" w:hanging="316"/>
      </w:pPr>
      <w:rPr>
        <w:rFonts w:hint="default"/>
        <w:lang w:val="en-US" w:eastAsia="en-US" w:bidi="ar-SA"/>
      </w:rPr>
    </w:lvl>
    <w:lvl w:ilvl="5">
      <w:start w:val="0"/>
      <w:numFmt w:val="bullet"/>
      <w:lvlText w:val="•"/>
      <w:lvlJc w:val="left"/>
      <w:pPr>
        <w:ind w:left="6304" w:hanging="316"/>
      </w:pPr>
      <w:rPr>
        <w:rFonts w:hint="default"/>
        <w:lang w:val="en-US" w:eastAsia="en-US" w:bidi="ar-SA"/>
      </w:rPr>
    </w:lvl>
    <w:lvl w:ilvl="6">
      <w:start w:val="0"/>
      <w:numFmt w:val="bullet"/>
      <w:lvlText w:val="•"/>
      <w:lvlJc w:val="left"/>
      <w:pPr>
        <w:ind w:left="7324" w:hanging="316"/>
      </w:pPr>
      <w:rPr>
        <w:rFonts w:hint="default"/>
        <w:lang w:val="en-US" w:eastAsia="en-US" w:bidi="ar-SA"/>
      </w:rPr>
    </w:lvl>
    <w:lvl w:ilvl="7">
      <w:start w:val="0"/>
      <w:numFmt w:val="bullet"/>
      <w:lvlText w:val="•"/>
      <w:lvlJc w:val="left"/>
      <w:pPr>
        <w:ind w:left="8345" w:hanging="316"/>
      </w:pPr>
      <w:rPr>
        <w:rFonts w:hint="default"/>
        <w:lang w:val="en-US" w:eastAsia="en-US" w:bidi="ar-SA"/>
      </w:rPr>
    </w:lvl>
    <w:lvl w:ilvl="8">
      <w:start w:val="0"/>
      <w:numFmt w:val="bullet"/>
      <w:lvlText w:val="•"/>
      <w:lvlJc w:val="left"/>
      <w:pPr>
        <w:ind w:left="9366" w:hanging="316"/>
      </w:pPr>
      <w:rPr>
        <w:rFonts w:hint="default"/>
        <w:lang w:val="en-US" w:eastAsia="en-US" w:bidi="ar-SA"/>
      </w:rPr>
    </w:lvl>
  </w:abstractNum>
  <w:abstractNum w:abstractNumId="10">
    <w:nsid w:val="51C4DB1A"/>
    <w:multiLevelType w:val="hybridMultilevel"/>
    <w:tmpl w:val="00000000"/>
    <w:lvl w:ilvl="0">
      <w:start w:val="11"/>
      <w:numFmt w:val="decimal"/>
      <w:lvlText w:val="%1"/>
      <w:lvlJc w:val="left"/>
      <w:pPr>
        <w:ind w:left="839" w:hanging="840"/>
        <w:jc w:val="left"/>
      </w:pPr>
      <w:rPr>
        <w:rFonts w:hint="default"/>
        <w:lang w:val="en-US" w:eastAsia="en-US" w:bidi="ar-SA"/>
      </w:rPr>
    </w:lvl>
    <w:lvl w:ilvl="1">
      <w:start w:val="1"/>
      <w:numFmt w:val="decimal"/>
      <w:lvlText w:val="%1.%2"/>
      <w:lvlJc w:val="left"/>
      <w:pPr>
        <w:ind w:left="839" w:hanging="840"/>
        <w:jc w:val="left"/>
      </w:pPr>
      <w:rPr>
        <w:rFonts w:hint="default"/>
        <w:lang w:val="en-US" w:eastAsia="en-US" w:bidi="ar-SA"/>
      </w:rPr>
    </w:lvl>
    <w:lvl w:ilvl="2">
      <w:start w:val="1"/>
      <w:numFmt w:val="decimal"/>
      <w:lvlText w:val="%1.%2.%3"/>
      <w:lvlJc w:val="left"/>
      <w:pPr>
        <w:ind w:left="839" w:hanging="840"/>
        <w:jc w:val="left"/>
      </w:pPr>
      <w:rPr>
        <w:rFonts w:ascii="黑体" w:eastAsia="黑体" w:hAnsi="黑体" w:cs="黑体" w:hint="default"/>
        <w:spacing w:val="-3"/>
        <w:w w:val="100"/>
        <w:sz w:val="21"/>
        <w:szCs w:val="21"/>
        <w:lang w:val="en-US" w:eastAsia="en-US" w:bidi="ar-SA"/>
      </w:rPr>
    </w:lvl>
    <w:lvl w:ilvl="3">
      <w:start w:val="0"/>
      <w:numFmt w:val="bullet"/>
      <w:lvlText w:val="•"/>
      <w:lvlJc w:val="left"/>
      <w:pPr>
        <w:ind w:left="2674" w:hanging="840"/>
      </w:pPr>
      <w:rPr>
        <w:rFonts w:hint="default"/>
        <w:lang w:val="en-US" w:eastAsia="en-US" w:bidi="ar-SA"/>
      </w:rPr>
    </w:lvl>
    <w:lvl w:ilvl="4">
      <w:start w:val="0"/>
      <w:numFmt w:val="bullet"/>
      <w:lvlText w:val="•"/>
      <w:lvlJc w:val="left"/>
      <w:pPr>
        <w:ind w:left="3286" w:hanging="840"/>
      </w:pPr>
      <w:rPr>
        <w:rFonts w:hint="default"/>
        <w:lang w:val="en-US" w:eastAsia="en-US" w:bidi="ar-SA"/>
      </w:rPr>
    </w:lvl>
    <w:lvl w:ilvl="5">
      <w:start w:val="0"/>
      <w:numFmt w:val="bullet"/>
      <w:lvlText w:val="•"/>
      <w:lvlJc w:val="left"/>
      <w:pPr>
        <w:ind w:left="3897" w:hanging="840"/>
      </w:pPr>
      <w:rPr>
        <w:rFonts w:hint="default"/>
        <w:lang w:val="en-US" w:eastAsia="en-US" w:bidi="ar-SA"/>
      </w:rPr>
    </w:lvl>
    <w:lvl w:ilvl="6">
      <w:start w:val="0"/>
      <w:numFmt w:val="bullet"/>
      <w:lvlText w:val="•"/>
      <w:lvlJc w:val="left"/>
      <w:pPr>
        <w:ind w:left="4509" w:hanging="840"/>
      </w:pPr>
      <w:rPr>
        <w:rFonts w:hint="default"/>
        <w:lang w:val="en-US" w:eastAsia="en-US" w:bidi="ar-SA"/>
      </w:rPr>
    </w:lvl>
    <w:lvl w:ilvl="7">
      <w:start w:val="0"/>
      <w:numFmt w:val="bullet"/>
      <w:lvlText w:val="•"/>
      <w:lvlJc w:val="left"/>
      <w:pPr>
        <w:ind w:left="5121" w:hanging="840"/>
      </w:pPr>
      <w:rPr>
        <w:rFonts w:hint="default"/>
        <w:lang w:val="en-US" w:eastAsia="en-US" w:bidi="ar-SA"/>
      </w:rPr>
    </w:lvl>
    <w:lvl w:ilvl="8">
      <w:start w:val="0"/>
      <w:numFmt w:val="bullet"/>
      <w:lvlText w:val="•"/>
      <w:lvlJc w:val="left"/>
      <w:pPr>
        <w:ind w:left="5732" w:hanging="840"/>
      </w:pPr>
      <w:rPr>
        <w:rFonts w:hint="default"/>
        <w:lang w:val="en-US" w:eastAsia="en-US" w:bidi="ar-SA"/>
      </w:rPr>
    </w:lvl>
  </w:abstractNum>
  <w:abstractNum w:abstractNumId="11">
    <w:nsid w:val="53743D68"/>
    <w:multiLevelType w:val="hybridMultilevel"/>
    <w:tmpl w:val="00000000"/>
    <w:lvl w:ilvl="0">
      <w:start w:val="1"/>
      <w:numFmt w:val="decimal"/>
      <w:lvlText w:val="%1"/>
      <w:lvlJc w:val="left"/>
      <w:pPr>
        <w:ind w:left="1491" w:hanging="316"/>
        <w:jc w:val="left"/>
      </w:pPr>
      <w:rPr>
        <w:rFonts w:ascii="黑体" w:eastAsia="黑体" w:hAnsi="黑体" w:cs="黑体" w:hint="default"/>
        <w:w w:val="100"/>
        <w:sz w:val="21"/>
        <w:szCs w:val="21"/>
        <w:lang w:val="en-US" w:eastAsia="en-US" w:bidi="ar-SA"/>
      </w:rPr>
    </w:lvl>
    <w:lvl w:ilvl="1">
      <w:start w:val="0"/>
      <w:numFmt w:val="bullet"/>
      <w:lvlText w:val="•"/>
      <w:lvlJc w:val="left"/>
      <w:pPr>
        <w:ind w:left="2490" w:hanging="316"/>
      </w:pPr>
      <w:rPr>
        <w:rFonts w:hint="default"/>
        <w:lang w:val="en-US" w:eastAsia="en-US" w:bidi="ar-SA"/>
      </w:rPr>
    </w:lvl>
    <w:lvl w:ilvl="2">
      <w:start w:val="0"/>
      <w:numFmt w:val="bullet"/>
      <w:lvlText w:val="•"/>
      <w:lvlJc w:val="left"/>
      <w:pPr>
        <w:ind w:left="3481" w:hanging="316"/>
      </w:pPr>
      <w:rPr>
        <w:rFonts w:hint="default"/>
        <w:lang w:val="en-US" w:eastAsia="en-US" w:bidi="ar-SA"/>
      </w:rPr>
    </w:lvl>
    <w:lvl w:ilvl="3">
      <w:start w:val="0"/>
      <w:numFmt w:val="bullet"/>
      <w:lvlText w:val="•"/>
      <w:lvlJc w:val="left"/>
      <w:pPr>
        <w:ind w:left="4472" w:hanging="316"/>
      </w:pPr>
      <w:rPr>
        <w:rFonts w:hint="default"/>
        <w:lang w:val="en-US" w:eastAsia="en-US" w:bidi="ar-SA"/>
      </w:rPr>
    </w:lvl>
    <w:lvl w:ilvl="4">
      <w:start w:val="0"/>
      <w:numFmt w:val="bullet"/>
      <w:lvlText w:val="•"/>
      <w:lvlJc w:val="left"/>
      <w:pPr>
        <w:ind w:left="5463" w:hanging="316"/>
      </w:pPr>
      <w:rPr>
        <w:rFonts w:hint="default"/>
        <w:lang w:val="en-US" w:eastAsia="en-US" w:bidi="ar-SA"/>
      </w:rPr>
    </w:lvl>
    <w:lvl w:ilvl="5">
      <w:start w:val="0"/>
      <w:numFmt w:val="bullet"/>
      <w:lvlText w:val="•"/>
      <w:lvlJc w:val="left"/>
      <w:pPr>
        <w:ind w:left="6454" w:hanging="316"/>
      </w:pPr>
      <w:rPr>
        <w:rFonts w:hint="default"/>
        <w:lang w:val="en-US" w:eastAsia="en-US" w:bidi="ar-SA"/>
      </w:rPr>
    </w:lvl>
    <w:lvl w:ilvl="6">
      <w:start w:val="0"/>
      <w:numFmt w:val="bullet"/>
      <w:lvlText w:val="•"/>
      <w:lvlJc w:val="left"/>
      <w:pPr>
        <w:ind w:left="7444" w:hanging="316"/>
      </w:pPr>
      <w:rPr>
        <w:rFonts w:hint="default"/>
        <w:lang w:val="en-US" w:eastAsia="en-US" w:bidi="ar-SA"/>
      </w:rPr>
    </w:lvl>
    <w:lvl w:ilvl="7">
      <w:start w:val="0"/>
      <w:numFmt w:val="bullet"/>
      <w:lvlText w:val="•"/>
      <w:lvlJc w:val="left"/>
      <w:pPr>
        <w:ind w:left="8435" w:hanging="316"/>
      </w:pPr>
      <w:rPr>
        <w:rFonts w:hint="default"/>
        <w:lang w:val="en-US" w:eastAsia="en-US" w:bidi="ar-SA"/>
      </w:rPr>
    </w:lvl>
    <w:lvl w:ilvl="8">
      <w:start w:val="0"/>
      <w:numFmt w:val="bullet"/>
      <w:lvlText w:val="•"/>
      <w:lvlJc w:val="left"/>
      <w:pPr>
        <w:ind w:left="9426" w:hanging="316"/>
      </w:pPr>
      <w:rPr>
        <w:rFonts w:hint="default"/>
        <w:lang w:val="en-US" w:eastAsia="en-US" w:bidi="ar-SA"/>
      </w:rPr>
    </w:lvl>
  </w:abstractNum>
  <w:abstractNum w:abstractNumId="12">
    <w:nsid w:val="55D046B7"/>
    <w:multiLevelType w:val="hybridMultilevel"/>
    <w:tmpl w:val="00000000"/>
    <w:lvl w:ilvl="0">
      <w:start w:val="7"/>
      <w:numFmt w:val="decimal"/>
      <w:lvlText w:val="%1"/>
      <w:lvlJc w:val="left"/>
      <w:pPr>
        <w:ind w:left="1628" w:hanging="737"/>
        <w:jc w:val="left"/>
      </w:pPr>
      <w:rPr>
        <w:rFonts w:hint="default"/>
        <w:lang w:val="en-US" w:eastAsia="en-US" w:bidi="ar-SA"/>
      </w:rPr>
    </w:lvl>
    <w:lvl w:ilvl="1">
      <w:start w:val="2"/>
      <w:numFmt w:val="decimal"/>
      <w:lvlText w:val="%1.%2"/>
      <w:lvlJc w:val="left"/>
      <w:pPr>
        <w:ind w:left="1628" w:hanging="737"/>
        <w:jc w:val="left"/>
      </w:pPr>
      <w:rPr>
        <w:rFonts w:hint="default"/>
        <w:lang w:val="en-US" w:eastAsia="en-US" w:bidi="ar-SA"/>
      </w:rPr>
    </w:lvl>
    <w:lvl w:ilvl="2">
      <w:start w:val="1"/>
      <w:numFmt w:val="decimal"/>
      <w:lvlText w:val="%1.%2.%3"/>
      <w:lvlJc w:val="left"/>
      <w:pPr>
        <w:ind w:left="1628" w:hanging="737"/>
        <w:jc w:val="left"/>
      </w:pPr>
      <w:rPr>
        <w:rFonts w:ascii="黑体" w:eastAsia="黑体" w:hAnsi="黑体" w:cs="黑体" w:hint="default"/>
        <w:spacing w:val="-3"/>
        <w:w w:val="100"/>
        <w:sz w:val="21"/>
        <w:szCs w:val="21"/>
        <w:lang w:val="en-US" w:eastAsia="en-US" w:bidi="ar-SA"/>
      </w:rPr>
    </w:lvl>
    <w:lvl w:ilvl="3">
      <w:start w:val="0"/>
      <w:numFmt w:val="bullet"/>
      <w:lvlText w:val="•"/>
      <w:lvlJc w:val="left"/>
      <w:pPr>
        <w:ind w:left="4556" w:hanging="737"/>
      </w:pPr>
      <w:rPr>
        <w:rFonts w:hint="default"/>
        <w:lang w:val="en-US" w:eastAsia="en-US" w:bidi="ar-SA"/>
      </w:rPr>
    </w:lvl>
    <w:lvl w:ilvl="4">
      <w:start w:val="0"/>
      <w:numFmt w:val="bullet"/>
      <w:lvlText w:val="•"/>
      <w:lvlJc w:val="left"/>
      <w:pPr>
        <w:ind w:left="5535" w:hanging="737"/>
      </w:pPr>
      <w:rPr>
        <w:rFonts w:hint="default"/>
        <w:lang w:val="en-US" w:eastAsia="en-US" w:bidi="ar-SA"/>
      </w:rPr>
    </w:lvl>
    <w:lvl w:ilvl="5">
      <w:start w:val="0"/>
      <w:numFmt w:val="bullet"/>
      <w:lvlText w:val="•"/>
      <w:lvlJc w:val="left"/>
      <w:pPr>
        <w:ind w:left="6514" w:hanging="737"/>
      </w:pPr>
      <w:rPr>
        <w:rFonts w:hint="default"/>
        <w:lang w:val="en-US" w:eastAsia="en-US" w:bidi="ar-SA"/>
      </w:rPr>
    </w:lvl>
    <w:lvl w:ilvl="6">
      <w:start w:val="0"/>
      <w:numFmt w:val="bullet"/>
      <w:lvlText w:val="•"/>
      <w:lvlJc w:val="left"/>
      <w:pPr>
        <w:ind w:left="7492" w:hanging="737"/>
      </w:pPr>
      <w:rPr>
        <w:rFonts w:hint="default"/>
        <w:lang w:val="en-US" w:eastAsia="en-US" w:bidi="ar-SA"/>
      </w:rPr>
    </w:lvl>
    <w:lvl w:ilvl="7">
      <w:start w:val="0"/>
      <w:numFmt w:val="bullet"/>
      <w:lvlText w:val="•"/>
      <w:lvlJc w:val="left"/>
      <w:pPr>
        <w:ind w:left="8471" w:hanging="737"/>
      </w:pPr>
      <w:rPr>
        <w:rFonts w:hint="default"/>
        <w:lang w:val="en-US" w:eastAsia="en-US" w:bidi="ar-SA"/>
      </w:rPr>
    </w:lvl>
    <w:lvl w:ilvl="8">
      <w:start w:val="0"/>
      <w:numFmt w:val="bullet"/>
      <w:lvlText w:val="•"/>
      <w:lvlJc w:val="left"/>
      <w:pPr>
        <w:ind w:left="9450" w:hanging="737"/>
      </w:pPr>
      <w:rPr>
        <w:rFonts w:hint="default"/>
        <w:lang w:val="en-US" w:eastAsia="en-US" w:bidi="ar-SA"/>
      </w:rPr>
    </w:lvl>
  </w:abstractNum>
  <w:abstractNum w:abstractNumId="13">
    <w:nsid w:val="5BC4E142"/>
    <w:multiLevelType w:val="hybridMultilevel"/>
    <w:tmpl w:val="00000000"/>
    <w:lvl w:ilvl="0">
      <w:start w:val="10"/>
      <w:numFmt w:val="decimal"/>
      <w:lvlText w:val="%1"/>
      <w:lvlJc w:val="left"/>
      <w:pPr>
        <w:ind w:left="840" w:hanging="840"/>
        <w:jc w:val="left"/>
      </w:pPr>
      <w:rPr>
        <w:rFonts w:hint="default"/>
        <w:lang w:val="en-US" w:eastAsia="en-US" w:bidi="ar-SA"/>
      </w:rPr>
    </w:lvl>
    <w:lvl w:ilvl="1">
      <w:start w:val="2"/>
      <w:numFmt w:val="decimal"/>
      <w:lvlText w:val="%1.%2"/>
      <w:lvlJc w:val="left"/>
      <w:pPr>
        <w:ind w:left="840" w:hanging="840"/>
        <w:jc w:val="left"/>
      </w:pPr>
      <w:rPr>
        <w:rFonts w:hint="default"/>
        <w:lang w:val="en-US" w:eastAsia="en-US" w:bidi="ar-SA"/>
      </w:rPr>
    </w:lvl>
    <w:lvl w:ilvl="2">
      <w:start w:val="1"/>
      <w:numFmt w:val="decimal"/>
      <w:lvlText w:val="%1.%2.%3"/>
      <w:lvlJc w:val="left"/>
      <w:pPr>
        <w:ind w:left="840" w:hanging="840"/>
        <w:jc w:val="left"/>
      </w:pPr>
      <w:rPr>
        <w:rFonts w:ascii="黑体" w:eastAsia="黑体" w:hAnsi="黑体" w:cs="黑体" w:hint="default"/>
        <w:spacing w:val="-3"/>
        <w:w w:val="100"/>
        <w:sz w:val="21"/>
        <w:szCs w:val="21"/>
        <w:lang w:val="en-US" w:eastAsia="en-US" w:bidi="ar-SA"/>
      </w:rPr>
    </w:lvl>
    <w:lvl w:ilvl="3">
      <w:start w:val="1"/>
      <w:numFmt w:val="decimal"/>
      <w:lvlText w:val="%1.%2.%3.%4"/>
      <w:lvlJc w:val="left"/>
      <w:pPr>
        <w:ind w:left="0" w:hanging="1052"/>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3686" w:hanging="1052"/>
      </w:pPr>
      <w:rPr>
        <w:rFonts w:hint="default"/>
        <w:lang w:val="en-US" w:eastAsia="en-US" w:bidi="ar-SA"/>
      </w:rPr>
    </w:lvl>
    <w:lvl w:ilvl="5">
      <w:start w:val="0"/>
      <w:numFmt w:val="bullet"/>
      <w:lvlText w:val="•"/>
      <w:lvlJc w:val="left"/>
      <w:pPr>
        <w:ind w:left="4635" w:hanging="1052"/>
      </w:pPr>
      <w:rPr>
        <w:rFonts w:hint="default"/>
        <w:lang w:val="en-US" w:eastAsia="en-US" w:bidi="ar-SA"/>
      </w:rPr>
    </w:lvl>
    <w:lvl w:ilvl="6">
      <w:start w:val="0"/>
      <w:numFmt w:val="bullet"/>
      <w:lvlText w:val="•"/>
      <w:lvlJc w:val="left"/>
      <w:pPr>
        <w:ind w:left="5584" w:hanging="1052"/>
      </w:pPr>
      <w:rPr>
        <w:rFonts w:hint="default"/>
        <w:lang w:val="en-US" w:eastAsia="en-US" w:bidi="ar-SA"/>
      </w:rPr>
    </w:lvl>
    <w:lvl w:ilvl="7">
      <w:start w:val="0"/>
      <w:numFmt w:val="bullet"/>
      <w:lvlText w:val="•"/>
      <w:lvlJc w:val="left"/>
      <w:pPr>
        <w:ind w:left="6533" w:hanging="1052"/>
      </w:pPr>
      <w:rPr>
        <w:rFonts w:hint="default"/>
        <w:lang w:val="en-US" w:eastAsia="en-US" w:bidi="ar-SA"/>
      </w:rPr>
    </w:lvl>
    <w:lvl w:ilvl="8">
      <w:start w:val="0"/>
      <w:numFmt w:val="bullet"/>
      <w:lvlText w:val="•"/>
      <w:lvlJc w:val="left"/>
      <w:pPr>
        <w:ind w:left="7482" w:hanging="1052"/>
      </w:pPr>
      <w:rPr>
        <w:rFonts w:hint="default"/>
        <w:lang w:val="en-US" w:eastAsia="en-US" w:bidi="ar-SA"/>
      </w:rPr>
    </w:lvl>
  </w:abstractNum>
  <w:abstractNum w:abstractNumId="14">
    <w:nsid w:val="600E6B59"/>
    <w:multiLevelType w:val="hybridMultilevel"/>
    <w:tmpl w:val="00000000"/>
    <w:lvl w:ilvl="0">
      <w:start w:val="10"/>
      <w:numFmt w:val="decimal"/>
      <w:lvlText w:val="%1"/>
      <w:lvlJc w:val="left"/>
      <w:pPr>
        <w:ind w:left="2227" w:hanging="1052"/>
        <w:jc w:val="left"/>
      </w:pPr>
      <w:rPr>
        <w:rFonts w:hint="default"/>
        <w:lang w:val="en-US" w:eastAsia="en-US" w:bidi="ar-SA"/>
      </w:rPr>
    </w:lvl>
    <w:lvl w:ilvl="1">
      <w:start w:val="3"/>
      <w:numFmt w:val="decimal"/>
      <w:lvlText w:val="%1.%2"/>
      <w:lvlJc w:val="left"/>
      <w:pPr>
        <w:ind w:left="2227" w:hanging="1052"/>
        <w:jc w:val="left"/>
      </w:pPr>
      <w:rPr>
        <w:rFonts w:hint="default"/>
        <w:lang w:val="en-US" w:eastAsia="en-US" w:bidi="ar-SA"/>
      </w:rPr>
    </w:lvl>
    <w:lvl w:ilvl="2">
      <w:start w:val="2"/>
      <w:numFmt w:val="decimal"/>
      <w:lvlText w:val="%1.%2.%3"/>
      <w:lvlJc w:val="left"/>
      <w:pPr>
        <w:ind w:left="2227" w:hanging="1052"/>
        <w:jc w:val="left"/>
      </w:pPr>
      <w:rPr>
        <w:rFonts w:hint="default"/>
        <w:lang w:val="en-US" w:eastAsia="en-US" w:bidi="ar-SA"/>
      </w:rPr>
    </w:lvl>
    <w:lvl w:ilvl="3">
      <w:start w:val="1"/>
      <w:numFmt w:val="decimal"/>
      <w:lvlText w:val="%1.%2.%3.%4"/>
      <w:lvlJc w:val="left"/>
      <w:pPr>
        <w:ind w:left="2227" w:hanging="1052"/>
        <w:jc w:val="left"/>
      </w:pPr>
      <w:rPr>
        <w:rFonts w:ascii="黑体" w:eastAsia="黑体" w:hAnsi="黑体" w:cs="黑体" w:hint="default"/>
        <w:spacing w:val="-3"/>
        <w:w w:val="100"/>
        <w:sz w:val="21"/>
        <w:szCs w:val="21"/>
        <w:lang w:val="en-US" w:eastAsia="en-US" w:bidi="ar-SA"/>
      </w:rPr>
    </w:lvl>
    <w:lvl w:ilvl="4">
      <w:start w:val="1"/>
      <w:numFmt w:val="lowerLetter"/>
      <w:lvlText w:val="%5)"/>
      <w:lvlJc w:val="left"/>
      <w:pPr>
        <w:ind w:left="2027" w:hanging="429"/>
        <w:jc w:val="left"/>
      </w:pPr>
      <w:rPr>
        <w:rFonts w:ascii="宋体" w:eastAsia="宋体" w:hAnsi="宋体" w:cs="宋体" w:hint="default"/>
        <w:spacing w:val="0"/>
        <w:w w:val="100"/>
        <w:sz w:val="21"/>
        <w:szCs w:val="21"/>
        <w:lang w:val="en-US" w:eastAsia="en-US" w:bidi="ar-SA"/>
      </w:rPr>
    </w:lvl>
    <w:lvl w:ilvl="5">
      <w:start w:val="0"/>
      <w:numFmt w:val="bullet"/>
      <w:lvlText w:val="•"/>
      <w:lvlJc w:val="left"/>
      <w:pPr>
        <w:ind w:left="6303" w:hanging="429"/>
      </w:pPr>
      <w:rPr>
        <w:rFonts w:hint="default"/>
        <w:lang w:val="en-US" w:eastAsia="en-US" w:bidi="ar-SA"/>
      </w:rPr>
    </w:lvl>
    <w:lvl w:ilvl="6">
      <w:start w:val="0"/>
      <w:numFmt w:val="bullet"/>
      <w:lvlText w:val="•"/>
      <w:lvlJc w:val="left"/>
      <w:pPr>
        <w:ind w:left="7324" w:hanging="429"/>
      </w:pPr>
      <w:rPr>
        <w:rFonts w:hint="default"/>
        <w:lang w:val="en-US" w:eastAsia="en-US" w:bidi="ar-SA"/>
      </w:rPr>
    </w:lvl>
    <w:lvl w:ilvl="7">
      <w:start w:val="0"/>
      <w:numFmt w:val="bullet"/>
      <w:lvlText w:val="•"/>
      <w:lvlJc w:val="left"/>
      <w:pPr>
        <w:ind w:left="8345" w:hanging="429"/>
      </w:pPr>
      <w:rPr>
        <w:rFonts w:hint="default"/>
        <w:lang w:val="en-US" w:eastAsia="en-US" w:bidi="ar-SA"/>
      </w:rPr>
    </w:lvl>
    <w:lvl w:ilvl="8">
      <w:start w:val="0"/>
      <w:numFmt w:val="bullet"/>
      <w:lvlText w:val="•"/>
      <w:lvlJc w:val="left"/>
      <w:pPr>
        <w:ind w:left="9366" w:hanging="429"/>
      </w:pPr>
      <w:rPr>
        <w:rFonts w:hint="default"/>
        <w:lang w:val="en-US" w:eastAsia="en-US" w:bidi="ar-SA"/>
      </w:rPr>
    </w:lvl>
  </w:abstractNum>
  <w:abstractNum w:abstractNumId="15">
    <w:nsid w:val="6A489EDC"/>
    <w:multiLevelType w:val="hybridMultilevel"/>
    <w:tmpl w:val="00000000"/>
    <w:lvl w:ilvl="0">
      <w:start w:val="10"/>
      <w:numFmt w:val="decimal"/>
      <w:lvlText w:val="%1"/>
      <w:lvlJc w:val="left"/>
      <w:pPr>
        <w:ind w:left="840" w:hanging="840"/>
        <w:jc w:val="left"/>
      </w:pPr>
      <w:rPr>
        <w:rFonts w:hint="default"/>
        <w:lang w:val="en-US" w:eastAsia="en-US" w:bidi="ar-SA"/>
      </w:rPr>
    </w:lvl>
    <w:lvl w:ilvl="1">
      <w:start w:val="1"/>
      <w:numFmt w:val="decimal"/>
      <w:lvlText w:val="%1.%2"/>
      <w:lvlJc w:val="left"/>
      <w:pPr>
        <w:ind w:left="840" w:hanging="840"/>
        <w:jc w:val="left"/>
      </w:pPr>
      <w:rPr>
        <w:rFonts w:hint="default"/>
        <w:lang w:val="en-US" w:eastAsia="en-US" w:bidi="ar-SA"/>
      </w:rPr>
    </w:lvl>
    <w:lvl w:ilvl="2">
      <w:start w:val="1"/>
      <w:numFmt w:val="decimal"/>
      <w:lvlText w:val="%1.%2.%3"/>
      <w:lvlJc w:val="left"/>
      <w:pPr>
        <w:ind w:left="840" w:hanging="840"/>
        <w:jc w:val="left"/>
      </w:pPr>
      <w:rPr>
        <w:rFonts w:ascii="黑体" w:eastAsia="黑体" w:hAnsi="黑体" w:cs="黑体" w:hint="default"/>
        <w:spacing w:val="-3"/>
        <w:w w:val="100"/>
        <w:sz w:val="21"/>
        <w:szCs w:val="21"/>
        <w:lang w:val="en-US" w:eastAsia="en-US" w:bidi="ar-SA"/>
      </w:rPr>
    </w:lvl>
    <w:lvl w:ilvl="3">
      <w:start w:val="1"/>
      <w:numFmt w:val="decimal"/>
      <w:lvlText w:val="%1.%2.%3.%4"/>
      <w:lvlJc w:val="left"/>
      <w:pPr>
        <w:ind w:left="1052" w:hanging="1052"/>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3833" w:hanging="1052"/>
      </w:pPr>
      <w:rPr>
        <w:rFonts w:hint="default"/>
        <w:lang w:val="en-US" w:eastAsia="en-US" w:bidi="ar-SA"/>
      </w:rPr>
    </w:lvl>
    <w:lvl w:ilvl="5">
      <w:start w:val="0"/>
      <w:numFmt w:val="bullet"/>
      <w:lvlText w:val="•"/>
      <w:lvlJc w:val="left"/>
      <w:pPr>
        <w:ind w:left="4757" w:hanging="1052"/>
      </w:pPr>
      <w:rPr>
        <w:rFonts w:hint="default"/>
        <w:lang w:val="en-US" w:eastAsia="en-US" w:bidi="ar-SA"/>
      </w:rPr>
    </w:lvl>
    <w:lvl w:ilvl="6">
      <w:start w:val="0"/>
      <w:numFmt w:val="bullet"/>
      <w:lvlText w:val="•"/>
      <w:lvlJc w:val="left"/>
      <w:pPr>
        <w:ind w:left="5682" w:hanging="1052"/>
      </w:pPr>
      <w:rPr>
        <w:rFonts w:hint="default"/>
        <w:lang w:val="en-US" w:eastAsia="en-US" w:bidi="ar-SA"/>
      </w:rPr>
    </w:lvl>
    <w:lvl w:ilvl="7">
      <w:start w:val="0"/>
      <w:numFmt w:val="bullet"/>
      <w:lvlText w:val="•"/>
      <w:lvlJc w:val="left"/>
      <w:pPr>
        <w:ind w:left="6606" w:hanging="1052"/>
      </w:pPr>
      <w:rPr>
        <w:rFonts w:hint="default"/>
        <w:lang w:val="en-US" w:eastAsia="en-US" w:bidi="ar-SA"/>
      </w:rPr>
    </w:lvl>
    <w:lvl w:ilvl="8">
      <w:start w:val="0"/>
      <w:numFmt w:val="bullet"/>
      <w:lvlText w:val="•"/>
      <w:lvlJc w:val="left"/>
      <w:pPr>
        <w:ind w:left="7531" w:hanging="1052"/>
      </w:pPr>
      <w:rPr>
        <w:rFonts w:hint="default"/>
        <w:lang w:val="en-US" w:eastAsia="en-US" w:bidi="ar-SA"/>
      </w:rPr>
    </w:lvl>
  </w:abstractNum>
  <w:abstractNum w:abstractNumId="16">
    <w:nsid w:val="6B5A03C0"/>
    <w:multiLevelType w:val="hybridMultilevel"/>
    <w:tmpl w:val="00000000"/>
    <w:lvl w:ilvl="0">
      <w:start w:val="1"/>
      <w:numFmt w:val="decimal"/>
      <w:lvlText w:val="%1"/>
      <w:lvlJc w:val="left"/>
      <w:pPr>
        <w:ind w:left="1492" w:hanging="317"/>
        <w:jc w:val="left"/>
      </w:pPr>
      <w:rPr>
        <w:rFonts w:ascii="宋体" w:eastAsia="宋体" w:hAnsi="宋体" w:cs="宋体" w:hint="default"/>
        <w:w w:val="100"/>
        <w:sz w:val="21"/>
        <w:szCs w:val="21"/>
        <w:lang w:val="en-US" w:eastAsia="en-US" w:bidi="ar-SA"/>
      </w:rPr>
    </w:lvl>
    <w:lvl w:ilvl="1">
      <w:start w:val="0"/>
      <w:numFmt w:val="bullet"/>
      <w:lvlText w:val="•"/>
      <w:lvlJc w:val="left"/>
      <w:pPr>
        <w:ind w:left="2490" w:hanging="317"/>
      </w:pPr>
      <w:rPr>
        <w:rFonts w:hint="default"/>
        <w:lang w:val="en-US" w:eastAsia="en-US" w:bidi="ar-SA"/>
      </w:rPr>
    </w:lvl>
    <w:lvl w:ilvl="2">
      <w:start w:val="0"/>
      <w:numFmt w:val="bullet"/>
      <w:lvlText w:val="•"/>
      <w:lvlJc w:val="left"/>
      <w:pPr>
        <w:ind w:left="3481" w:hanging="317"/>
      </w:pPr>
      <w:rPr>
        <w:rFonts w:hint="default"/>
        <w:lang w:val="en-US" w:eastAsia="en-US" w:bidi="ar-SA"/>
      </w:rPr>
    </w:lvl>
    <w:lvl w:ilvl="3">
      <w:start w:val="0"/>
      <w:numFmt w:val="bullet"/>
      <w:lvlText w:val="•"/>
      <w:lvlJc w:val="left"/>
      <w:pPr>
        <w:ind w:left="4472" w:hanging="317"/>
      </w:pPr>
      <w:rPr>
        <w:rFonts w:hint="default"/>
        <w:lang w:val="en-US" w:eastAsia="en-US" w:bidi="ar-SA"/>
      </w:rPr>
    </w:lvl>
    <w:lvl w:ilvl="4">
      <w:start w:val="0"/>
      <w:numFmt w:val="bullet"/>
      <w:lvlText w:val="•"/>
      <w:lvlJc w:val="left"/>
      <w:pPr>
        <w:ind w:left="5463" w:hanging="317"/>
      </w:pPr>
      <w:rPr>
        <w:rFonts w:hint="default"/>
        <w:lang w:val="en-US" w:eastAsia="en-US" w:bidi="ar-SA"/>
      </w:rPr>
    </w:lvl>
    <w:lvl w:ilvl="5">
      <w:start w:val="0"/>
      <w:numFmt w:val="bullet"/>
      <w:lvlText w:val="•"/>
      <w:lvlJc w:val="left"/>
      <w:pPr>
        <w:ind w:left="6454" w:hanging="317"/>
      </w:pPr>
      <w:rPr>
        <w:rFonts w:hint="default"/>
        <w:lang w:val="en-US" w:eastAsia="en-US" w:bidi="ar-SA"/>
      </w:rPr>
    </w:lvl>
    <w:lvl w:ilvl="6">
      <w:start w:val="0"/>
      <w:numFmt w:val="bullet"/>
      <w:lvlText w:val="•"/>
      <w:lvlJc w:val="left"/>
      <w:pPr>
        <w:ind w:left="7444" w:hanging="317"/>
      </w:pPr>
      <w:rPr>
        <w:rFonts w:hint="default"/>
        <w:lang w:val="en-US" w:eastAsia="en-US" w:bidi="ar-SA"/>
      </w:rPr>
    </w:lvl>
    <w:lvl w:ilvl="7">
      <w:start w:val="0"/>
      <w:numFmt w:val="bullet"/>
      <w:lvlText w:val="•"/>
      <w:lvlJc w:val="left"/>
      <w:pPr>
        <w:ind w:left="8435" w:hanging="317"/>
      </w:pPr>
      <w:rPr>
        <w:rFonts w:hint="default"/>
        <w:lang w:val="en-US" w:eastAsia="en-US" w:bidi="ar-SA"/>
      </w:rPr>
    </w:lvl>
    <w:lvl w:ilvl="8">
      <w:start w:val="0"/>
      <w:numFmt w:val="bullet"/>
      <w:lvlText w:val="•"/>
      <w:lvlJc w:val="left"/>
      <w:pPr>
        <w:ind w:left="9426" w:hanging="317"/>
      </w:pPr>
      <w:rPr>
        <w:rFonts w:hint="default"/>
        <w:lang w:val="en-US" w:eastAsia="en-US" w:bidi="ar-SA"/>
      </w:rPr>
    </w:lvl>
  </w:abstractNum>
  <w:abstractNum w:abstractNumId="17">
    <w:nsid w:val="6EA198D5"/>
    <w:multiLevelType w:val="hybridMultilevel"/>
    <w:tmpl w:val="00000000"/>
    <w:lvl w:ilvl="0">
      <w:start w:val="6"/>
      <w:numFmt w:val="decimal"/>
      <w:lvlText w:val="%1"/>
      <w:lvlJc w:val="left"/>
      <w:pPr>
        <w:ind w:left="736" w:hanging="737"/>
        <w:jc w:val="left"/>
      </w:pPr>
      <w:rPr>
        <w:rFonts w:hint="default"/>
        <w:lang w:val="en-US" w:eastAsia="en-US" w:bidi="ar-SA"/>
      </w:rPr>
    </w:lvl>
    <w:lvl w:ilvl="1">
      <w:start w:val="1"/>
      <w:numFmt w:val="decimal"/>
      <w:lvlText w:val="%1.%2"/>
      <w:lvlJc w:val="left"/>
      <w:pPr>
        <w:ind w:left="736" w:hanging="737"/>
        <w:jc w:val="left"/>
      </w:pPr>
      <w:rPr>
        <w:rFonts w:hint="default"/>
        <w:lang w:val="en-US" w:eastAsia="en-US" w:bidi="ar-SA"/>
      </w:rPr>
    </w:lvl>
    <w:lvl w:ilvl="2">
      <w:start w:val="1"/>
      <w:numFmt w:val="decimal"/>
      <w:lvlText w:val="%1.%2.%3"/>
      <w:lvlJc w:val="left"/>
      <w:pPr>
        <w:ind w:left="736" w:hanging="737"/>
        <w:jc w:val="left"/>
      </w:pPr>
      <w:rPr>
        <w:rFonts w:ascii="黑体" w:eastAsia="黑体" w:hAnsi="黑体" w:cs="黑体" w:hint="default"/>
        <w:spacing w:val="-3"/>
        <w:w w:val="100"/>
        <w:sz w:val="21"/>
        <w:szCs w:val="21"/>
        <w:lang w:val="en-US" w:eastAsia="en-US" w:bidi="ar-SA"/>
      </w:rPr>
    </w:lvl>
    <w:lvl w:ilvl="3">
      <w:start w:val="0"/>
      <w:numFmt w:val="bullet"/>
      <w:lvlText w:val="•"/>
      <w:lvlJc w:val="left"/>
      <w:pPr>
        <w:ind w:left="3329" w:hanging="737"/>
      </w:pPr>
      <w:rPr>
        <w:rFonts w:hint="default"/>
        <w:lang w:val="en-US" w:eastAsia="en-US" w:bidi="ar-SA"/>
      </w:rPr>
    </w:lvl>
    <w:lvl w:ilvl="4">
      <w:start w:val="0"/>
      <w:numFmt w:val="bullet"/>
      <w:lvlText w:val="•"/>
      <w:lvlJc w:val="left"/>
      <w:pPr>
        <w:ind w:left="4192" w:hanging="737"/>
      </w:pPr>
      <w:rPr>
        <w:rFonts w:hint="default"/>
        <w:lang w:val="en-US" w:eastAsia="en-US" w:bidi="ar-SA"/>
      </w:rPr>
    </w:lvl>
    <w:lvl w:ilvl="5">
      <w:start w:val="0"/>
      <w:numFmt w:val="bullet"/>
      <w:lvlText w:val="•"/>
      <w:lvlJc w:val="left"/>
      <w:pPr>
        <w:ind w:left="5055" w:hanging="737"/>
      </w:pPr>
      <w:rPr>
        <w:rFonts w:hint="default"/>
        <w:lang w:val="en-US" w:eastAsia="en-US" w:bidi="ar-SA"/>
      </w:rPr>
    </w:lvl>
    <w:lvl w:ilvl="6">
      <w:start w:val="0"/>
      <w:numFmt w:val="bullet"/>
      <w:lvlText w:val="•"/>
      <w:lvlJc w:val="left"/>
      <w:pPr>
        <w:ind w:left="5919" w:hanging="737"/>
      </w:pPr>
      <w:rPr>
        <w:rFonts w:hint="default"/>
        <w:lang w:val="en-US" w:eastAsia="en-US" w:bidi="ar-SA"/>
      </w:rPr>
    </w:lvl>
    <w:lvl w:ilvl="7">
      <w:start w:val="0"/>
      <w:numFmt w:val="bullet"/>
      <w:lvlText w:val="•"/>
      <w:lvlJc w:val="left"/>
      <w:pPr>
        <w:ind w:left="6782" w:hanging="737"/>
      </w:pPr>
      <w:rPr>
        <w:rFonts w:hint="default"/>
        <w:lang w:val="en-US" w:eastAsia="en-US" w:bidi="ar-SA"/>
      </w:rPr>
    </w:lvl>
    <w:lvl w:ilvl="8">
      <w:start w:val="0"/>
      <w:numFmt w:val="bullet"/>
      <w:lvlText w:val="•"/>
      <w:lvlJc w:val="left"/>
      <w:pPr>
        <w:ind w:left="7645" w:hanging="737"/>
      </w:pPr>
      <w:rPr>
        <w:rFonts w:hint="default"/>
        <w:lang w:val="en-US" w:eastAsia="en-US" w:bidi="ar-SA"/>
      </w:rPr>
    </w:lvl>
  </w:abstractNum>
  <w:abstractNum w:abstractNumId="18">
    <w:nsid w:val="72296F11"/>
    <w:multiLevelType w:val="hybridMultilevel"/>
    <w:tmpl w:val="00000000"/>
    <w:lvl w:ilvl="0">
      <w:start w:val="1"/>
      <w:numFmt w:val="decimal"/>
      <w:lvlText w:val="[%1]"/>
      <w:lvlJc w:val="left"/>
      <w:pPr>
        <w:ind w:left="1736" w:hanging="424"/>
        <w:jc w:val="left"/>
      </w:pPr>
      <w:rPr>
        <w:rFonts w:ascii="宋体" w:eastAsia="宋体" w:hAnsi="宋体" w:cs="宋体" w:hint="default"/>
        <w:spacing w:val="-2"/>
        <w:w w:val="100"/>
        <w:sz w:val="21"/>
        <w:szCs w:val="21"/>
        <w:lang w:val="en-US" w:eastAsia="en-US" w:bidi="ar-SA"/>
      </w:rPr>
    </w:lvl>
    <w:lvl w:ilvl="1">
      <w:start w:val="0"/>
      <w:numFmt w:val="bullet"/>
      <w:lvlText w:val="•"/>
      <w:lvlJc w:val="left"/>
      <w:pPr>
        <w:ind w:left="2706" w:hanging="424"/>
      </w:pPr>
      <w:rPr>
        <w:rFonts w:hint="default"/>
        <w:lang w:val="en-US" w:eastAsia="en-US" w:bidi="ar-SA"/>
      </w:rPr>
    </w:lvl>
    <w:lvl w:ilvl="2">
      <w:start w:val="0"/>
      <w:numFmt w:val="bullet"/>
      <w:lvlText w:val="•"/>
      <w:lvlJc w:val="left"/>
      <w:pPr>
        <w:ind w:left="3673" w:hanging="424"/>
      </w:pPr>
      <w:rPr>
        <w:rFonts w:hint="default"/>
        <w:lang w:val="en-US" w:eastAsia="en-US" w:bidi="ar-SA"/>
      </w:rPr>
    </w:lvl>
    <w:lvl w:ilvl="3">
      <w:start w:val="0"/>
      <w:numFmt w:val="bullet"/>
      <w:lvlText w:val="•"/>
      <w:lvlJc w:val="left"/>
      <w:pPr>
        <w:ind w:left="4640" w:hanging="424"/>
      </w:pPr>
      <w:rPr>
        <w:rFonts w:hint="default"/>
        <w:lang w:val="en-US" w:eastAsia="en-US" w:bidi="ar-SA"/>
      </w:rPr>
    </w:lvl>
    <w:lvl w:ilvl="4">
      <w:start w:val="0"/>
      <w:numFmt w:val="bullet"/>
      <w:lvlText w:val="•"/>
      <w:lvlJc w:val="left"/>
      <w:pPr>
        <w:ind w:left="5607" w:hanging="424"/>
      </w:pPr>
      <w:rPr>
        <w:rFonts w:hint="default"/>
        <w:lang w:val="en-US" w:eastAsia="en-US" w:bidi="ar-SA"/>
      </w:rPr>
    </w:lvl>
    <w:lvl w:ilvl="5">
      <w:start w:val="0"/>
      <w:numFmt w:val="bullet"/>
      <w:lvlText w:val="•"/>
      <w:lvlJc w:val="left"/>
      <w:pPr>
        <w:ind w:left="6574" w:hanging="424"/>
      </w:pPr>
      <w:rPr>
        <w:rFonts w:hint="default"/>
        <w:lang w:val="en-US" w:eastAsia="en-US" w:bidi="ar-SA"/>
      </w:rPr>
    </w:lvl>
    <w:lvl w:ilvl="6">
      <w:start w:val="0"/>
      <w:numFmt w:val="bullet"/>
      <w:lvlText w:val="•"/>
      <w:lvlJc w:val="left"/>
      <w:pPr>
        <w:ind w:left="7540" w:hanging="424"/>
      </w:pPr>
      <w:rPr>
        <w:rFonts w:hint="default"/>
        <w:lang w:val="en-US" w:eastAsia="en-US" w:bidi="ar-SA"/>
      </w:rPr>
    </w:lvl>
    <w:lvl w:ilvl="7">
      <w:start w:val="0"/>
      <w:numFmt w:val="bullet"/>
      <w:lvlText w:val="•"/>
      <w:lvlJc w:val="left"/>
      <w:pPr>
        <w:ind w:left="8507" w:hanging="424"/>
      </w:pPr>
      <w:rPr>
        <w:rFonts w:hint="default"/>
        <w:lang w:val="en-US" w:eastAsia="en-US" w:bidi="ar-SA"/>
      </w:rPr>
    </w:lvl>
    <w:lvl w:ilvl="8">
      <w:start w:val="0"/>
      <w:numFmt w:val="bullet"/>
      <w:lvlText w:val="•"/>
      <w:lvlJc w:val="left"/>
      <w:pPr>
        <w:ind w:left="9474" w:hanging="424"/>
      </w:pPr>
      <w:rPr>
        <w:rFonts w:hint="default"/>
        <w:lang w:val="en-US" w:eastAsia="en-US" w:bidi="ar-SA"/>
      </w:rPr>
    </w:lvl>
  </w:abstractNum>
  <w:abstractNum w:abstractNumId="19">
    <w:nsid w:val="7422D962"/>
    <w:multiLevelType w:val="hybridMultilevel"/>
    <w:tmpl w:val="00000000"/>
    <w:lvl w:ilvl="0">
      <w:start w:val="8"/>
      <w:numFmt w:val="decimal"/>
      <w:lvlText w:val="%1"/>
      <w:lvlJc w:val="left"/>
      <w:pPr>
        <w:ind w:left="736" w:hanging="737"/>
        <w:jc w:val="left"/>
      </w:pPr>
      <w:rPr>
        <w:rFonts w:hint="default"/>
        <w:lang w:val="en-US" w:eastAsia="en-US" w:bidi="ar-SA"/>
      </w:rPr>
    </w:lvl>
    <w:lvl w:ilvl="1">
      <w:start w:val="1"/>
      <w:numFmt w:val="decimal"/>
      <w:lvlText w:val="%1.%2"/>
      <w:lvlJc w:val="left"/>
      <w:pPr>
        <w:ind w:left="736" w:hanging="737"/>
        <w:jc w:val="left"/>
      </w:pPr>
      <w:rPr>
        <w:rFonts w:hint="default"/>
        <w:lang w:val="en-US" w:eastAsia="en-US" w:bidi="ar-SA"/>
      </w:rPr>
    </w:lvl>
    <w:lvl w:ilvl="2">
      <w:start w:val="1"/>
      <w:numFmt w:val="decimal"/>
      <w:lvlText w:val="%1.%2.%3"/>
      <w:lvlJc w:val="left"/>
      <w:pPr>
        <w:ind w:left="736" w:hanging="737"/>
        <w:jc w:val="left"/>
      </w:pPr>
      <w:rPr>
        <w:rFonts w:ascii="黑体" w:eastAsia="黑体" w:hAnsi="黑体" w:cs="黑体" w:hint="default"/>
        <w:spacing w:val="-3"/>
        <w:w w:val="100"/>
        <w:sz w:val="21"/>
        <w:szCs w:val="21"/>
        <w:lang w:val="en-US" w:eastAsia="en-US" w:bidi="ar-SA"/>
      </w:rPr>
    </w:lvl>
    <w:lvl w:ilvl="3">
      <w:start w:val="1"/>
      <w:numFmt w:val="decimal"/>
      <w:lvlText w:val="%1.%2.%3.%4"/>
      <w:lvlJc w:val="left"/>
      <w:pPr>
        <w:ind w:left="0" w:hanging="945"/>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3620" w:hanging="945"/>
      </w:pPr>
      <w:rPr>
        <w:rFonts w:hint="default"/>
        <w:lang w:val="en-US" w:eastAsia="en-US" w:bidi="ar-SA"/>
      </w:rPr>
    </w:lvl>
    <w:lvl w:ilvl="5">
      <w:start w:val="0"/>
      <w:numFmt w:val="bullet"/>
      <w:lvlText w:val="•"/>
      <w:lvlJc w:val="left"/>
      <w:pPr>
        <w:ind w:left="4580" w:hanging="945"/>
      </w:pPr>
      <w:rPr>
        <w:rFonts w:hint="default"/>
        <w:lang w:val="en-US" w:eastAsia="en-US" w:bidi="ar-SA"/>
      </w:rPr>
    </w:lvl>
    <w:lvl w:ilvl="6">
      <w:start w:val="0"/>
      <w:numFmt w:val="bullet"/>
      <w:lvlText w:val="•"/>
      <w:lvlJc w:val="left"/>
      <w:pPr>
        <w:ind w:left="5540" w:hanging="945"/>
      </w:pPr>
      <w:rPr>
        <w:rFonts w:hint="default"/>
        <w:lang w:val="en-US" w:eastAsia="en-US" w:bidi="ar-SA"/>
      </w:rPr>
    </w:lvl>
    <w:lvl w:ilvl="7">
      <w:start w:val="0"/>
      <w:numFmt w:val="bullet"/>
      <w:lvlText w:val="•"/>
      <w:lvlJc w:val="left"/>
      <w:pPr>
        <w:ind w:left="6500" w:hanging="945"/>
      </w:pPr>
      <w:rPr>
        <w:rFonts w:hint="default"/>
        <w:lang w:val="en-US" w:eastAsia="en-US" w:bidi="ar-SA"/>
      </w:rPr>
    </w:lvl>
    <w:lvl w:ilvl="8">
      <w:start w:val="0"/>
      <w:numFmt w:val="bullet"/>
      <w:lvlText w:val="•"/>
      <w:lvlJc w:val="left"/>
      <w:pPr>
        <w:ind w:left="7460" w:hanging="945"/>
      </w:pPr>
      <w:rPr>
        <w:rFonts w:hint="default"/>
        <w:lang w:val="en-US" w:eastAsia="en-US" w:bidi="ar-SA"/>
      </w:rPr>
    </w:lvl>
  </w:abstractNum>
  <w:num w:numId="1">
    <w:abstractNumId w:val="18"/>
  </w:num>
  <w:num w:numId="2">
    <w:abstractNumId w:val="10"/>
  </w:num>
  <w:num w:numId="3">
    <w:abstractNumId w:val="14"/>
  </w:num>
  <w:num w:numId="4">
    <w:abstractNumId w:val="6"/>
  </w:num>
  <w:num w:numId="5">
    <w:abstractNumId w:val="8"/>
  </w:num>
  <w:num w:numId="6">
    <w:abstractNumId w:val="5"/>
  </w:num>
  <w:num w:numId="7">
    <w:abstractNumId w:val="1"/>
  </w:num>
  <w:num w:numId="8">
    <w:abstractNumId w:val="13"/>
  </w:num>
  <w:num w:numId="9">
    <w:abstractNumId w:val="15"/>
  </w:num>
  <w:num w:numId="10">
    <w:abstractNumId w:val="7"/>
  </w:num>
  <w:num w:numId="11">
    <w:abstractNumId w:val="3"/>
  </w:num>
  <w:num w:numId="12">
    <w:abstractNumId w:val="19"/>
  </w:num>
  <w:num w:numId="13">
    <w:abstractNumId w:val="4"/>
  </w:num>
  <w:num w:numId="14">
    <w:abstractNumId w:val="12"/>
  </w:num>
  <w:num w:numId="15">
    <w:abstractNumId w:val="0"/>
  </w:num>
  <w:num w:numId="16">
    <w:abstractNumId w:val="17"/>
  </w:num>
  <w:num w:numId="17">
    <w:abstractNumId w:val="9"/>
  </w:num>
  <w:num w:numId="18">
    <w:abstractNumId w:val="2"/>
  </w:num>
  <w:num w:numId="19">
    <w:abstractNumId w:val="16"/>
  </w:num>
  <w:num w:numId="20">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en-US" w:bidi="ar-SA"/>
    </w:rPr>
  </w:style>
  <w:style w:type="paragraph" w:styleId="Heading1">
    <w:name w:val="heading 1"/>
    <w:basedOn w:val="Normal"/>
    <w:uiPriority w:val="1"/>
    <w:qFormat/>
    <w:pPr>
      <w:spacing w:before="55"/>
      <w:ind w:left="295"/>
      <w:jc w:val="center"/>
      <w:outlineLvl w:val="0"/>
    </w:pPr>
    <w:rPr>
      <w:rFonts w:ascii="黑体" w:eastAsia="黑体" w:hAnsi="黑体" w:cs="黑体"/>
      <w:sz w:val="32"/>
      <w:szCs w:val="32"/>
      <w:lang w:val="en-US" w:eastAsia="en-US"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en-US" w:bidi="ar-SA"/>
    </w:rPr>
  </w:style>
  <w:style w:type="paragraph" w:styleId="Title">
    <w:name w:val="Title"/>
    <w:basedOn w:val="Normal"/>
    <w:uiPriority w:val="1"/>
    <w:qFormat/>
    <w:pPr>
      <w:spacing w:line="1063" w:lineRule="exact"/>
    </w:pPr>
    <w:rPr>
      <w:rFonts w:ascii="Times New Roman" w:eastAsia="Times New Roman" w:hAnsi="Times New Roman" w:cs="Times New Roman"/>
      <w:b/>
      <w:bCs/>
      <w:sz w:val="96"/>
      <w:szCs w:val="96"/>
      <w:lang w:val="en-US" w:eastAsia="en-US" w:bidi="ar-SA"/>
    </w:rPr>
  </w:style>
  <w:style w:type="paragraph" w:styleId="ListParagraph">
    <w:name w:val="List Paragraph"/>
    <w:basedOn w:val="Normal"/>
    <w:uiPriority w:val="1"/>
    <w:qFormat/>
    <w:pPr>
      <w:spacing w:before="131"/>
      <w:ind w:left="2027" w:hanging="317"/>
    </w:pPr>
    <w:rPr>
      <w:rFonts w:ascii="宋体" w:eastAsia="宋体" w:hAnsi="宋体" w:cs="宋体"/>
      <w:lang w:val="en-US" w:eastAsia="en-US" w:bidi="ar-SA"/>
    </w:rPr>
  </w:style>
  <w:style w:type="paragraph" w:customStyle="1" w:styleId="TableParagraph">
    <w:name w:val="Table Paragraph"/>
    <w:basedOn w:val="Normal"/>
    <w:uiPriority w:val="1"/>
    <w:qFormat/>
    <w:pPr>
      <w:jc w:val="center"/>
    </w:pPr>
    <w:rPr>
      <w:rFonts w:ascii="宋体" w:eastAsia="宋体" w:hAnsi="宋体" w:cs="宋体"/>
      <w:lang w:val="en-US" w:eastAsia="en-US"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header" Target="header7.xml" /><Relationship Id="rId14" Type="http://schemas.openxmlformats.org/officeDocument/2006/relationships/image" Target="media/image4.png" /><Relationship Id="rId15" Type="http://schemas.openxmlformats.org/officeDocument/2006/relationships/header" Target="header8.xml" /><Relationship Id="rId16" Type="http://schemas.openxmlformats.org/officeDocument/2006/relationships/header" Target="header9.xml" /><Relationship Id="rId17" Type="http://schemas.openxmlformats.org/officeDocument/2006/relationships/image" Target="media/image5.png" /><Relationship Id="rId18" Type="http://schemas.openxmlformats.org/officeDocument/2006/relationships/image" Target="media/image6.png" /><Relationship Id="rId19" Type="http://schemas.openxmlformats.org/officeDocument/2006/relationships/header" Target="header10.xml" /><Relationship Id="rId2" Type="http://schemas.openxmlformats.org/officeDocument/2006/relationships/webSettings" Target="webSettings.xml" /><Relationship Id="rId20" Type="http://schemas.openxmlformats.org/officeDocument/2006/relationships/header" Target="header11.xml" /><Relationship Id="rId21" Type="http://schemas.openxmlformats.org/officeDocument/2006/relationships/image" Target="media/image7.png" /><Relationship Id="rId22" Type="http://schemas.openxmlformats.org/officeDocument/2006/relationships/image" Target="media/image8.png" /><Relationship Id="rId23" Type="http://schemas.openxmlformats.org/officeDocument/2006/relationships/image" Target="media/image9.png" /><Relationship Id="rId24" Type="http://schemas.openxmlformats.org/officeDocument/2006/relationships/header" Target="header12.xml" /><Relationship Id="rId25" Type="http://schemas.openxmlformats.org/officeDocument/2006/relationships/header" Target="header13.xml" /><Relationship Id="rId26" Type="http://schemas.openxmlformats.org/officeDocument/2006/relationships/image" Target="media/image10.png" /><Relationship Id="rId27" Type="http://schemas.openxmlformats.org/officeDocument/2006/relationships/image" Target="media/image11.png" /><Relationship Id="rId28" Type="http://schemas.openxmlformats.org/officeDocument/2006/relationships/image" Target="media/image12.png" /><Relationship Id="rId29" Type="http://schemas.openxmlformats.org/officeDocument/2006/relationships/hyperlink" Target="https://d.book118.com/158011042004006027" TargetMode="Externa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header" Target="header15.xml" /><Relationship Id="rId32" Type="http://schemas.openxmlformats.org/officeDocument/2006/relationships/theme" Target="theme/theme1.xml" /><Relationship Id="rId33" Type="http://schemas.openxmlformats.org/officeDocument/2006/relationships/numbering" Target="numbering.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Administrator</dc:creator>
  <cp:revision>0</cp:revision>
  <dcterms:created xsi:type="dcterms:W3CDTF">2024-01-17T12:57:57Z</dcterms:created>
  <dcterms:modified xsi:type="dcterms:W3CDTF">2024-01-17T12:57:57Z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2024-01-15T00:00:00Z</vt:filetime>
  </property>
  <property fmtid="{D5CDD505-2E9C-101B-9397-08002B2CF9AE}" pid="3" name="Creator">
    <vt:lpwstr>Aspose Ltd.</vt:lpwstr>
  </property>
  <property fmtid="{D5CDD505-2E9C-101B-9397-08002B2CF9AE}" pid="4" name="LastSaved">
    <vt:filetime>2024-01-17T00:00:00Z</vt:filetime>
  </property>
</Properties>
</file>