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农药及中间体项目规划设计方案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8" w:history="1">
        <w:r>
          <w:rPr>
            <w:rFonts w:ascii="仿宋" w:eastAsia="仿宋" w:hAnsi="仿宋" w:cs="仿宋" w:hint="eastAsia"/>
            <w:lang w:eastAsia="zh-CN"/>
          </w:rPr>
          <w:t>序言</w:t>
        </w:r>
        <w:r>
          <w:tab/>
        </w:r>
        <w:r>
          <w:fldChar w:fldCharType="begin"/>
        </w:r>
        <w:r>
          <w:instrText xml:space="preserve"> PAGEREF _Toc638 \h </w:instrText>
        </w:r>
        <w:r>
          <w:fldChar w:fldCharType="separate"/>
        </w:r>
        <w:r>
          <w:t>3</w:t>
        </w:r>
        <w:r>
          <w:fldChar w:fldCharType="end"/>
        </w:r>
      </w:hyperlink>
    </w:p>
    <w:p>
      <w:pPr>
        <w:pStyle w:val="TOC1"/>
        <w:tabs>
          <w:tab w:val="right" w:leader="dot" w:pos="8306"/>
        </w:tabs>
      </w:pPr>
      <w:hyperlink w:anchor="_Toc12827" w:history="1">
        <w:r>
          <w:rPr>
            <w:rFonts w:ascii="仿宋" w:eastAsia="仿宋" w:hAnsi="仿宋" w:cs="仿宋" w:hint="eastAsia"/>
            <w:lang w:eastAsia="zh-CN"/>
          </w:rPr>
          <w:t>一、农药及中间体项目建设背景及必要性分析</w:t>
        </w:r>
        <w:r>
          <w:tab/>
        </w:r>
        <w:r>
          <w:fldChar w:fldCharType="begin"/>
        </w:r>
        <w:r>
          <w:instrText xml:space="preserve"> PAGEREF _Toc12827 \h </w:instrText>
        </w:r>
        <w:r>
          <w:fldChar w:fldCharType="separate"/>
        </w:r>
        <w:r>
          <w:t>3</w:t>
        </w:r>
        <w:r>
          <w:fldChar w:fldCharType="end"/>
        </w:r>
      </w:hyperlink>
    </w:p>
    <w:p>
      <w:pPr>
        <w:pStyle w:val="TOC2"/>
        <w:tabs>
          <w:tab w:val="right" w:leader="dot" w:pos="8306"/>
        </w:tabs>
      </w:pPr>
      <w:hyperlink w:anchor="_Toc26552" w:history="1">
        <w:r>
          <w:rPr>
            <w:rFonts w:ascii="仿宋" w:eastAsia="仿宋" w:hAnsi="仿宋" w:cs="仿宋" w:hint="eastAsia"/>
            <w:lang w:eastAsia="zh-CN"/>
          </w:rPr>
          <w:t>(一)、农药及中间体项目背景分析</w:t>
        </w:r>
        <w:r>
          <w:tab/>
        </w:r>
        <w:r>
          <w:fldChar w:fldCharType="begin"/>
        </w:r>
        <w:r>
          <w:instrText xml:space="preserve"> PAGEREF _Toc26552 \h </w:instrText>
        </w:r>
        <w:r>
          <w:fldChar w:fldCharType="separate"/>
        </w:r>
        <w:r>
          <w:t>3</w:t>
        </w:r>
        <w:r>
          <w:fldChar w:fldCharType="end"/>
        </w:r>
      </w:hyperlink>
    </w:p>
    <w:p>
      <w:pPr>
        <w:pStyle w:val="TOC2"/>
        <w:tabs>
          <w:tab w:val="right" w:leader="dot" w:pos="8306"/>
        </w:tabs>
      </w:pPr>
      <w:hyperlink w:anchor="_Toc13492" w:history="1">
        <w:r>
          <w:rPr>
            <w:rFonts w:ascii="仿宋" w:eastAsia="仿宋" w:hAnsi="仿宋" w:cs="仿宋" w:hint="eastAsia"/>
            <w:lang w:eastAsia="zh-CN"/>
          </w:rPr>
          <w:t>(二)、农药及中间体项目建设必要性分析</w:t>
        </w:r>
        <w:r>
          <w:tab/>
        </w:r>
        <w:r>
          <w:fldChar w:fldCharType="begin"/>
        </w:r>
        <w:r>
          <w:instrText xml:space="preserve"> PAGEREF _Toc13492 \h </w:instrText>
        </w:r>
        <w:r>
          <w:fldChar w:fldCharType="separate"/>
        </w:r>
        <w:r>
          <w:t>5</w:t>
        </w:r>
        <w:r>
          <w:fldChar w:fldCharType="end"/>
        </w:r>
      </w:hyperlink>
    </w:p>
    <w:p>
      <w:pPr>
        <w:pStyle w:val="TOC1"/>
        <w:tabs>
          <w:tab w:val="right" w:leader="dot" w:pos="8306"/>
        </w:tabs>
      </w:pPr>
      <w:hyperlink w:anchor="_Toc4796" w:history="1">
        <w:r>
          <w:rPr>
            <w:rFonts w:ascii="仿宋" w:eastAsia="仿宋" w:hAnsi="仿宋" w:cs="仿宋" w:hint="eastAsia"/>
            <w:lang w:eastAsia="zh-CN"/>
          </w:rPr>
          <w:t>二、农药及中间体项目文档管理</w:t>
        </w:r>
        <w:r>
          <w:tab/>
        </w:r>
        <w:r>
          <w:fldChar w:fldCharType="begin"/>
        </w:r>
        <w:r>
          <w:instrText xml:space="preserve"> PAGEREF _Toc4796 \h </w:instrText>
        </w:r>
        <w:r>
          <w:fldChar w:fldCharType="separate"/>
        </w:r>
        <w:r>
          <w:t>6</w:t>
        </w:r>
        <w:r>
          <w:fldChar w:fldCharType="end"/>
        </w:r>
      </w:hyperlink>
    </w:p>
    <w:p>
      <w:pPr>
        <w:pStyle w:val="TOC2"/>
        <w:tabs>
          <w:tab w:val="right" w:leader="dot" w:pos="8306"/>
        </w:tabs>
      </w:pPr>
      <w:hyperlink w:anchor="_Toc15963" w:history="1">
        <w:r>
          <w:rPr>
            <w:rFonts w:ascii="仿宋" w:eastAsia="仿宋" w:hAnsi="仿宋" w:cs="仿宋" w:hint="eastAsia"/>
            <w:lang w:eastAsia="zh-CN"/>
          </w:rPr>
          <w:t>(一)、文档编制与审查</w:t>
        </w:r>
        <w:r>
          <w:tab/>
        </w:r>
        <w:r>
          <w:fldChar w:fldCharType="begin"/>
        </w:r>
        <w:r>
          <w:instrText xml:space="preserve"> PAGEREF _Toc15963 \h </w:instrText>
        </w:r>
        <w:r>
          <w:fldChar w:fldCharType="separate"/>
        </w:r>
        <w:r>
          <w:t>6</w:t>
        </w:r>
        <w:r>
          <w:fldChar w:fldCharType="end"/>
        </w:r>
      </w:hyperlink>
    </w:p>
    <w:p>
      <w:pPr>
        <w:pStyle w:val="TOC2"/>
        <w:tabs>
          <w:tab w:val="right" w:leader="dot" w:pos="8306"/>
        </w:tabs>
      </w:pPr>
      <w:hyperlink w:anchor="_Toc27719" w:history="1">
        <w:r>
          <w:rPr>
            <w:rFonts w:ascii="仿宋" w:eastAsia="仿宋" w:hAnsi="仿宋" w:cs="仿宋" w:hint="eastAsia"/>
            <w:lang w:eastAsia="zh-CN"/>
          </w:rPr>
          <w:t>(二)、文档发布与分发</w:t>
        </w:r>
        <w:r>
          <w:tab/>
        </w:r>
        <w:r>
          <w:fldChar w:fldCharType="begin"/>
        </w:r>
        <w:r>
          <w:instrText xml:space="preserve"> PAGEREF _Toc27719 \h </w:instrText>
        </w:r>
        <w:r>
          <w:fldChar w:fldCharType="separate"/>
        </w:r>
        <w:r>
          <w:t>7</w:t>
        </w:r>
        <w:r>
          <w:fldChar w:fldCharType="end"/>
        </w:r>
      </w:hyperlink>
    </w:p>
    <w:p>
      <w:pPr>
        <w:pStyle w:val="TOC2"/>
        <w:tabs>
          <w:tab w:val="right" w:leader="dot" w:pos="8306"/>
        </w:tabs>
      </w:pPr>
      <w:hyperlink w:anchor="_Toc2650" w:history="1">
        <w:r>
          <w:rPr>
            <w:rFonts w:ascii="仿宋" w:eastAsia="仿宋" w:hAnsi="仿宋" w:cs="仿宋" w:hint="eastAsia"/>
            <w:lang w:eastAsia="zh-CN"/>
          </w:rPr>
          <w:t>(三)、文档存档与归档</w:t>
        </w:r>
        <w:r>
          <w:tab/>
        </w:r>
        <w:r>
          <w:fldChar w:fldCharType="begin"/>
        </w:r>
        <w:r>
          <w:instrText xml:space="preserve"> PAGEREF _Toc2650 \h </w:instrText>
        </w:r>
        <w:r>
          <w:fldChar w:fldCharType="separate"/>
        </w:r>
        <w:r>
          <w:t>8</w:t>
        </w:r>
        <w:r>
          <w:fldChar w:fldCharType="end"/>
        </w:r>
      </w:hyperlink>
    </w:p>
    <w:p>
      <w:pPr>
        <w:pStyle w:val="TOC1"/>
        <w:tabs>
          <w:tab w:val="right" w:leader="dot" w:pos="8306"/>
        </w:tabs>
      </w:pPr>
      <w:hyperlink w:anchor="_Toc18959" w:history="1">
        <w:r>
          <w:rPr>
            <w:rFonts w:ascii="仿宋" w:eastAsia="仿宋" w:hAnsi="仿宋" w:cs="仿宋" w:hint="eastAsia"/>
            <w:lang w:eastAsia="zh-CN"/>
          </w:rPr>
          <w:t>三、产品规划分析</w:t>
        </w:r>
        <w:r>
          <w:tab/>
        </w:r>
        <w:r>
          <w:fldChar w:fldCharType="begin"/>
        </w:r>
        <w:r>
          <w:instrText xml:space="preserve"> PAGEREF _Toc18959 \h </w:instrText>
        </w:r>
        <w:r>
          <w:fldChar w:fldCharType="separate"/>
        </w:r>
        <w:r>
          <w:t>9</w:t>
        </w:r>
        <w:r>
          <w:fldChar w:fldCharType="end"/>
        </w:r>
      </w:hyperlink>
    </w:p>
    <w:p>
      <w:pPr>
        <w:pStyle w:val="TOC2"/>
        <w:tabs>
          <w:tab w:val="right" w:leader="dot" w:pos="8306"/>
        </w:tabs>
      </w:pPr>
      <w:hyperlink w:anchor="_Toc18643" w:history="1">
        <w:r>
          <w:rPr>
            <w:rFonts w:ascii="仿宋" w:eastAsia="仿宋" w:hAnsi="仿宋" w:cs="仿宋" w:hint="eastAsia"/>
            <w:lang w:eastAsia="zh-CN"/>
          </w:rPr>
          <w:t>(一)、产品规划</w:t>
        </w:r>
        <w:r>
          <w:tab/>
        </w:r>
        <w:r>
          <w:fldChar w:fldCharType="begin"/>
        </w:r>
        <w:r>
          <w:instrText xml:space="preserve"> PAGEREF _Toc18643 \h </w:instrText>
        </w:r>
        <w:r>
          <w:fldChar w:fldCharType="separate"/>
        </w:r>
        <w:r>
          <w:t>9</w:t>
        </w:r>
        <w:r>
          <w:fldChar w:fldCharType="end"/>
        </w:r>
      </w:hyperlink>
    </w:p>
    <w:p>
      <w:pPr>
        <w:pStyle w:val="TOC2"/>
        <w:tabs>
          <w:tab w:val="right" w:leader="dot" w:pos="8306"/>
        </w:tabs>
      </w:pPr>
      <w:hyperlink w:anchor="_Toc12239" w:history="1">
        <w:r>
          <w:rPr>
            <w:rFonts w:ascii="仿宋" w:eastAsia="仿宋" w:hAnsi="仿宋" w:cs="仿宋" w:hint="eastAsia"/>
            <w:lang w:eastAsia="zh-CN"/>
          </w:rPr>
          <w:t>(二)、建设规模</w:t>
        </w:r>
        <w:r>
          <w:tab/>
        </w:r>
        <w:r>
          <w:fldChar w:fldCharType="begin"/>
        </w:r>
        <w:r>
          <w:instrText xml:space="preserve"> PAGEREF _Toc12239 \h </w:instrText>
        </w:r>
        <w:r>
          <w:fldChar w:fldCharType="separate"/>
        </w:r>
        <w:r>
          <w:t>10</w:t>
        </w:r>
        <w:r>
          <w:fldChar w:fldCharType="end"/>
        </w:r>
      </w:hyperlink>
    </w:p>
    <w:p>
      <w:pPr>
        <w:pStyle w:val="TOC1"/>
        <w:tabs>
          <w:tab w:val="right" w:leader="dot" w:pos="8306"/>
        </w:tabs>
      </w:pPr>
      <w:hyperlink w:anchor="_Toc14898" w:history="1">
        <w:r>
          <w:rPr>
            <w:rFonts w:ascii="仿宋" w:eastAsia="仿宋" w:hAnsi="仿宋" w:cs="仿宋" w:hint="eastAsia"/>
            <w:lang w:eastAsia="zh-CN"/>
          </w:rPr>
          <w:t>四、农药及中间体项目土建工程</w:t>
        </w:r>
        <w:r>
          <w:tab/>
        </w:r>
        <w:r>
          <w:fldChar w:fldCharType="begin"/>
        </w:r>
        <w:r>
          <w:instrText xml:space="preserve"> PAGEREF _Toc14898 \h </w:instrText>
        </w:r>
        <w:r>
          <w:fldChar w:fldCharType="separate"/>
        </w:r>
        <w:r>
          <w:t>11</w:t>
        </w:r>
        <w:r>
          <w:fldChar w:fldCharType="end"/>
        </w:r>
      </w:hyperlink>
    </w:p>
    <w:p>
      <w:pPr>
        <w:pStyle w:val="TOC2"/>
        <w:tabs>
          <w:tab w:val="right" w:leader="dot" w:pos="8306"/>
        </w:tabs>
      </w:pPr>
      <w:hyperlink w:anchor="_Toc24950" w:history="1">
        <w:r>
          <w:rPr>
            <w:rFonts w:ascii="仿宋" w:eastAsia="仿宋" w:hAnsi="仿宋" w:cs="仿宋" w:hint="eastAsia"/>
            <w:lang w:eastAsia="zh-CN"/>
          </w:rPr>
          <w:t>(一)、建筑工程设计原则</w:t>
        </w:r>
        <w:r>
          <w:tab/>
        </w:r>
        <w:r>
          <w:fldChar w:fldCharType="begin"/>
        </w:r>
        <w:r>
          <w:instrText xml:space="preserve"> PAGEREF _Toc24950 \h </w:instrText>
        </w:r>
        <w:r>
          <w:fldChar w:fldCharType="separate"/>
        </w:r>
        <w:r>
          <w:t>11</w:t>
        </w:r>
        <w:r>
          <w:fldChar w:fldCharType="end"/>
        </w:r>
      </w:hyperlink>
    </w:p>
    <w:p>
      <w:pPr>
        <w:pStyle w:val="TOC2"/>
        <w:tabs>
          <w:tab w:val="right" w:leader="dot" w:pos="8306"/>
        </w:tabs>
      </w:pPr>
      <w:hyperlink w:anchor="_Toc19219" w:history="1">
        <w:r>
          <w:rPr>
            <w:rFonts w:ascii="仿宋" w:eastAsia="仿宋" w:hAnsi="仿宋" w:cs="仿宋" w:hint="eastAsia"/>
            <w:lang w:eastAsia="zh-CN"/>
          </w:rPr>
          <w:t>(二)、土建工程设计年限及安全等级</w:t>
        </w:r>
        <w:r>
          <w:tab/>
        </w:r>
        <w:r>
          <w:fldChar w:fldCharType="begin"/>
        </w:r>
        <w:r>
          <w:instrText xml:space="preserve"> PAGEREF _Toc19219 \h </w:instrText>
        </w:r>
        <w:r>
          <w:fldChar w:fldCharType="separate"/>
        </w:r>
        <w:r>
          <w:t>13</w:t>
        </w:r>
        <w:r>
          <w:fldChar w:fldCharType="end"/>
        </w:r>
      </w:hyperlink>
    </w:p>
    <w:p>
      <w:pPr>
        <w:pStyle w:val="TOC2"/>
        <w:tabs>
          <w:tab w:val="right" w:leader="dot" w:pos="8306"/>
        </w:tabs>
      </w:pPr>
      <w:hyperlink w:anchor="_Toc6127" w:history="1">
        <w:r>
          <w:rPr>
            <w:rFonts w:ascii="仿宋" w:eastAsia="仿宋" w:hAnsi="仿宋" w:cs="仿宋" w:hint="eastAsia"/>
            <w:lang w:eastAsia="zh-CN"/>
          </w:rPr>
          <w:t>(三)、建筑工程设计总体要求</w:t>
        </w:r>
        <w:r>
          <w:tab/>
        </w:r>
        <w:r>
          <w:fldChar w:fldCharType="begin"/>
        </w:r>
        <w:r>
          <w:instrText xml:space="preserve"> PAGEREF _Toc6127 \h </w:instrText>
        </w:r>
        <w:r>
          <w:fldChar w:fldCharType="separate"/>
        </w:r>
        <w:r>
          <w:t>14</w:t>
        </w:r>
        <w:r>
          <w:fldChar w:fldCharType="end"/>
        </w:r>
      </w:hyperlink>
    </w:p>
    <w:p>
      <w:pPr>
        <w:pStyle w:val="TOC2"/>
        <w:tabs>
          <w:tab w:val="right" w:leader="dot" w:pos="8306"/>
        </w:tabs>
      </w:pPr>
      <w:hyperlink w:anchor="_Toc23662" w:history="1">
        <w:r>
          <w:rPr>
            <w:rFonts w:ascii="仿宋" w:eastAsia="仿宋" w:hAnsi="仿宋" w:cs="仿宋" w:hint="eastAsia"/>
            <w:lang w:eastAsia="zh-CN"/>
          </w:rPr>
          <w:t>(四)、土建工程建设指标</w:t>
        </w:r>
        <w:r>
          <w:tab/>
        </w:r>
        <w:r>
          <w:fldChar w:fldCharType="begin"/>
        </w:r>
        <w:r>
          <w:instrText xml:space="preserve"> PAGEREF _Toc23662 \h </w:instrText>
        </w:r>
        <w:r>
          <w:fldChar w:fldCharType="separate"/>
        </w:r>
        <w:r>
          <w:t>14</w:t>
        </w:r>
        <w:r>
          <w:fldChar w:fldCharType="end"/>
        </w:r>
      </w:hyperlink>
    </w:p>
    <w:p>
      <w:pPr>
        <w:pStyle w:val="TOC1"/>
        <w:tabs>
          <w:tab w:val="right" w:leader="dot" w:pos="8306"/>
        </w:tabs>
      </w:pPr>
      <w:hyperlink w:anchor="_Toc29992" w:history="1">
        <w:r>
          <w:rPr>
            <w:rFonts w:ascii="仿宋" w:eastAsia="仿宋" w:hAnsi="仿宋" w:cs="仿宋" w:hint="eastAsia"/>
            <w:lang w:eastAsia="zh-CN"/>
          </w:rPr>
          <w:t>五、农药及中间体项目危机管理</w:t>
        </w:r>
        <w:r>
          <w:tab/>
        </w:r>
        <w:r>
          <w:fldChar w:fldCharType="begin"/>
        </w:r>
        <w:r>
          <w:instrText xml:space="preserve"> PAGEREF _Toc29992 \h </w:instrText>
        </w:r>
        <w:r>
          <w:fldChar w:fldCharType="separate"/>
        </w:r>
        <w:r>
          <w:t>15</w:t>
        </w:r>
        <w:r>
          <w:fldChar w:fldCharType="end"/>
        </w:r>
      </w:hyperlink>
    </w:p>
    <w:p>
      <w:pPr>
        <w:pStyle w:val="TOC2"/>
        <w:tabs>
          <w:tab w:val="right" w:leader="dot" w:pos="8306"/>
        </w:tabs>
      </w:pPr>
      <w:hyperlink w:anchor="_Toc518" w:history="1">
        <w:r>
          <w:rPr>
            <w:rFonts w:ascii="仿宋" w:eastAsia="仿宋" w:hAnsi="仿宋" w:cs="仿宋" w:hint="eastAsia"/>
            <w:lang w:eastAsia="zh-CN"/>
          </w:rPr>
          <w:t>(一)、危机预警与识别</w:t>
        </w:r>
        <w:r>
          <w:tab/>
        </w:r>
        <w:r>
          <w:fldChar w:fldCharType="begin"/>
        </w:r>
        <w:r>
          <w:instrText xml:space="preserve"> PAGEREF _Toc518 \h </w:instrText>
        </w:r>
        <w:r>
          <w:fldChar w:fldCharType="separate"/>
        </w:r>
        <w:r>
          <w:t>15</w:t>
        </w:r>
        <w:r>
          <w:fldChar w:fldCharType="end"/>
        </w:r>
      </w:hyperlink>
    </w:p>
    <w:p>
      <w:pPr>
        <w:pStyle w:val="TOC2"/>
        <w:tabs>
          <w:tab w:val="right" w:leader="dot" w:pos="8306"/>
        </w:tabs>
      </w:pPr>
      <w:hyperlink w:anchor="_Toc31032" w:history="1">
        <w:r>
          <w:rPr>
            <w:rFonts w:ascii="仿宋" w:eastAsia="仿宋" w:hAnsi="仿宋" w:cs="仿宋" w:hint="eastAsia"/>
            <w:lang w:eastAsia="zh-CN"/>
          </w:rPr>
          <w:t>(二)、危机应对与恢复</w:t>
        </w:r>
        <w:r>
          <w:tab/>
        </w:r>
        <w:r>
          <w:fldChar w:fldCharType="begin"/>
        </w:r>
        <w:r>
          <w:instrText xml:space="preserve"> PAGEREF _Toc31032 \h </w:instrText>
        </w:r>
        <w:r>
          <w:fldChar w:fldCharType="separate"/>
        </w:r>
        <w:r>
          <w:t>16</w:t>
        </w:r>
        <w:r>
          <w:fldChar w:fldCharType="end"/>
        </w:r>
      </w:hyperlink>
    </w:p>
    <w:p>
      <w:pPr>
        <w:pStyle w:val="TOC1"/>
        <w:tabs>
          <w:tab w:val="right" w:leader="dot" w:pos="8306"/>
        </w:tabs>
      </w:pPr>
      <w:hyperlink w:anchor="_Toc4462" w:history="1">
        <w:r>
          <w:rPr>
            <w:rFonts w:ascii="仿宋" w:eastAsia="仿宋" w:hAnsi="仿宋" w:cs="仿宋" w:hint="eastAsia"/>
            <w:lang w:eastAsia="zh-CN"/>
          </w:rPr>
          <w:t>六、农药及中间体项目绩效评估</w:t>
        </w:r>
        <w:r>
          <w:tab/>
        </w:r>
        <w:r>
          <w:fldChar w:fldCharType="begin"/>
        </w:r>
        <w:r>
          <w:instrText xml:space="preserve"> PAGEREF _Toc4462 \h </w:instrText>
        </w:r>
        <w:r>
          <w:fldChar w:fldCharType="separate"/>
        </w:r>
        <w:r>
          <w:t>17</w:t>
        </w:r>
        <w:r>
          <w:fldChar w:fldCharType="end"/>
        </w:r>
      </w:hyperlink>
    </w:p>
    <w:p>
      <w:pPr>
        <w:pStyle w:val="TOC2"/>
        <w:tabs>
          <w:tab w:val="right" w:leader="dot" w:pos="8306"/>
        </w:tabs>
      </w:pPr>
      <w:hyperlink w:anchor="_Toc2520" w:history="1">
        <w:r>
          <w:rPr>
            <w:rFonts w:ascii="仿宋" w:eastAsia="仿宋" w:hAnsi="仿宋" w:cs="仿宋" w:hint="eastAsia"/>
            <w:lang w:eastAsia="zh-CN"/>
          </w:rPr>
          <w:t>(一)、绩效评估指标</w:t>
        </w:r>
        <w:r>
          <w:tab/>
        </w:r>
        <w:r>
          <w:fldChar w:fldCharType="begin"/>
        </w:r>
        <w:r>
          <w:instrText xml:space="preserve"> PAGEREF _Toc2520 \h </w:instrText>
        </w:r>
        <w:r>
          <w:fldChar w:fldCharType="separate"/>
        </w:r>
        <w:r>
          <w:t>17</w:t>
        </w:r>
        <w:r>
          <w:fldChar w:fldCharType="end"/>
        </w:r>
      </w:hyperlink>
    </w:p>
    <w:p>
      <w:pPr>
        <w:pStyle w:val="TOC2"/>
        <w:tabs>
          <w:tab w:val="right" w:leader="dot" w:pos="8306"/>
        </w:tabs>
      </w:pPr>
      <w:hyperlink w:anchor="_Toc28197" w:history="1">
        <w:r>
          <w:rPr>
            <w:rFonts w:ascii="仿宋" w:eastAsia="仿宋" w:hAnsi="仿宋" w:cs="仿宋" w:hint="eastAsia"/>
            <w:lang w:eastAsia="zh-CN"/>
          </w:rPr>
          <w:t>(二)、绩效评估方法</w:t>
        </w:r>
        <w:r>
          <w:tab/>
        </w:r>
        <w:r>
          <w:fldChar w:fldCharType="begin"/>
        </w:r>
        <w:r>
          <w:instrText xml:space="preserve"> PAGEREF _Toc28197 \h </w:instrText>
        </w:r>
        <w:r>
          <w:fldChar w:fldCharType="separate"/>
        </w:r>
        <w:r>
          <w:t>18</w:t>
        </w:r>
        <w:r>
          <w:fldChar w:fldCharType="end"/>
        </w:r>
      </w:hyperlink>
    </w:p>
    <w:p>
      <w:pPr>
        <w:pStyle w:val="TOC2"/>
        <w:tabs>
          <w:tab w:val="right" w:leader="dot" w:pos="8306"/>
        </w:tabs>
      </w:pPr>
      <w:hyperlink w:anchor="_Toc26255" w:history="1">
        <w:r>
          <w:rPr>
            <w:rFonts w:ascii="仿宋" w:eastAsia="仿宋" w:hAnsi="仿宋" w:cs="仿宋" w:hint="eastAsia"/>
            <w:lang w:eastAsia="zh-CN"/>
          </w:rPr>
          <w:t>(三)、绩效评估周期</w:t>
        </w:r>
        <w:r>
          <w:tab/>
        </w:r>
        <w:r>
          <w:fldChar w:fldCharType="begin"/>
        </w:r>
        <w:r>
          <w:instrText xml:space="preserve"> PAGEREF _Toc26255 \h </w:instrText>
        </w:r>
        <w:r>
          <w:fldChar w:fldCharType="separate"/>
        </w:r>
        <w:r>
          <w:t>19</w:t>
        </w:r>
        <w:r>
          <w:fldChar w:fldCharType="end"/>
        </w:r>
      </w:hyperlink>
    </w:p>
    <w:p>
      <w:pPr>
        <w:pStyle w:val="TOC1"/>
        <w:tabs>
          <w:tab w:val="right" w:leader="dot" w:pos="8306"/>
        </w:tabs>
      </w:pPr>
      <w:hyperlink w:anchor="_Toc9106" w:history="1">
        <w:r>
          <w:rPr>
            <w:rFonts w:ascii="仿宋" w:eastAsia="仿宋" w:hAnsi="仿宋" w:cs="仿宋" w:hint="eastAsia"/>
            <w:lang w:eastAsia="zh-CN"/>
          </w:rPr>
          <w:t>七、农药及中间体项目技术管理</w:t>
        </w:r>
        <w:r>
          <w:tab/>
        </w:r>
        <w:r>
          <w:fldChar w:fldCharType="begin"/>
        </w:r>
        <w:r>
          <w:instrText xml:space="preserve"> PAGEREF _Toc9106 \h </w:instrText>
        </w:r>
        <w:r>
          <w:fldChar w:fldCharType="separate"/>
        </w:r>
        <w:r>
          <w:t>20</w:t>
        </w:r>
        <w:r>
          <w:fldChar w:fldCharType="end"/>
        </w:r>
      </w:hyperlink>
    </w:p>
    <w:p>
      <w:pPr>
        <w:pStyle w:val="TOC2"/>
        <w:tabs>
          <w:tab w:val="right" w:leader="dot" w:pos="8306"/>
        </w:tabs>
      </w:pPr>
      <w:hyperlink w:anchor="_Toc30520" w:history="1">
        <w:r>
          <w:rPr>
            <w:rFonts w:ascii="仿宋" w:eastAsia="仿宋" w:hAnsi="仿宋" w:cs="仿宋" w:hint="eastAsia"/>
            <w:lang w:eastAsia="zh-CN"/>
          </w:rPr>
          <w:t>(一)、技术方案选用方向</w:t>
        </w:r>
        <w:r>
          <w:tab/>
        </w:r>
        <w:r>
          <w:fldChar w:fldCharType="begin"/>
        </w:r>
        <w:r>
          <w:instrText xml:space="preserve"> PAGEREF _Toc30520 \h </w:instrText>
        </w:r>
        <w:r>
          <w:fldChar w:fldCharType="separate"/>
        </w:r>
        <w:r>
          <w:t>20</w:t>
        </w:r>
        <w:r>
          <w:fldChar w:fldCharType="end"/>
        </w:r>
      </w:hyperlink>
    </w:p>
    <w:p>
      <w:pPr>
        <w:pStyle w:val="TOC2"/>
        <w:tabs>
          <w:tab w:val="right" w:leader="dot" w:pos="8306"/>
        </w:tabs>
      </w:pPr>
      <w:hyperlink w:anchor="_Toc9194" w:history="1">
        <w:r>
          <w:rPr>
            <w:rFonts w:ascii="仿宋" w:eastAsia="仿宋" w:hAnsi="仿宋" w:cs="仿宋" w:hint="eastAsia"/>
            <w:lang w:eastAsia="zh-CN"/>
          </w:rPr>
          <w:t>(二)、工艺技术方案选用原则</w:t>
        </w:r>
        <w:r>
          <w:tab/>
        </w:r>
        <w:r>
          <w:fldChar w:fldCharType="begin"/>
        </w:r>
        <w:r>
          <w:instrText xml:space="preserve"> PAGEREF _Toc9194 \h </w:instrText>
        </w:r>
        <w:r>
          <w:fldChar w:fldCharType="separate"/>
        </w:r>
        <w:r>
          <w:t>22</w:t>
        </w:r>
        <w:r>
          <w:fldChar w:fldCharType="end"/>
        </w:r>
      </w:hyperlink>
    </w:p>
    <w:p>
      <w:pPr>
        <w:pStyle w:val="TOC2"/>
        <w:tabs>
          <w:tab w:val="right" w:leader="dot" w:pos="8306"/>
        </w:tabs>
      </w:pPr>
      <w:hyperlink w:anchor="_Toc4050" w:history="1">
        <w:r>
          <w:rPr>
            <w:rFonts w:ascii="仿宋" w:eastAsia="仿宋" w:hAnsi="仿宋" w:cs="仿宋" w:hint="eastAsia"/>
            <w:lang w:eastAsia="zh-CN"/>
          </w:rPr>
          <w:t>(三)、工艺技术方案要求</w:t>
        </w:r>
        <w:r>
          <w:tab/>
        </w:r>
        <w:r>
          <w:fldChar w:fldCharType="begin"/>
        </w:r>
        <w:r>
          <w:instrText xml:space="preserve"> PAGEREF _Toc4050 \h </w:instrText>
        </w:r>
        <w:r>
          <w:fldChar w:fldCharType="separate"/>
        </w:r>
        <w:r>
          <w:t>24</w:t>
        </w:r>
        <w:r>
          <w:fldChar w:fldCharType="end"/>
        </w:r>
      </w:hyperlink>
    </w:p>
    <w:p>
      <w:pPr>
        <w:pStyle w:val="TOC1"/>
        <w:tabs>
          <w:tab w:val="right" w:leader="dot" w:pos="8306"/>
        </w:tabs>
      </w:pPr>
      <w:hyperlink w:anchor="_Toc31564" w:history="1">
        <w:r>
          <w:rPr>
            <w:rFonts w:ascii="仿宋" w:eastAsia="仿宋" w:hAnsi="仿宋" w:cs="仿宋" w:hint="eastAsia"/>
            <w:lang w:eastAsia="zh-CN"/>
          </w:rPr>
          <w:t>八、农药及中间体项目人力资源管理</w:t>
        </w:r>
        <w:r>
          <w:tab/>
        </w:r>
        <w:r>
          <w:fldChar w:fldCharType="begin"/>
        </w:r>
        <w:r>
          <w:instrText xml:space="preserve"> PAGEREF _Toc31564 \h </w:instrText>
        </w:r>
        <w:r>
          <w:fldChar w:fldCharType="separate"/>
        </w:r>
        <w:r>
          <w:t>27</w:t>
        </w:r>
        <w:r>
          <w:fldChar w:fldCharType="end"/>
        </w:r>
      </w:hyperlink>
    </w:p>
    <w:p>
      <w:pPr>
        <w:pStyle w:val="TOC2"/>
        <w:tabs>
          <w:tab w:val="right" w:leader="dot" w:pos="8306"/>
        </w:tabs>
      </w:pPr>
      <w:hyperlink w:anchor="_Toc23484" w:history="1">
        <w:r>
          <w:rPr>
            <w:rFonts w:ascii="仿宋" w:eastAsia="仿宋" w:hAnsi="仿宋" w:cs="仿宋" w:hint="eastAsia"/>
            <w:lang w:eastAsia="zh-CN"/>
          </w:rPr>
          <w:t>(一)、建立健全的预算管理制度</w:t>
        </w:r>
        <w:r>
          <w:tab/>
        </w:r>
        <w:r>
          <w:fldChar w:fldCharType="begin"/>
        </w:r>
        <w:r>
          <w:instrText xml:space="preserve"> PAGEREF _Toc23484 \h </w:instrText>
        </w:r>
        <w:r>
          <w:fldChar w:fldCharType="separate"/>
        </w:r>
        <w:r>
          <w:t>27</w:t>
        </w:r>
        <w:r>
          <w:fldChar w:fldCharType="end"/>
        </w:r>
      </w:hyperlink>
    </w:p>
    <w:p>
      <w:pPr>
        <w:pStyle w:val="TOC2"/>
        <w:tabs>
          <w:tab w:val="right" w:leader="dot" w:pos="8306"/>
        </w:tabs>
      </w:pPr>
      <w:hyperlink w:anchor="_Toc136" w:history="1">
        <w:r>
          <w:rPr>
            <w:rFonts w:ascii="仿宋" w:eastAsia="仿宋" w:hAnsi="仿宋" w:cs="仿宋" w:hint="eastAsia"/>
            <w:lang w:eastAsia="zh-CN"/>
          </w:rPr>
          <w:t>(二)、加强资金流动监控</w:t>
        </w:r>
        <w:r>
          <w:tab/>
        </w:r>
        <w:r>
          <w:fldChar w:fldCharType="begin"/>
        </w:r>
        <w:r>
          <w:instrText xml:space="preserve"> PAGEREF _Toc136 \h </w:instrText>
        </w:r>
        <w:r>
          <w:fldChar w:fldCharType="separate"/>
        </w:r>
        <w:r>
          <w:t>28</w:t>
        </w:r>
        <w:r>
          <w:fldChar w:fldCharType="end"/>
        </w:r>
      </w:hyperlink>
    </w:p>
    <w:p>
      <w:pPr>
        <w:pStyle w:val="TOC2"/>
        <w:tabs>
          <w:tab w:val="right" w:leader="dot" w:pos="8306"/>
        </w:tabs>
      </w:pPr>
      <w:hyperlink w:anchor="_Toc29631" w:history="1">
        <w:r>
          <w:rPr>
            <w:rFonts w:ascii="仿宋" w:eastAsia="仿宋" w:hAnsi="仿宋" w:cs="仿宋" w:hint="eastAsia"/>
            <w:lang w:eastAsia="zh-CN"/>
          </w:rPr>
          <w:t>(三)、制定完善的风险控制机制</w:t>
        </w:r>
        <w:r>
          <w:tab/>
        </w:r>
        <w:r>
          <w:fldChar w:fldCharType="begin"/>
        </w:r>
        <w:r>
          <w:instrText xml:space="preserve"> PAGEREF _Toc29631 \h </w:instrText>
        </w:r>
        <w:r>
          <w:fldChar w:fldCharType="separate"/>
        </w:r>
        <w:r>
          <w:t>29</w:t>
        </w:r>
        <w:r>
          <w:fldChar w:fldCharType="end"/>
        </w:r>
      </w:hyperlink>
    </w:p>
    <w:p>
      <w:pPr>
        <w:pStyle w:val="TOC2"/>
        <w:tabs>
          <w:tab w:val="right" w:leader="dot" w:pos="8306"/>
        </w:tabs>
      </w:pPr>
      <w:hyperlink w:anchor="_Toc6521" w:history="1">
        <w:r>
          <w:rPr>
            <w:rFonts w:ascii="仿宋" w:eastAsia="仿宋" w:hAnsi="仿宋" w:cs="仿宋" w:hint="eastAsia"/>
            <w:lang w:eastAsia="zh-CN"/>
          </w:rPr>
          <w:t>(四)、优化成本管理</w:t>
        </w:r>
        <w:r>
          <w:tab/>
        </w:r>
        <w:r>
          <w:fldChar w:fldCharType="begin"/>
        </w:r>
        <w:r>
          <w:instrText xml:space="preserve"> PAGEREF _Toc6521 \h </w:instrText>
        </w:r>
        <w:r>
          <w:fldChar w:fldCharType="separate"/>
        </w:r>
        <w:r>
          <w:t>31</w:t>
        </w:r>
        <w:r>
          <w:fldChar w:fldCharType="end"/>
        </w:r>
      </w:hyperlink>
    </w:p>
    <w:p>
      <w:pPr>
        <w:pStyle w:val="TOC1"/>
        <w:tabs>
          <w:tab w:val="right" w:leader="dot" w:pos="8306"/>
        </w:tabs>
      </w:pPr>
      <w:hyperlink w:anchor="_Toc32160" w:history="1">
        <w:r>
          <w:rPr>
            <w:rFonts w:ascii="仿宋" w:eastAsia="仿宋" w:hAnsi="仿宋" w:cs="仿宋" w:hint="eastAsia"/>
            <w:lang w:eastAsia="zh-CN"/>
          </w:rPr>
          <w:t>九、农药及中间体项目创新与研发</w:t>
        </w:r>
        <w:r>
          <w:tab/>
        </w:r>
        <w:r>
          <w:fldChar w:fldCharType="begin"/>
        </w:r>
        <w:r>
          <w:instrText xml:space="preserve"> PAGEREF _Toc32160 \h </w:instrText>
        </w:r>
        <w:r>
          <w:fldChar w:fldCharType="separate"/>
        </w:r>
        <w:r>
          <w:t>32</w:t>
        </w:r>
        <w:r>
          <w:fldChar w:fldCharType="end"/>
        </w:r>
      </w:hyperlink>
    </w:p>
    <w:p>
      <w:pPr>
        <w:pStyle w:val="TOC2"/>
        <w:tabs>
          <w:tab w:val="right" w:leader="dot" w:pos="8306"/>
        </w:tabs>
      </w:pPr>
      <w:hyperlink w:anchor="_Toc5849" w:history="1">
        <w:r>
          <w:rPr>
            <w:rFonts w:ascii="仿宋" w:eastAsia="仿宋" w:hAnsi="仿宋" w:cs="仿宋" w:hint="eastAsia"/>
            <w:lang w:eastAsia="zh-CN"/>
          </w:rPr>
          <w:t>(一)、创新策略与方向</w:t>
        </w:r>
        <w:r>
          <w:tab/>
        </w:r>
        <w:r>
          <w:fldChar w:fldCharType="begin"/>
        </w:r>
        <w:r>
          <w:instrText xml:space="preserve"> PAGEREF _Toc5849 \h </w:instrText>
        </w:r>
        <w:r>
          <w:fldChar w:fldCharType="separate"/>
        </w:r>
        <w:r>
          <w:t>32</w:t>
        </w:r>
        <w:r>
          <w:fldChar w:fldCharType="end"/>
        </w:r>
      </w:hyperlink>
    </w:p>
    <w:p>
      <w:pPr>
        <w:pStyle w:val="TOC2"/>
        <w:tabs>
          <w:tab w:val="right" w:leader="dot" w:pos="8306"/>
        </w:tabs>
      </w:pPr>
      <w:hyperlink w:anchor="_Toc26897" w:history="1">
        <w:r>
          <w:rPr>
            <w:rFonts w:ascii="仿宋" w:eastAsia="仿宋" w:hAnsi="仿宋" w:cs="仿宋" w:hint="eastAsia"/>
            <w:lang w:eastAsia="zh-CN"/>
          </w:rPr>
          <w:t>(二)、研发规划与投入</w:t>
        </w:r>
        <w:r>
          <w:tab/>
        </w:r>
        <w:r>
          <w:fldChar w:fldCharType="begin"/>
        </w:r>
        <w:r>
          <w:instrText xml:space="preserve"> PAGEREF _Toc26897 \h </w:instrText>
        </w:r>
        <w:r>
          <w:fldChar w:fldCharType="separate"/>
        </w:r>
        <w:r>
          <w:t>34</w:t>
        </w:r>
        <w:r>
          <w:fldChar w:fldCharType="end"/>
        </w:r>
      </w:hyperlink>
    </w:p>
    <w:p>
      <w:pPr>
        <w:pStyle w:val="TOC1"/>
        <w:tabs>
          <w:tab w:val="right" w:leader="dot" w:pos="8306"/>
        </w:tabs>
      </w:pPr>
      <w:hyperlink w:anchor="_Toc3057" w:history="1">
        <w:r>
          <w:rPr>
            <w:rFonts w:ascii="仿宋" w:eastAsia="仿宋" w:hAnsi="仿宋" w:cs="仿宋" w:hint="eastAsia"/>
            <w:lang w:eastAsia="zh-CN"/>
          </w:rPr>
          <w:t>十、农药及中间体项目人力资源培养与发展</w:t>
        </w:r>
        <w:r>
          <w:tab/>
        </w:r>
        <w:r>
          <w:fldChar w:fldCharType="begin"/>
        </w:r>
        <w:r>
          <w:instrText xml:space="preserve"> PAGEREF _Toc3057 \h </w:instrText>
        </w:r>
        <w:r>
          <w:fldChar w:fldCharType="separate"/>
        </w:r>
        <w:r>
          <w:t>35</w:t>
        </w:r>
        <w:r>
          <w:fldChar w:fldCharType="end"/>
        </w:r>
      </w:hyperlink>
    </w:p>
    <w:p>
      <w:pPr>
        <w:pStyle w:val="TOC2"/>
        <w:tabs>
          <w:tab w:val="right" w:leader="dot" w:pos="8306"/>
        </w:tabs>
      </w:pPr>
      <w:hyperlink w:anchor="_Toc15660" w:history="1">
        <w:r>
          <w:rPr>
            <w:rFonts w:ascii="仿宋" w:eastAsia="仿宋" w:hAnsi="仿宋" w:cs="仿宋" w:hint="eastAsia"/>
            <w:lang w:eastAsia="zh-CN"/>
          </w:rPr>
          <w:t>(一)、人才需求与规划</w:t>
        </w:r>
        <w:r>
          <w:tab/>
        </w:r>
        <w:r>
          <w:fldChar w:fldCharType="begin"/>
        </w:r>
        <w:r>
          <w:instrText xml:space="preserve"> PAGEREF _Toc15660 \h </w:instrText>
        </w:r>
        <w:r>
          <w:fldChar w:fldCharType="separate"/>
        </w:r>
        <w:r>
          <w:t>35</w:t>
        </w:r>
        <w:r>
          <w:fldChar w:fldCharType="end"/>
        </w:r>
      </w:hyperlink>
    </w:p>
    <w:p>
      <w:pPr>
        <w:pStyle w:val="TOC2"/>
        <w:tabs>
          <w:tab w:val="right" w:leader="dot" w:pos="8306"/>
        </w:tabs>
      </w:pPr>
      <w:hyperlink w:anchor="_Toc26776" w:history="1">
        <w:r>
          <w:rPr>
            <w:rFonts w:ascii="仿宋" w:eastAsia="仿宋" w:hAnsi="仿宋" w:cs="仿宋" w:hint="eastAsia"/>
            <w:lang w:eastAsia="zh-CN"/>
          </w:rPr>
          <w:t>(二)、培训与发展计划</w:t>
        </w:r>
        <w:r>
          <w:tab/>
        </w:r>
        <w:r>
          <w:fldChar w:fldCharType="begin"/>
        </w:r>
        <w:r>
          <w:instrText xml:space="preserve"> PAGEREF _Toc26776 \h </w:instrText>
        </w:r>
        <w:r>
          <w:fldChar w:fldCharType="separate"/>
        </w:r>
        <w:r>
          <w:t>36</w:t>
        </w:r>
        <w:r>
          <w:fldChar w:fldCharType="end"/>
        </w:r>
      </w:hyperlink>
    </w:p>
    <w:p>
      <w:pPr>
        <w:pStyle w:val="TOC1"/>
        <w:tabs>
          <w:tab w:val="right" w:leader="dot" w:pos="8306"/>
        </w:tabs>
      </w:pPr>
      <w:hyperlink w:anchor="_Toc17131" w:history="1">
        <w:r>
          <w:rPr>
            <w:rFonts w:ascii="仿宋" w:eastAsia="仿宋" w:hAnsi="仿宋" w:cs="仿宋" w:hint="eastAsia"/>
            <w:lang w:eastAsia="zh-CN"/>
          </w:rPr>
          <w:t>十一、农药及中间体项目环境影响分析</w:t>
        </w:r>
        <w:r>
          <w:tab/>
        </w:r>
        <w:r>
          <w:fldChar w:fldCharType="begin"/>
        </w:r>
        <w:r>
          <w:instrText xml:space="preserve"> PAGEREF _Toc17131 \h </w:instrText>
        </w:r>
        <w:r>
          <w:fldChar w:fldCharType="separate"/>
        </w:r>
        <w:r>
          <w:t>36</w:t>
        </w:r>
        <w:r>
          <w:fldChar w:fldCharType="end"/>
        </w:r>
      </w:hyperlink>
    </w:p>
    <w:p>
      <w:pPr>
        <w:pStyle w:val="TOC2"/>
        <w:tabs>
          <w:tab w:val="right" w:leader="dot" w:pos="8306"/>
        </w:tabs>
      </w:pPr>
      <w:hyperlink w:anchor="_Toc4188" w:history="1">
        <w:r>
          <w:rPr>
            <w:rFonts w:ascii="仿宋" w:eastAsia="仿宋" w:hAnsi="仿宋" w:cs="仿宋" w:hint="eastAsia"/>
            <w:lang w:eastAsia="zh-CN"/>
          </w:rPr>
          <w:t>(一)、建设区域环境质量现状</w:t>
        </w:r>
        <w:r>
          <w:tab/>
        </w:r>
        <w:r>
          <w:fldChar w:fldCharType="begin"/>
        </w:r>
        <w:r>
          <w:instrText xml:space="preserve"> PAGEREF _Toc4188 \h </w:instrText>
        </w:r>
        <w:r>
          <w:fldChar w:fldCharType="separate"/>
        </w:r>
        <w:r>
          <w:t>36</w:t>
        </w:r>
        <w:r>
          <w:fldChar w:fldCharType="end"/>
        </w:r>
      </w:hyperlink>
    </w:p>
    <w:p>
      <w:pPr>
        <w:pStyle w:val="TOC2"/>
        <w:tabs>
          <w:tab w:val="right" w:leader="dot" w:pos="8306"/>
        </w:tabs>
      </w:pPr>
      <w:hyperlink w:anchor="_Toc31799" w:history="1">
        <w:r>
          <w:rPr>
            <w:rFonts w:ascii="仿宋" w:eastAsia="仿宋" w:hAnsi="仿宋" w:cs="仿宋" w:hint="eastAsia"/>
            <w:lang w:eastAsia="zh-CN"/>
          </w:rPr>
          <w:t>(二)、建设期环境保护</w:t>
        </w:r>
        <w:r>
          <w:tab/>
        </w:r>
        <w:r>
          <w:fldChar w:fldCharType="begin"/>
        </w:r>
        <w:r>
          <w:instrText xml:space="preserve"> PAGEREF _Toc31799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36" w:history="1">
        <w:r>
          <w:rPr>
            <w:rFonts w:ascii="仿宋" w:eastAsia="仿宋" w:hAnsi="仿宋" w:cs="仿宋" w:hint="eastAsia"/>
            <w:lang w:eastAsia="zh-CN"/>
          </w:rPr>
          <w:t>(三)、运营期环境保护</w:t>
        </w:r>
        <w:r>
          <w:tab/>
        </w:r>
        <w:r>
          <w:fldChar w:fldCharType="begin"/>
        </w:r>
        <w:r>
          <w:instrText xml:space="preserve"> PAGEREF _Toc16336 \h </w:instrText>
        </w:r>
        <w:r>
          <w:fldChar w:fldCharType="separate"/>
        </w:r>
        <w:r>
          <w:t>39</w:t>
        </w:r>
        <w:r>
          <w:fldChar w:fldCharType="end"/>
        </w:r>
      </w:hyperlink>
    </w:p>
    <w:p>
      <w:pPr>
        <w:pStyle w:val="TOC2"/>
        <w:tabs>
          <w:tab w:val="right" w:leader="dot" w:pos="8306"/>
        </w:tabs>
      </w:pPr>
      <w:hyperlink w:anchor="_Toc5242" w:history="1">
        <w:r>
          <w:rPr>
            <w:rFonts w:ascii="仿宋" w:eastAsia="仿宋" w:hAnsi="仿宋" w:cs="仿宋" w:hint="eastAsia"/>
            <w:lang w:eastAsia="zh-CN"/>
          </w:rPr>
          <w:t>(四)、农药及中间体项目建设对区域经济的影响</w:t>
        </w:r>
        <w:r>
          <w:tab/>
        </w:r>
        <w:r>
          <w:fldChar w:fldCharType="begin"/>
        </w:r>
        <w:r>
          <w:instrText xml:space="preserve"> PAGEREF _Toc5242 \h </w:instrText>
        </w:r>
        <w:r>
          <w:fldChar w:fldCharType="separate"/>
        </w:r>
        <w:r>
          <w:t>41</w:t>
        </w:r>
        <w:r>
          <w:fldChar w:fldCharType="end"/>
        </w:r>
      </w:hyperlink>
    </w:p>
    <w:p>
      <w:pPr>
        <w:pStyle w:val="TOC2"/>
        <w:tabs>
          <w:tab w:val="right" w:leader="dot" w:pos="8306"/>
        </w:tabs>
      </w:pPr>
      <w:hyperlink w:anchor="_Toc22856" w:history="1">
        <w:r>
          <w:rPr>
            <w:rFonts w:ascii="仿宋" w:eastAsia="仿宋" w:hAnsi="仿宋" w:cs="仿宋" w:hint="eastAsia"/>
            <w:lang w:eastAsia="zh-CN"/>
          </w:rPr>
          <w:t>(五)、废弃物处理</w:t>
        </w:r>
        <w:r>
          <w:tab/>
        </w:r>
        <w:r>
          <w:fldChar w:fldCharType="begin"/>
        </w:r>
        <w:r>
          <w:instrText xml:space="preserve"> PAGEREF _Toc22856 \h </w:instrText>
        </w:r>
        <w:r>
          <w:fldChar w:fldCharType="separate"/>
        </w:r>
        <w:r>
          <w:t>42</w:t>
        </w:r>
        <w:r>
          <w:fldChar w:fldCharType="end"/>
        </w:r>
      </w:hyperlink>
    </w:p>
    <w:p>
      <w:pPr>
        <w:pStyle w:val="TOC2"/>
        <w:tabs>
          <w:tab w:val="right" w:leader="dot" w:pos="8306"/>
        </w:tabs>
      </w:pPr>
      <w:hyperlink w:anchor="_Toc7914" w:history="1">
        <w:r>
          <w:rPr>
            <w:rFonts w:ascii="仿宋" w:eastAsia="仿宋" w:hAnsi="仿宋" w:cs="仿宋" w:hint="eastAsia"/>
            <w:lang w:eastAsia="zh-CN"/>
          </w:rPr>
          <w:t>(六)、特殊环境影响分析</w:t>
        </w:r>
        <w:r>
          <w:tab/>
        </w:r>
        <w:r>
          <w:fldChar w:fldCharType="begin"/>
        </w:r>
        <w:r>
          <w:instrText xml:space="preserve"> PAGEREF _Toc7914 \h </w:instrText>
        </w:r>
        <w:r>
          <w:fldChar w:fldCharType="separate"/>
        </w:r>
        <w:r>
          <w:t>44</w:t>
        </w:r>
        <w:r>
          <w:fldChar w:fldCharType="end"/>
        </w:r>
      </w:hyperlink>
    </w:p>
    <w:p>
      <w:pPr>
        <w:pStyle w:val="TOC2"/>
        <w:tabs>
          <w:tab w:val="right" w:leader="dot" w:pos="8306"/>
        </w:tabs>
      </w:pPr>
      <w:hyperlink w:anchor="_Toc15508" w:history="1">
        <w:r>
          <w:rPr>
            <w:rFonts w:ascii="仿宋" w:eastAsia="仿宋" w:hAnsi="仿宋" w:cs="仿宋" w:hint="eastAsia"/>
            <w:lang w:eastAsia="zh-CN"/>
          </w:rPr>
          <w:t>(七)、清洁生产</w:t>
        </w:r>
        <w:r>
          <w:tab/>
        </w:r>
        <w:r>
          <w:fldChar w:fldCharType="begin"/>
        </w:r>
        <w:r>
          <w:instrText xml:space="preserve"> PAGEREF _Toc15508 \h </w:instrText>
        </w:r>
        <w:r>
          <w:fldChar w:fldCharType="separate"/>
        </w:r>
        <w:r>
          <w:t>45</w:t>
        </w:r>
        <w:r>
          <w:fldChar w:fldCharType="end"/>
        </w:r>
      </w:hyperlink>
    </w:p>
    <w:p>
      <w:pPr>
        <w:pStyle w:val="TOC2"/>
        <w:tabs>
          <w:tab w:val="right" w:leader="dot" w:pos="8306"/>
        </w:tabs>
      </w:pPr>
      <w:hyperlink w:anchor="_Toc22487" w:history="1">
        <w:r>
          <w:rPr>
            <w:rFonts w:ascii="仿宋" w:eastAsia="仿宋" w:hAnsi="仿宋" w:cs="仿宋" w:hint="eastAsia"/>
            <w:lang w:eastAsia="zh-CN"/>
          </w:rPr>
          <w:t>(八)、环境保护综合评价</w:t>
        </w:r>
        <w:r>
          <w:tab/>
        </w:r>
        <w:r>
          <w:fldChar w:fldCharType="begin"/>
        </w:r>
        <w:r>
          <w:instrText xml:space="preserve"> PAGEREF _Toc22487 \h </w:instrText>
        </w:r>
        <w:r>
          <w:fldChar w:fldCharType="separate"/>
        </w:r>
        <w:r>
          <w:t>46</w:t>
        </w:r>
        <w:r>
          <w:fldChar w:fldCharType="end"/>
        </w:r>
      </w:hyperlink>
    </w:p>
    <w:p>
      <w:pPr>
        <w:pStyle w:val="TOC1"/>
        <w:tabs>
          <w:tab w:val="right" w:leader="dot" w:pos="8306"/>
        </w:tabs>
      </w:pPr>
      <w:hyperlink w:anchor="_Toc10617" w:history="1">
        <w:r>
          <w:rPr>
            <w:rFonts w:ascii="仿宋" w:eastAsia="仿宋" w:hAnsi="仿宋" w:cs="仿宋" w:hint="eastAsia"/>
            <w:lang w:eastAsia="zh-CN"/>
          </w:rPr>
          <w:t>十二、农药及中间体项目投资规划</w:t>
        </w:r>
        <w:r>
          <w:tab/>
        </w:r>
        <w:r>
          <w:fldChar w:fldCharType="begin"/>
        </w:r>
        <w:r>
          <w:instrText xml:space="preserve"> PAGEREF _Toc10617 \h </w:instrText>
        </w:r>
        <w:r>
          <w:fldChar w:fldCharType="separate"/>
        </w:r>
        <w:r>
          <w:t>47</w:t>
        </w:r>
        <w:r>
          <w:fldChar w:fldCharType="end"/>
        </w:r>
      </w:hyperlink>
    </w:p>
    <w:p>
      <w:pPr>
        <w:pStyle w:val="TOC2"/>
        <w:tabs>
          <w:tab w:val="right" w:leader="dot" w:pos="8306"/>
        </w:tabs>
      </w:pPr>
      <w:hyperlink w:anchor="_Toc2502" w:history="1">
        <w:r>
          <w:rPr>
            <w:rFonts w:ascii="仿宋" w:eastAsia="仿宋" w:hAnsi="仿宋" w:cs="仿宋" w:hint="eastAsia"/>
            <w:lang w:eastAsia="zh-CN"/>
          </w:rPr>
          <w:t>(一)、农药及中间体项目总投资估算</w:t>
        </w:r>
        <w:r>
          <w:tab/>
        </w:r>
        <w:r>
          <w:fldChar w:fldCharType="begin"/>
        </w:r>
        <w:r>
          <w:instrText xml:space="preserve"> PAGEREF _Toc2502 \h </w:instrText>
        </w:r>
        <w:r>
          <w:fldChar w:fldCharType="separate"/>
        </w:r>
        <w:r>
          <w:t>47</w:t>
        </w:r>
        <w:r>
          <w:fldChar w:fldCharType="end"/>
        </w:r>
      </w:hyperlink>
    </w:p>
    <w:p>
      <w:pPr>
        <w:pStyle w:val="TOC2"/>
        <w:tabs>
          <w:tab w:val="right" w:leader="dot" w:pos="8306"/>
        </w:tabs>
      </w:pPr>
      <w:hyperlink w:anchor="_Toc27377" w:history="1">
        <w:r>
          <w:rPr>
            <w:rFonts w:ascii="仿宋" w:eastAsia="仿宋" w:hAnsi="仿宋" w:cs="仿宋" w:hint="eastAsia"/>
            <w:lang w:eastAsia="zh-CN"/>
          </w:rPr>
          <w:t>(二)、资金筹措</w:t>
        </w:r>
        <w:r>
          <w:tab/>
        </w:r>
        <w:r>
          <w:fldChar w:fldCharType="begin"/>
        </w:r>
        <w:r>
          <w:instrText xml:space="preserve"> PAGEREF _Toc27377 \h </w:instrText>
        </w:r>
        <w:r>
          <w:fldChar w:fldCharType="separate"/>
        </w:r>
        <w:r>
          <w:t>48</w:t>
        </w:r>
        <w:r>
          <w:fldChar w:fldCharType="end"/>
        </w:r>
      </w:hyperlink>
    </w:p>
    <w:p>
      <w:pPr>
        <w:pStyle w:val="TOC1"/>
        <w:tabs>
          <w:tab w:val="right" w:leader="dot" w:pos="8306"/>
        </w:tabs>
      </w:pPr>
      <w:hyperlink w:anchor="_Toc31786" w:history="1">
        <w:r>
          <w:rPr>
            <w:rFonts w:ascii="仿宋" w:eastAsia="仿宋" w:hAnsi="仿宋" w:cs="仿宋" w:hint="eastAsia"/>
            <w:lang w:eastAsia="zh-CN"/>
          </w:rPr>
          <w:t>十三、农药及中间体项目变更管理</w:t>
        </w:r>
        <w:r>
          <w:tab/>
        </w:r>
        <w:r>
          <w:fldChar w:fldCharType="begin"/>
        </w:r>
        <w:r>
          <w:instrText xml:space="preserve"> PAGEREF _Toc31786 \h </w:instrText>
        </w:r>
        <w:r>
          <w:fldChar w:fldCharType="separate"/>
        </w:r>
        <w:r>
          <w:t>49</w:t>
        </w:r>
        <w:r>
          <w:fldChar w:fldCharType="end"/>
        </w:r>
      </w:hyperlink>
    </w:p>
    <w:p>
      <w:pPr>
        <w:pStyle w:val="TOC2"/>
        <w:tabs>
          <w:tab w:val="right" w:leader="dot" w:pos="8306"/>
        </w:tabs>
      </w:pPr>
      <w:hyperlink w:anchor="_Toc14720" w:history="1">
        <w:r>
          <w:rPr>
            <w:rFonts w:ascii="仿宋" w:eastAsia="仿宋" w:hAnsi="仿宋" w:cs="仿宋" w:hint="eastAsia"/>
            <w:lang w:eastAsia="zh-CN"/>
          </w:rPr>
          <w:t>(一)、变更申请与评估</w:t>
        </w:r>
        <w:r>
          <w:tab/>
        </w:r>
        <w:r>
          <w:fldChar w:fldCharType="begin"/>
        </w:r>
        <w:r>
          <w:instrText xml:space="preserve"> PAGEREF _Toc14720 \h </w:instrText>
        </w:r>
        <w:r>
          <w:fldChar w:fldCharType="separate"/>
        </w:r>
        <w:r>
          <w:t>49</w:t>
        </w:r>
        <w:r>
          <w:fldChar w:fldCharType="end"/>
        </w:r>
      </w:hyperlink>
    </w:p>
    <w:p>
      <w:pPr>
        <w:pStyle w:val="TOC2"/>
        <w:tabs>
          <w:tab w:val="right" w:leader="dot" w:pos="8306"/>
        </w:tabs>
      </w:pPr>
      <w:hyperlink w:anchor="_Toc16616" w:history="1">
        <w:r>
          <w:rPr>
            <w:rFonts w:ascii="仿宋" w:eastAsia="仿宋" w:hAnsi="仿宋" w:cs="仿宋" w:hint="eastAsia"/>
            <w:lang w:eastAsia="zh-CN"/>
          </w:rPr>
          <w:t>(二)、变更实施与控制</w:t>
        </w:r>
        <w:r>
          <w:tab/>
        </w:r>
        <w:r>
          <w:fldChar w:fldCharType="begin"/>
        </w:r>
        <w:r>
          <w:instrText xml:space="preserve"> PAGEREF _Toc16616 \h </w:instrText>
        </w:r>
        <w:r>
          <w:fldChar w:fldCharType="separate"/>
        </w:r>
        <w:r>
          <w:t>50</w:t>
        </w:r>
        <w:r>
          <w:fldChar w:fldCharType="end"/>
        </w:r>
      </w:hyperlink>
    </w:p>
    <w:p>
      <w:pPr>
        <w:pStyle w:val="TOC1"/>
        <w:tabs>
          <w:tab w:val="right" w:leader="dot" w:pos="8306"/>
        </w:tabs>
      </w:pPr>
      <w:hyperlink w:anchor="_Toc29985" w:history="1">
        <w:r>
          <w:rPr>
            <w:rFonts w:ascii="仿宋" w:eastAsia="仿宋" w:hAnsi="仿宋" w:cs="仿宋" w:hint="eastAsia"/>
            <w:lang w:eastAsia="zh-CN"/>
          </w:rPr>
          <w:t>十四、营销与推广策略</w:t>
        </w:r>
        <w:r>
          <w:tab/>
        </w:r>
        <w:r>
          <w:fldChar w:fldCharType="begin"/>
        </w:r>
        <w:r>
          <w:instrText xml:space="preserve"> PAGEREF _Toc29985 \h </w:instrText>
        </w:r>
        <w:r>
          <w:fldChar w:fldCharType="separate"/>
        </w:r>
        <w:r>
          <w:t>50</w:t>
        </w:r>
        <w:r>
          <w:fldChar w:fldCharType="end"/>
        </w:r>
      </w:hyperlink>
    </w:p>
    <w:p>
      <w:pPr>
        <w:pStyle w:val="TOC2"/>
        <w:tabs>
          <w:tab w:val="right" w:leader="dot" w:pos="8306"/>
        </w:tabs>
      </w:pPr>
      <w:hyperlink w:anchor="_Toc7957" w:history="1">
        <w:r>
          <w:rPr>
            <w:rFonts w:ascii="仿宋" w:eastAsia="仿宋" w:hAnsi="仿宋" w:cs="仿宋" w:hint="eastAsia"/>
            <w:lang w:eastAsia="zh-CN"/>
          </w:rPr>
          <w:t>(一)、产品/服务定位与特点</w:t>
        </w:r>
        <w:r>
          <w:tab/>
        </w:r>
        <w:r>
          <w:fldChar w:fldCharType="begin"/>
        </w:r>
        <w:r>
          <w:instrText xml:space="preserve"> PAGEREF _Toc7957 \h </w:instrText>
        </w:r>
        <w:r>
          <w:fldChar w:fldCharType="separate"/>
        </w:r>
        <w:r>
          <w:t>50</w:t>
        </w:r>
        <w:r>
          <w:fldChar w:fldCharType="end"/>
        </w:r>
      </w:hyperlink>
    </w:p>
    <w:p>
      <w:pPr>
        <w:pStyle w:val="TOC2"/>
        <w:tabs>
          <w:tab w:val="right" w:leader="dot" w:pos="8306"/>
        </w:tabs>
      </w:pPr>
      <w:hyperlink w:anchor="_Toc7056" w:history="1">
        <w:r>
          <w:rPr>
            <w:rFonts w:ascii="仿宋" w:eastAsia="仿宋" w:hAnsi="仿宋" w:cs="仿宋" w:hint="eastAsia"/>
            <w:lang w:eastAsia="zh-CN"/>
          </w:rPr>
          <w:t>(二)、市场定位与竞争分析</w:t>
        </w:r>
        <w:r>
          <w:tab/>
        </w:r>
        <w:r>
          <w:fldChar w:fldCharType="begin"/>
        </w:r>
        <w:r>
          <w:instrText xml:space="preserve"> PAGEREF _Toc7056 \h </w:instrText>
        </w:r>
        <w:r>
          <w:fldChar w:fldCharType="separate"/>
        </w:r>
        <w:r>
          <w:t>52</w:t>
        </w:r>
        <w:r>
          <w:fldChar w:fldCharType="end"/>
        </w:r>
      </w:hyperlink>
    </w:p>
    <w:p>
      <w:pPr>
        <w:pStyle w:val="TOC2"/>
        <w:tabs>
          <w:tab w:val="right" w:leader="dot" w:pos="8306"/>
        </w:tabs>
      </w:pPr>
      <w:hyperlink w:anchor="_Toc3212" w:history="1">
        <w:r>
          <w:rPr>
            <w:rFonts w:ascii="仿宋" w:eastAsia="仿宋" w:hAnsi="仿宋" w:cs="仿宋" w:hint="eastAsia"/>
            <w:lang w:eastAsia="zh-CN"/>
          </w:rPr>
          <w:t>(三)、营销渠道与策略</w:t>
        </w:r>
        <w:r>
          <w:tab/>
        </w:r>
        <w:r>
          <w:fldChar w:fldCharType="begin"/>
        </w:r>
        <w:r>
          <w:instrText xml:space="preserve"> PAGEREF _Toc3212 \h </w:instrText>
        </w:r>
        <w:r>
          <w:fldChar w:fldCharType="separate"/>
        </w:r>
        <w:r>
          <w:t>53</w:t>
        </w:r>
        <w:r>
          <w:fldChar w:fldCharType="end"/>
        </w:r>
      </w:hyperlink>
    </w:p>
    <w:p>
      <w:pPr>
        <w:pStyle w:val="TOC2"/>
        <w:tabs>
          <w:tab w:val="right" w:leader="dot" w:pos="8306"/>
        </w:tabs>
      </w:pPr>
      <w:hyperlink w:anchor="_Toc17921" w:history="1">
        <w:r>
          <w:rPr>
            <w:rFonts w:ascii="仿宋" w:eastAsia="仿宋" w:hAnsi="仿宋" w:cs="仿宋" w:hint="eastAsia"/>
            <w:lang w:eastAsia="zh-CN"/>
          </w:rPr>
          <w:t>(四)、推广与宣传活动</w:t>
        </w:r>
        <w:r>
          <w:tab/>
        </w:r>
        <w:r>
          <w:fldChar w:fldCharType="begin"/>
        </w:r>
        <w:r>
          <w:instrText xml:space="preserve"> PAGEREF _Toc17921 \h </w:instrText>
        </w:r>
        <w:r>
          <w:fldChar w:fldCharType="separate"/>
        </w:r>
        <w:r>
          <w:t>54</w:t>
        </w:r>
        <w:r>
          <w:fldChar w:fldCharType="end"/>
        </w:r>
      </w:hyperlink>
    </w:p>
    <w:p>
      <w:pPr>
        <w:pStyle w:val="TOC1"/>
        <w:tabs>
          <w:tab w:val="right" w:leader="dot" w:pos="8306"/>
        </w:tabs>
      </w:pPr>
      <w:hyperlink w:anchor="_Toc30032" w:history="1">
        <w:r>
          <w:rPr>
            <w:rFonts w:ascii="仿宋" w:eastAsia="仿宋" w:hAnsi="仿宋" w:cs="仿宋" w:hint="eastAsia"/>
            <w:lang w:eastAsia="zh-CN"/>
          </w:rPr>
          <w:t>十五、农药及中间体项目实施保障措施</w:t>
        </w:r>
        <w:r>
          <w:tab/>
        </w:r>
        <w:r>
          <w:fldChar w:fldCharType="begin"/>
        </w:r>
        <w:r>
          <w:instrText xml:space="preserve"> PAGEREF _Toc30032 \h </w:instrText>
        </w:r>
        <w:r>
          <w:fldChar w:fldCharType="separate"/>
        </w:r>
        <w:r>
          <w:t>59</w:t>
        </w:r>
        <w:r>
          <w:fldChar w:fldCharType="end"/>
        </w:r>
      </w:hyperlink>
    </w:p>
    <w:p>
      <w:pPr>
        <w:pStyle w:val="TOC2"/>
        <w:tabs>
          <w:tab w:val="right" w:leader="dot" w:pos="8306"/>
        </w:tabs>
      </w:pPr>
      <w:hyperlink w:anchor="_Toc4492" w:history="1">
        <w:r>
          <w:rPr>
            <w:rFonts w:ascii="仿宋" w:eastAsia="仿宋" w:hAnsi="仿宋" w:cs="仿宋" w:hint="eastAsia"/>
            <w:lang w:eastAsia="zh-CN"/>
          </w:rPr>
          <w:t>(一)、农药及中间体项目实施保障机制</w:t>
        </w:r>
        <w:r>
          <w:tab/>
        </w:r>
        <w:r>
          <w:fldChar w:fldCharType="begin"/>
        </w:r>
        <w:r>
          <w:instrText xml:space="preserve"> PAGEREF _Toc4492 \h </w:instrText>
        </w:r>
        <w:r>
          <w:fldChar w:fldCharType="separate"/>
        </w:r>
        <w:r>
          <w:t>59</w:t>
        </w:r>
        <w:r>
          <w:fldChar w:fldCharType="end"/>
        </w:r>
      </w:hyperlink>
    </w:p>
    <w:p>
      <w:pPr>
        <w:pStyle w:val="TOC2"/>
        <w:tabs>
          <w:tab w:val="right" w:leader="dot" w:pos="8306"/>
        </w:tabs>
      </w:pPr>
      <w:hyperlink w:anchor="_Toc18129" w:history="1">
        <w:r>
          <w:rPr>
            <w:rFonts w:ascii="仿宋" w:eastAsia="仿宋" w:hAnsi="仿宋" w:cs="仿宋" w:hint="eastAsia"/>
            <w:lang w:eastAsia="zh-CN"/>
          </w:rPr>
          <w:t>(二)、农药及中间体项目法律合规要求</w:t>
        </w:r>
        <w:r>
          <w:tab/>
        </w:r>
        <w:r>
          <w:fldChar w:fldCharType="begin"/>
        </w:r>
        <w:r>
          <w:instrText xml:space="preserve"> PAGEREF _Toc18129 \h </w:instrText>
        </w:r>
        <w:r>
          <w:fldChar w:fldCharType="separate"/>
        </w:r>
        <w:r>
          <w:t>63</w:t>
        </w:r>
        <w:r>
          <w:fldChar w:fldCharType="end"/>
        </w:r>
      </w:hyperlink>
    </w:p>
    <w:p>
      <w:pPr>
        <w:pStyle w:val="TOC2"/>
        <w:tabs>
          <w:tab w:val="right" w:leader="dot" w:pos="8306"/>
        </w:tabs>
      </w:pPr>
      <w:hyperlink w:anchor="_Toc12230" w:history="1">
        <w:r>
          <w:rPr>
            <w:rFonts w:ascii="仿宋" w:eastAsia="仿宋" w:hAnsi="仿宋" w:cs="仿宋" w:hint="eastAsia"/>
            <w:lang w:eastAsia="zh-CN"/>
          </w:rPr>
          <w:t>(三)、农药及中间体项目合同管理与法律事务</w:t>
        </w:r>
        <w:r>
          <w:tab/>
        </w:r>
        <w:r>
          <w:fldChar w:fldCharType="begin"/>
        </w:r>
        <w:r>
          <w:instrText xml:space="preserve"> PAGEREF _Toc12230 \h </w:instrText>
        </w:r>
        <w:r>
          <w:fldChar w:fldCharType="separate"/>
        </w:r>
        <w:r>
          <w:t>67</w:t>
        </w:r>
        <w:r>
          <w:fldChar w:fldCharType="end"/>
        </w:r>
      </w:hyperlink>
    </w:p>
    <w:p>
      <w:pPr>
        <w:pStyle w:val="TOC2"/>
        <w:tabs>
          <w:tab w:val="right" w:leader="dot" w:pos="8306"/>
        </w:tabs>
      </w:pPr>
      <w:hyperlink w:anchor="_Toc9872" w:history="1">
        <w:r>
          <w:rPr>
            <w:rFonts w:ascii="仿宋" w:eastAsia="仿宋" w:hAnsi="仿宋" w:cs="仿宋" w:hint="eastAsia"/>
            <w:lang w:eastAsia="zh-CN"/>
          </w:rPr>
          <w:t>(四)、农药及中间体项目知识产权保护策略</w:t>
        </w:r>
        <w:r>
          <w:tab/>
        </w:r>
        <w:r>
          <w:fldChar w:fldCharType="begin"/>
        </w:r>
        <w:r>
          <w:instrText xml:space="preserve"> PAGEREF _Toc9872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827"/>
      <w:r>
        <w:rPr>
          <w:rFonts w:ascii="仿宋" w:eastAsia="仿宋" w:hAnsi="仿宋" w:cs="仿宋" w:hint="eastAsia"/>
          <w:sz w:val="28"/>
          <w:lang w:eastAsia="zh-CN"/>
        </w:rPr>
        <w:t>一、农药及中间体项目建设背景及必要性分析</w:t>
      </w:r>
      <w:bookmarkEnd w:id="2"/>
    </w:p>
    <w:p>
      <w:pPr>
        <w:pStyle w:val="Heading2"/>
        <w:rPr>
          <w:rFonts w:ascii="仿宋" w:eastAsia="仿宋" w:hAnsi="仿宋" w:cs="仿宋" w:hint="eastAsia"/>
          <w:lang w:eastAsia="zh-CN"/>
        </w:rPr>
      </w:pPr>
      <w:bookmarkStart w:id="3" w:name="_Toc26552"/>
      <w:r>
        <w:rPr>
          <w:rFonts w:ascii="仿宋" w:eastAsia="仿宋" w:hAnsi="仿宋" w:cs="仿宋" w:hint="eastAsia"/>
          <w:lang w:eastAsia="zh-CN"/>
        </w:rPr>
        <w:t>(一)、农药及中间体项目背景分析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农药及中间体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农药及中间体项目在这个潮流中的定位。同时，我们将关注行业内涌现的新兴机遇，以便农药及中间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农药及中间体项目提供了强大的发展动力。我们将聚焦于行业内最新的技术发展趋势，包括但不限于人工智能、大数据分析、物联网等领域。通过深度的技术研究，我们将确保农药及中间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农药及中间体项目发展的源泉。我们将投入更多的精力对市场需求进行深入剖析，超越表面的需求，深入挖掘潜在的市场痛点和机遇。通过对市场需求的细致了解，农药及中间体项目将更有针对性地设计解决方案，满足市场的多样化需求，从而更好地促进农药及中间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农药及中间体项目战略至关重要。我们将对竞争态势进行更为深入的分析，包括但不限于市场份额、产品特点、客户满意度等多个维度。通过深度的竞争分析，农药及中间体项目将能够更准确地把握市场脉搏，制定具有竞争力的农药及中间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农药及中间体项目的发展具有直接的影响。我们将进行更为全面的法规和政策分析，了解行业发展中的潜在法律风险和合规挑战。通过充分了解和遵守相关法规，农药及中间体项目将确保在法律框架内合法合规运营，为农药及中间体项目的稳健发展提供有力支持。</w:t>
      </w:r>
    </w:p>
    <w:p>
      <w:pPr>
        <w:pStyle w:val="Heading2"/>
        <w:ind w:firstLine="560" w:firstLineChars="200"/>
        <w:rPr>
          <w:rFonts w:ascii="仿宋" w:eastAsia="仿宋" w:hAnsi="仿宋" w:cs="仿宋" w:hint="eastAsia"/>
          <w:sz w:val="28"/>
          <w:lang w:eastAsia="zh-CN"/>
        </w:rPr>
      </w:pPr>
      <w:bookmarkStart w:id="4" w:name="_Toc13492"/>
      <w:r>
        <w:rPr>
          <w:rFonts w:ascii="仿宋" w:eastAsia="仿宋" w:hAnsi="仿宋" w:cs="仿宋" w:hint="eastAsia"/>
          <w:sz w:val="28"/>
          <w:lang w:eastAsia="zh-CN"/>
        </w:rPr>
        <w:t>(二)、农药及中间体项目建设必要性分析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建设的迫切性源于对行业发展趋势的深刻洞察。我们正处于一个行业变革的时代，科技创新、数字化转型成为企业发展的关键动力。农药及中间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建设不仅仅是为了跟上潮流，更是为了通过技术创新推动企业的持续发展。通过引入先进的技术和解决方案，农药及中间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农药及中间体项目的建设成为必然选择，通过提高产品质量、拓展服务领域，从而在竞争中获得更多的机会。农药及中间体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农药及中间体项目建设的必要性体现在对客户需求更精准的满足。通过农药及中间体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建设的背后是对企业持续创新的追求。只有通过不断创新，企业才能在竞争中立于不败之地。农药及中间体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796"/>
      <w:r>
        <w:rPr>
          <w:rFonts w:ascii="仿宋" w:eastAsia="仿宋" w:hAnsi="仿宋" w:cs="仿宋" w:hint="eastAsia"/>
          <w:sz w:val="28"/>
          <w:lang w:eastAsia="zh-CN"/>
        </w:rPr>
        <w:t>二、农药及中间体项目文档管理</w:t>
      </w:r>
      <w:bookmarkEnd w:id="5"/>
    </w:p>
    <w:p>
      <w:pPr>
        <w:pStyle w:val="Heading2"/>
        <w:rPr>
          <w:rFonts w:ascii="仿宋" w:eastAsia="仿宋" w:hAnsi="仿宋" w:cs="仿宋" w:hint="eastAsia"/>
          <w:lang w:eastAsia="zh-CN"/>
        </w:rPr>
      </w:pPr>
      <w:bookmarkStart w:id="6" w:name="_Toc1596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农药及中间体项目高度重视文档的质量和准确性，以支持农药及中间体项目的各项活动和决策。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文档的编制始于农药及中间体项目计划的初期，我们制定了详细的文档编制计划，明确了每个文档的内容、格式和编写责任人。在农药及中间体项目启动阶段，我们首先编制了农药及中间体项目章程，明确定义了农药及中间体项目的目标、范围、风险等关键要素。随后，农药及中间体项目团队根据计划陆续编制了需求文档、设计文档、测试文档等各类文档，确保农药及中间体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农药及中间体项目管理中的重要环节，旨在确保农药及中间体项目文档符合质量标准和农药及中间体项目需求。在农药及中间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农药及中间体项目相关利益方和专业领域的专家对文档进行独立审查。这有助于获取更全面、客观的反馈，确保农药及中间体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农药及中间体项目在文档编制与审查方面建立了严格的管理机制，通过规范的流程和多维度的审查，确保农药及中间体项目文档的质量、准确性和可靠性，为农药及中间体项目的顺利推进提供了有力支持。</w:t>
      </w:r>
    </w:p>
    <w:p>
      <w:pPr>
        <w:pStyle w:val="Heading2"/>
        <w:ind w:firstLine="560" w:firstLineChars="200"/>
        <w:rPr>
          <w:rFonts w:ascii="仿宋" w:eastAsia="仿宋" w:hAnsi="仿宋" w:cs="仿宋" w:hint="eastAsia"/>
          <w:sz w:val="28"/>
          <w:lang w:eastAsia="zh-CN"/>
        </w:rPr>
      </w:pPr>
      <w:bookmarkStart w:id="7" w:name="_Toc2771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在农药及中间体项目中，我们致力于优化文档发布与分发过程，以确保信息的高效传递和团队间协作的顺畅进行。以下是我们采取的关键优化策略：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我们通过多渠道发布文档，包括电子邮件、农药及中间体项目管理平台、内部网站等，以满足不同团队成员的偏好和需求。多渠道发布确保了信息的全面覆盖。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我们采用了精细的权限控制，确保只有授权人员可以访问敏感信息。这种安全措施保护了农药及中间体项目文档的机密性，防止了未经授权的信息泄露。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65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农药及中间体项目生命周期中一个至关重要的环节，直接关系到农药及中间体项目信息的长期保存和历史记录的完整性。在农药及中间体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8959"/>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8643"/>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农药及中间体项目的主要产品是XXXX，预计年产值为XXX万元。这一产品在市场中占据着重要的地位，其广泛的应用范围使得该农药及中间体项目的市场前景非常广阔。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农药及中间体项目的xxx产品作为重要的原材料之一，将在多个领域发挥关键作用。其在建筑、交通、能源等方面的广泛应用将为整个产业链提供强大的支持，形成产业协同效应。农药及中间体项目的年产值XXX万XXX万XXX万万元不仅反映了其在市场上的巨大潜力，更预示着它对国民经济的积极贡献。这种关联度高、涉及面广的产业关系，使得该农药及中间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2239"/>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总征地面积为XXXX平方米，相当于约XX.XX亩，其中净用地面积为XXXX平方米，红线范围内相当于约XX.XX亩。这一用地规模充分考虑了农药及中间体项目的建设需求，保障了农药及中间体项目在合适的空间内得以充分发展。农药及中间体项目规划的总建筑面积为XXXX平方米，其中主体工程建设占XXXX平方米，计容建筑面积达XXXX平方米。预计建筑工程的投资将达到XXXX万元，为农药及中间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计划购置的设备共计XXXX台（套），设备购置费用为XXXX万元。这一设备购置计划充分考虑到农药及中间体项目的生产需求和技术要求，确保了农药及中间体项目在生产运营中具备先进的技术装备和高效的生产能力。设备的合理配置将为农药及中间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农药及中间体项目计划总投资为XXXX万元，预计年实现营业收入为XXXX万元。这一产能规模的设定旨在确保农药及中间体项目能够在投资与回报之间取得平衡，实现长期可持续的发展。农药及中间体项目的总投资充分考虑到各个方面的需求，包括用地建设、设备购置等多个环节，以确保农药及中间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4898"/>
      <w:r>
        <w:rPr>
          <w:rFonts w:ascii="仿宋" w:eastAsia="仿宋" w:hAnsi="仿宋" w:cs="仿宋" w:hint="eastAsia"/>
          <w:sz w:val="28"/>
          <w:lang w:eastAsia="zh-CN"/>
        </w:rPr>
        <w:t>四、农药及中间体项目土建工程</w:t>
      </w:r>
      <w:bookmarkEnd w:id="12"/>
    </w:p>
    <w:p>
      <w:pPr>
        <w:pStyle w:val="Heading2"/>
        <w:rPr>
          <w:rFonts w:ascii="仿宋" w:eastAsia="仿宋" w:hAnsi="仿宋" w:cs="仿宋" w:hint="eastAsia"/>
          <w:lang w:eastAsia="zh-CN"/>
        </w:rPr>
      </w:pPr>
      <w:bookmarkStart w:id="13" w:name="_Toc2495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在农药及中间体项目的建筑工程设计中，我们将秉承一系列重要的设计原则，以确保农药及中间体项目建筑在功能、美观、可持续性等方面达到最佳效果。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首要原则是确保建筑的功能性得到最大化的发挥。我们将充分理解农药及中间体项目的实际需求，合理布局各个功能区域，保证建筑在满足业务需求的同时，提供高效的工作环境。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在建筑设计中，我们将综合考虑建设和运营成本。通过精细的经济效益分析，确保设计方案在高效利用资源的同时，对农药及中间体项目的长期盈利能力有积极的贡献。</w:t>
      </w:r>
    </w:p>
    <w:p>
      <w:pPr>
        <w:pStyle w:val="Heading2"/>
        <w:ind w:firstLine="560" w:firstLineChars="200"/>
        <w:rPr>
          <w:rFonts w:ascii="仿宋" w:eastAsia="仿宋" w:hAnsi="仿宋" w:cs="仿宋" w:hint="eastAsia"/>
          <w:sz w:val="28"/>
          <w:lang w:eastAsia="zh-CN"/>
        </w:rPr>
      </w:pPr>
      <w:bookmarkStart w:id="14" w:name="_Toc1921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药及中间体项目的土建工程设计中，我们将精准设定设计年限，结合农药及中间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农药及中间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612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农药及中间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农药及中间体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农药及中间体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3662"/>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本期工程农药及中间体项目预计总建筑面积XXX平方米，其中：计容建筑面积XXX平方米，计划建筑工程投资XX万元，占农药及中间体项目总投资的XX%。</w:t>
      </w:r>
    </w:p>
    <w:p>
      <w:pPr>
        <w:pStyle w:val="Heading1"/>
        <w:ind w:firstLine="560" w:firstLineChars="200"/>
        <w:rPr>
          <w:rFonts w:ascii="仿宋" w:eastAsia="仿宋" w:hAnsi="仿宋" w:cs="仿宋" w:hint="eastAsia"/>
          <w:sz w:val="28"/>
          <w:lang w:eastAsia="zh-CN"/>
        </w:rPr>
      </w:pPr>
      <w:bookmarkStart w:id="17" w:name="_Toc29992"/>
      <w:r>
        <w:rPr>
          <w:rFonts w:ascii="仿宋" w:eastAsia="仿宋" w:hAnsi="仿宋" w:cs="仿宋" w:hint="eastAsia"/>
          <w:sz w:val="28"/>
          <w:lang w:eastAsia="zh-CN"/>
        </w:rPr>
        <w:t>五、农药及中间体项目危机管理</w:t>
      </w:r>
      <w:bookmarkEnd w:id="17"/>
    </w:p>
    <w:p>
      <w:pPr>
        <w:pStyle w:val="Heading2"/>
        <w:rPr>
          <w:rFonts w:ascii="仿宋" w:eastAsia="仿宋" w:hAnsi="仿宋" w:cs="仿宋" w:hint="eastAsia"/>
          <w:lang w:eastAsia="zh-CN"/>
        </w:rPr>
      </w:pPr>
      <w:bookmarkStart w:id="18" w:name="_Toc518"/>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农药及中间体项目危机管理中，危机预警与识别是确保农药及中间体项目稳健运行的核心步骤。通过建立全面的监测机制，农药及中间体项目团队旨在及时发现和理解潜在的风险和危机因素，以便采取及时的预防和应对措施，确保农药及中间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首先，通过深入的风险评估，农药及中间体项目团队全面分析了整个农药及中间体项目和各个阶段可能存在的威胁。这包括准确评估每个潜在风险的发生概率和可能影响的程度，为后续危机预警提供了有力支持。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农药及中间体项目团队着重于明确定义农药及中间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农药及中间体项目进展的持续监控，团队能够及时发现潜在问题并作出迅速反应。农药及中间体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在这一阶段，团队的专业素养和反应速度将发挥至关重要的作用，以确保潜在危机能够在初期得到有效的处理，最大程度地减轻负面影响。通过危机预警与识别，农药及中间体项目得以更有序、可控地推进。</w:t>
      </w:r>
    </w:p>
    <w:p>
      <w:pPr>
        <w:pStyle w:val="Heading2"/>
        <w:ind w:firstLine="560" w:firstLineChars="200"/>
        <w:rPr>
          <w:rFonts w:ascii="仿宋" w:eastAsia="仿宋" w:hAnsi="仿宋" w:cs="仿宋" w:hint="eastAsia"/>
          <w:sz w:val="28"/>
          <w:lang w:eastAsia="zh-CN"/>
        </w:rPr>
      </w:pPr>
      <w:bookmarkStart w:id="19" w:name="_Toc31032"/>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在危机发生时，农药及中间体项目团队立即行动，成立了应急小组。该小组的任务是迅速制定并实施紧急应对措施，以最小化潜在损失。以下是采取的主要措施：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暂停农药及中间体项目进度：为遏制危机蔓延，农药及中间体项目暂时停止进行，以便全面评估当前状况。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资源重新分配：重新评估农药及中间体项目资源的分配，确保最大限度地减小损失。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实时沟通：与关键利益相关者建立实时沟通机制，向他们传递农药及中间体项目危机的实际状况，保障农药及中间体项目核心利益。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在紧急应对的同时，农药及中间体项目团队强调了团队协作和有效沟通的重要性。以下是团队协作的关键举措：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信息共享机制：建立了信息共享平台，确保团队成员能够及时获取农药及中间体项目危机的实时信息。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领导者沟通：农药及中间体项目领导者通过定期会议和即时沟通工具，指导团队应对危机，保持团队稳定运行。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https://d.book118.com/158052115007006027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农药及中间体项目规划设计方案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DF5BA8"/>
    <w:rsid w:val="63DF5B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5211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2024-01-15T11:55:00Z</dcterms:created>
  <dcterms:modified xsi:type="dcterms:W3CDTF">2024-01-15T11:55:43Z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78405FE6871D42DBBA09AB806AAEFEF5_11</vt:lpwstr>
  </property>
  <property fmtid="{D5CDD505-2E9C-101B-9397-08002B2CF9AE}" pid="3" name="KSOProductBuildVer">
    <vt:lpwstr>2052-12.1.0.16120</vt:lpwstr>
  </property>
</Properties>
</file>