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我国先秦时期著名的语录体散文集是（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下列诗人中属于边塞诗派的是（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A.王昌龄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B.孟浩然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C.常建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《米龙老爹》的中心思想是（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A.颂扬复仇主义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B.颂扬机智勇敢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C.颂扬视死如归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D.颂扬爱国主义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下列关于文学常识的表述，完全正确的一项是（）。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A.《蚀》《子夜》《林家铺子》《寒夜》都是茅盾的代表作品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B.《雷雨》《日出》《原野》《北京人》都是曹禺的话剧作品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C.“爱情三部曲”“农村三部曲”“激流三部曲”的作者是巴金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D.郭沫若的历史剧《屈原》《虎符》《蔡文姬》写于抗战时期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李煜《虞美人（春花秋月何时了）》中“雕栏玉砌应犹在，只是朱颜改”的言外之意是（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下列各组句中加点的字，意思相同的一组是（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467464" cy="219098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7464" cy="21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下列诗句中，表现方法与“脱帽著峭头”相同的是（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B.缃绮为下裙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C.冉冉府中趋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《马伶传》本文在记叙马伶与李伶第二次较量时所用的方法是（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“贻笑大方”这个成语源自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https://d.book118.com/158074035133006040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158074035133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