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节能服务项目建设方案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81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_Toc8811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_Toc2995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_Toc9982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0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_Toc27170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_Toc21081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_Toc29374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_Toc31911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07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_Toc31507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_Toc21259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_Toc6746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_Toc15352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_Toc240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1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_Toc17213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2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_Toc23722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91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_Toc29591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94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_Toc14494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6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_Toc29136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_Toc31830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2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_Toc3492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_Toc3469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_Toc24328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2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_Toc28902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7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_Toc31374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8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_Toc26938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5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_Toc24055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03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_Toc21103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0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_Toc32300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61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_Toc7161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3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_Toc27193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54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_Toc10354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_Toc21257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_Toc17137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_Toc1506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3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_Toc8193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3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_Toc6143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_Toc20328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7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_Toc13237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39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_Toc27939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_Toc15367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_Toc4929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_Toc24983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41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_Toc23418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_Toc23631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2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_Toc30402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_Toc22339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27" w:history="1">
        <w:r>
          <w:rPr>
            <w:rFonts w:ascii="仿宋" w:eastAsia="仿宋" w:hAnsi="仿宋" w:cs="仿宋" w:hint="eastAsia"/>
            <w:lang w:eastAsia="zh-CN"/>
          </w:rPr>
          <w:t>八、客户关系管理与市场拓展</w:t>
        </w:r>
        <w:r>
          <w:tab/>
        </w:r>
        <w:r>
          <w:fldChar w:fldCharType="begin"/>
        </w:r>
        <w:r>
          <w:instrText xml:space="preserve"> PAGEREF _Toc21027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3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_Toc18573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9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_Toc15259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62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_Toc32062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_Toc20190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6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_Toc8596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64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_Toc28964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0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_Toc4110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9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_Toc7279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6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_Toc17956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31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_Toc32231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31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_Toc5031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0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_Toc18500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_Toc519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82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_Toc25182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0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_Toc6950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9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_Toc6999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45" w:history="1">
        <w:r>
          <w:rPr>
            <w:rFonts w:ascii="仿宋" w:eastAsia="仿宋" w:hAnsi="仿宋" w:cs="仿宋" w:hint="eastAsia"/>
            <w:lang w:eastAsia="zh-CN"/>
          </w:rPr>
          <w:t>十三、人力资源管理与开发</w:t>
        </w:r>
        <w:r>
          <w:tab/>
        </w:r>
        <w:r>
          <w:fldChar w:fldCharType="begin"/>
        </w:r>
        <w:r>
          <w:instrText xml:space="preserve"> PAGEREF _Toc13145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9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_Toc6398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_Toc14529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42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_Toc6742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0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_Toc23080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6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_Toc14196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50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_Toc10750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8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_Toc20738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1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_Toc17981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14" w:history="1">
        <w:r>
          <w:rPr>
            <w:rFonts w:ascii="仿宋" w:eastAsia="仿宋" w:hAnsi="仿宋" w:cs="仿宋" w:hint="eastAsia"/>
            <w:lang w:eastAsia="zh-CN"/>
          </w:rPr>
          <w:t>十六、设施与设备管理</w:t>
        </w:r>
        <w:r>
          <w:tab/>
        </w:r>
        <w:r>
          <w:fldChar w:fldCharType="begin"/>
        </w:r>
        <w:r>
          <w:instrText xml:space="preserve"> PAGEREF _Toc13614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_Toc5156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61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_Toc27861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8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_Toc22328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17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_Toc31517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3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_Toc25839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7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_Toc27367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9" w:history="1">
        <w:r>
          <w:rPr>
            <w:rFonts w:ascii="仿宋" w:eastAsia="仿宋" w:hAnsi="仿宋" w:cs="仿宋" w:hint="eastAsia"/>
            <w:lang w:eastAsia="zh-CN"/>
          </w:rPr>
          <w:t>十八、企业合规与伦理</w:t>
        </w:r>
        <w:r>
          <w:tab/>
        </w:r>
        <w:r>
          <w:fldChar w:fldCharType="begin"/>
        </w:r>
        <w:r>
          <w:instrText xml:space="preserve"> PAGEREF _Toc739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7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_Toc8377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_Toc11144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6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_Toc23826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_Toc5568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811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9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98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节能服务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170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节能服务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节能服务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节能服务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108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937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在节能服务项目启动前，将进行一系列深入的地质调查，包括钻探和土壤取样，以深入了解项目区域的地层结构和土壤组成。特别是对于土壤的承载能力和地下水位的深度进行详细评估。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完成初始的地质风险评估后，节能服务项目将安装长期地质监测设备，如倾斜仪、裂缝计和地下水位计，以持续监测地质条件的变化。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91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节能服务项目将通过这些措施来适应和尊重特殊环境条件，确保项目的可持续发展，同时减少对环境的负面影响。这不仅有助于保护自然和文化遗产，还能提升项目在社会责任方面的表现和形象。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1507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1259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6746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5352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https://d.book118.com/158075000143006024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节能服务项目建设方案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66886"/>
    <w:rsid w:val="444668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5807500014300602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2023-12-20T03:53:00Z</dcterms:created>
  <dcterms:modified xsi:type="dcterms:W3CDTF">2023-12-20T03:54:18Z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89E50304C8B742BDAA53CB69DC2D5931_11</vt:lpwstr>
  </property>
  <property fmtid="{D5CDD505-2E9C-101B-9397-08002B2CF9AE}" pid="3" name="KSOProductBuildVer">
    <vt:lpwstr>2052-12.1.0.16120</vt:lpwstr>
  </property>
</Properties>
</file>