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2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福建省地方标准</w:t>
      </w:r>
      <w:bookmarkEnd w:id="3"/>
      <w:bookmarkEnd w:id="4"/>
      <w:bookmarkEnd w:id="5"/>
    </w:p>
    <w:p>
      <w:pPr>
        <w:pStyle w:val="Bodytext40"/>
        <w:keepNext w:val="0"/>
        <w:keepLines w:val="0"/>
        <w:widowControl w:val="0"/>
        <w:shd w:val="clear" w:color="auto" w:fill="auto"/>
        <w:bidi w:val="0"/>
        <w:spacing w:before="0" w:after="300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DB35/T544-2004</w:t>
      </w:r>
    </w:p>
    <w:p>
      <w:pPr>
        <w:pStyle w:val="Heading3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森林资源资产评估报告的编制规则</w:t>
      </w:r>
      <w:bookmarkEnd w:id="6"/>
      <w:bookmarkEnd w:id="7"/>
      <w:bookmarkEnd w:id="8"/>
    </w:p>
    <w:p>
      <w:pPr>
        <w:pStyle w:val="Bodytext40"/>
        <w:keepNext w:val="0"/>
        <w:keepLines w:val="0"/>
        <w:widowControl w:val="0"/>
        <w:shd w:val="clear" w:color="auto" w:fill="auto"/>
        <w:bidi w:val="0"/>
        <w:spacing w:before="0" w:line="240" w:lineRule="auto"/>
        <w:ind w:left="0" w:right="0" w:firstLine="0"/>
        <w:jc w:val="left"/>
        <w:sectPr>
          <w:headerReference w:type="even" r:id="rId4"/>
          <w:headerReference w:type="default" r:id="rId5"/>
          <w:footerReference w:type="even" r:id="rId6"/>
          <w:footerReference w:type="default" r:id="rId7"/>
          <w:headerReference w:type="first" r:id="rId8"/>
          <w:footerReference w:type="first" r:id="rId9"/>
          <w:pgSz w:w="11900" w:h="16840"/>
          <w:pgMar w:top="1055" w:right="1134" w:bottom="1241" w:left="1268" w:header="0" w:footer="3" w:gutter="0"/>
          <w:pgNumType w:start="1"/>
          <w:cols w:space="720"/>
          <w:noEndnote/>
          <w:titlePg/>
          <w:rtlGutter w:val="0"/>
          <w:docGrid w:linePitch="360"/>
        </w:sectPr>
      </w:pPr>
      <w:r>
        <mc:AlternateContent>
          <mc:Choice Requires="wps">
            <w:drawing>
              <wp:anchor distT="0" distB="0" distL="114300" distR="114300" simplePos="0" relativeHeight="251659264" behindDoc="0" locked="0" layoutInCell="1" allowOverlap="1">
                <wp:simplePos x="0" y="0"/>
                <wp:positionH relativeFrom="page">
                  <wp:posOffset>5459095</wp:posOffset>
                </wp:positionH>
                <wp:positionV relativeFrom="paragraph">
                  <wp:posOffset>12700</wp:posOffset>
                </wp:positionV>
                <wp:extent cx="1520825" cy="228600"/>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0825" cy="228600"/>
                        </a:xfrm>
                        <a:prstGeom prst="rect">
                          <a:avLst/>
                        </a:prstGeom>
                        <a:noFill/>
                      </wps:spPr>
                      <wps:txbx>
                        <w:txbxContent>
                          <w:p>
                            <w:pPr>
                              <w:pStyle w:val="Bodytext4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 xml:space="preserve">2004—06—28 </w:t>
                            </w:r>
                            <w:r>
                              <w:rPr>
                                <w:rFonts w:ascii="SimSun" w:eastAsia="SimSun" w:hAnsi="SimSun" w:cs="SimSun"/>
                                <w:b w:val="0"/>
                                <w:bCs w:val="0"/>
                                <w:color w:val="000000"/>
                                <w:spacing w:val="0"/>
                                <w:w w:val="100"/>
                                <w:position w:val="0"/>
                              </w:rPr>
                              <w:t>实施</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9.75pt;height:18pt;margin-top:1pt;margin-left:429.85pt;mso-position-horizontal-relative:page;mso-wrap-distance-bottom:0;mso-wrap-distance-left:9pt;mso-wrap-distance-right:9pt;mso-wrap-distance-top:0;mso-wrap-style:none;position:absolute;v-text-anchor:top;z-index:251658240" filled="f" fillcolor="this">
                <v:textbox inset="0,0,0,0">
                  <w:txbxContent>
                    <w:p>
                      <w:pPr>
                        <w:pStyle w:val="Bodytext4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 xml:space="preserve">2004—06—28 </w:t>
                      </w:r>
                      <w:r>
                        <w:rPr>
                          <w:rFonts w:ascii="SimSun" w:eastAsia="SimSun" w:hAnsi="SimSun" w:cs="SimSun"/>
                          <w:b w:val="0"/>
                          <w:bCs w:val="0"/>
                          <w:color w:val="000000"/>
                          <w:spacing w:val="0"/>
                          <w:w w:val="100"/>
                          <w:position w:val="0"/>
                        </w:rPr>
                        <w:t>实施</w:t>
                      </w:r>
                    </w:p>
                  </w:txbxContent>
                </v:textbox>
                <w10:wrap type="square"/>
              </v:shape>
            </w:pict>
          </mc:Fallback>
        </mc:AlternateContent>
      </w:r>
      <w:r>
        <w:rPr>
          <w:rFonts w:ascii="Times New Roman" w:eastAsia="Times New Roman" w:hAnsi="Times New Roman" w:cs="Times New Roman"/>
          <w:color w:val="000000"/>
          <w:spacing w:val="0"/>
          <w:w w:val="100"/>
          <w:position w:val="0"/>
        </w:rPr>
        <w:t xml:space="preserve">2004—06—16 </w:t>
      </w:r>
      <w:r>
        <w:rPr>
          <w:rFonts w:ascii="SimSun" w:eastAsia="SimSun" w:hAnsi="SimSun" w:cs="SimSun"/>
          <w:b w:val="0"/>
          <w:bCs w:val="0"/>
          <w:color w:val="000000"/>
          <w:spacing w:val="0"/>
          <w:w w:val="100"/>
          <w:position w:val="0"/>
        </w:rPr>
        <w:t>发布</w:t>
      </w:r>
    </w:p>
    <w:p>
      <w:pPr>
        <w:pStyle w:val="Heading410"/>
        <w:keepNext/>
        <w:keepLines/>
        <w:widowControl w:val="0"/>
        <w:shd w:val="clear" w:color="auto" w:fill="auto"/>
        <w:bidi w:val="0"/>
        <w:spacing w:before="0" w:line="240" w:lineRule="auto"/>
        <w:ind w:left="0" w:right="0" w:firstLine="0"/>
        <w:jc w:val="center"/>
        <w:rPr>
          <w:sz w:val="28"/>
          <w:szCs w:val="28"/>
        </w:rPr>
      </w:pPr>
      <w:bookmarkStart w:id="9" w:name="bookmark10"/>
      <w:bookmarkStart w:id="10" w:name="bookmark11"/>
      <w:bookmarkStart w:id="11" w:name="bookmark9"/>
      <w:r>
        <w:rPr>
          <w:color w:val="000000"/>
          <w:spacing w:val="0"/>
          <w:w w:val="100"/>
          <w:position w:val="0"/>
          <w:sz w:val="40"/>
          <w:szCs w:val="40"/>
        </w:rPr>
        <w:t>福建省质量技术监督局</w:t>
      </w:r>
      <w:r>
        <w:rPr>
          <w:color w:val="000000"/>
          <w:spacing w:val="0"/>
          <w:w w:val="100"/>
          <w:position w:val="0"/>
          <w:sz w:val="28"/>
          <w:szCs w:val="28"/>
        </w:rPr>
        <w:t>发布</w:t>
      </w:r>
      <w:bookmarkEnd w:id="9"/>
      <w:bookmarkEnd w:id="10"/>
      <w:bookmarkEnd w:id="11"/>
    </w:p>
    <w:p>
      <w:pPr>
        <w:pStyle w:val="Heading510"/>
        <w:keepNext/>
        <w:keepLines/>
        <w:widowControl w:val="0"/>
        <w:shd w:val="clear" w:color="auto" w:fill="auto"/>
        <w:bidi w:val="0"/>
        <w:spacing w:before="0" w:after="740" w:line="240" w:lineRule="auto"/>
        <w:ind w:left="0" w:right="0" w:firstLine="0"/>
        <w:jc w:val="center"/>
      </w:pPr>
      <w:bookmarkStart w:id="12" w:name="bookmark12"/>
      <w:bookmarkStart w:id="13" w:name="bookmark13"/>
      <w:bookmarkStart w:id="14" w:name="bookmark14"/>
      <w:r>
        <w:rPr>
          <w:color w:val="000000"/>
          <w:spacing w:val="0"/>
          <w:w w:val="100"/>
          <w:position w:val="0"/>
        </w:rPr>
        <w:t>目 次</w:t>
      </w:r>
      <w:bookmarkEnd w:id="12"/>
      <w:bookmarkEnd w:id="13"/>
      <w:bookmarkEnd w:id="14"/>
    </w:p>
    <w:p>
      <w:pPr>
        <w:pStyle w:val="Bodytext10"/>
        <w:keepNext w:val="0"/>
        <w:keepLines w:val="0"/>
        <w:widowControl w:val="0"/>
        <w:shd w:val="clear" w:color="auto" w:fill="auto"/>
        <w:bidi w:val="0"/>
        <w:spacing w:before="0" w:after="260" w:line="240" w:lineRule="auto"/>
        <w:ind w:left="0" w:right="0" w:firstLine="300"/>
        <w:jc w:val="left"/>
      </w:pPr>
      <w:r>
        <w:rPr>
          <w:color w:val="000000"/>
          <w:spacing w:val="0"/>
          <w:w w:val="100"/>
          <w:position w:val="0"/>
        </w:rPr>
        <w:t>前言</w:t>
      </w:r>
    </w:p>
    <w:p>
      <w:pPr>
        <w:pStyle w:val="Tableofcontents10"/>
        <w:keepNext w:val="0"/>
        <w:keepLines w:val="0"/>
        <w:widowControl w:val="0"/>
        <w:shd w:val="clear" w:color="auto" w:fill="auto"/>
        <w:tabs>
          <w:tab w:val="right" w:leader="dot" w:pos="9318"/>
        </w:tabs>
        <w:bidi w:val="0"/>
        <w:spacing w:before="0" w:after="260" w:line="240" w:lineRule="auto"/>
        <w:ind w:left="0" w:right="0"/>
        <w:jc w:val="both"/>
        <w:rPr>
          <w:sz w:val="20"/>
          <w:szCs w:val="20"/>
        </w:rPr>
      </w:pPr>
      <w:r>
        <w:fldChar w:fldCharType="begin"/>
      </w:r>
      <w:r>
        <w:instrText xml:space="preserve"> TOC \o "1-5" \h \z </w:instrText>
      </w:r>
      <w:r>
        <w:fldChar w:fldCharType="separate"/>
      </w:r>
      <w:r>
        <w:rPr>
          <w:rFonts w:ascii="Times New Roman" w:eastAsia="Times New Roman" w:hAnsi="Times New Roman" w:cs="Times New Roman"/>
          <w:color w:val="000000"/>
          <w:spacing w:val="0"/>
          <w:w w:val="100"/>
          <w:position w:val="0"/>
          <w:sz w:val="20"/>
          <w:szCs w:val="20"/>
        </w:rPr>
        <w:t>1</w:t>
      </w:r>
      <w:r>
        <w:rPr>
          <w:color w:val="000000"/>
          <w:spacing w:val="0"/>
          <w:w w:val="100"/>
          <w:position w:val="0"/>
          <w:sz w:val="19"/>
          <w:szCs w:val="19"/>
        </w:rPr>
        <w:t>范围</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w:t>
      </w:r>
    </w:p>
    <w:p>
      <w:pPr>
        <w:pStyle w:val="Tableofcontents10"/>
        <w:keepNext w:val="0"/>
        <w:keepLines w:val="0"/>
        <w:widowControl w:val="0"/>
        <w:shd w:val="clear" w:color="auto" w:fill="auto"/>
        <w:tabs>
          <w:tab w:val="left" w:leader="dot" w:pos="2446"/>
          <w:tab w:val="left" w:leader="dot" w:pos="4132"/>
          <w:tab w:val="left" w:leader="dot" w:pos="4306"/>
          <w:tab w:val="right" w:leader="dot" w:pos="9318"/>
        </w:tabs>
        <w:bidi w:val="0"/>
        <w:spacing w:before="0" w:after="2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rPr>
        <w:t>2</w:t>
      </w:r>
      <w:r>
        <w:rPr>
          <w:color w:val="000000"/>
          <w:spacing w:val="0"/>
          <w:w w:val="100"/>
          <w:position w:val="0"/>
          <w:sz w:val="19"/>
          <w:szCs w:val="19"/>
        </w:rPr>
        <w:t>术语和定义</w:t>
      </w:r>
      <w:r>
        <w:rPr>
          <w:color w:val="000000"/>
          <w:spacing w:val="0"/>
          <w:w w:val="100"/>
          <w:position w:val="0"/>
          <w:sz w:val="19"/>
          <w:szCs w:val="19"/>
          <w:lang w:val="en-US" w:eastAsia="en-US" w:bidi="en-US"/>
        </w:rPr>
        <w:tab/>
        <w:tab/>
        <w:tab/>
        <w:t>.....</w:t>
        <w:tab/>
        <w:t xml:space="preserve">   </w:t>
      </w:r>
      <w:r>
        <w:rPr>
          <w:rFonts w:ascii="Times New Roman" w:eastAsia="Times New Roman" w:hAnsi="Times New Roman" w:cs="Times New Roman"/>
          <w:color w:val="000000"/>
          <w:spacing w:val="0"/>
          <w:w w:val="100"/>
          <w:position w:val="0"/>
          <w:sz w:val="20"/>
          <w:szCs w:val="20"/>
        </w:rPr>
        <w:t>1</w:t>
      </w:r>
    </w:p>
    <w:p>
      <w:pPr>
        <w:pStyle w:val="Tableofcontents10"/>
        <w:keepNext w:val="0"/>
        <w:keepLines w:val="0"/>
        <w:widowControl w:val="0"/>
        <w:shd w:val="clear" w:color="auto" w:fill="auto"/>
        <w:tabs>
          <w:tab w:val="right" w:leader="dot" w:pos="9318"/>
        </w:tabs>
        <w:bidi w:val="0"/>
        <w:spacing w:before="0" w:after="26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rPr>
        <w:t xml:space="preserve">3 </w:t>
      </w:r>
      <w:r>
        <w:rPr>
          <w:color w:val="000000"/>
          <w:spacing w:val="0"/>
          <w:w w:val="100"/>
          <w:position w:val="0"/>
          <w:sz w:val="19"/>
          <w:szCs w:val="19"/>
        </w:rPr>
        <w:t>总则</w:t>
      </w:r>
      <w:r>
        <w:rPr>
          <w:color w:val="000000"/>
          <w:spacing w:val="0"/>
          <w:w w:val="100"/>
          <w:position w:val="0"/>
          <w:sz w:val="19"/>
          <w:szCs w:val="19"/>
          <w:lang w:val="en-US" w:eastAsia="en-US" w:bidi="en-US"/>
        </w:rPr>
        <w:t xml:space="preserve"> </w:t>
        <w:tab/>
        <w:t xml:space="preserve">  </w:t>
      </w:r>
      <w:r>
        <w:rPr>
          <w:rFonts w:ascii="Times New Roman" w:eastAsia="Times New Roman" w:hAnsi="Times New Roman" w:cs="Times New Roman"/>
          <w:color w:val="000000"/>
          <w:spacing w:val="0"/>
          <w:w w:val="100"/>
          <w:position w:val="0"/>
          <w:sz w:val="20"/>
          <w:szCs w:val="20"/>
        </w:rPr>
        <w:t>1</w:t>
      </w:r>
    </w:p>
    <w:p>
      <w:pPr>
        <w:pStyle w:val="Tableofcontents10"/>
        <w:keepNext w:val="0"/>
        <w:keepLines w:val="0"/>
        <w:widowControl w:val="0"/>
        <w:shd w:val="clear" w:color="auto" w:fill="auto"/>
        <w:tabs>
          <w:tab w:val="left" w:leader="dot" w:pos="4337"/>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rPr>
        <w:t>4</w:t>
      </w:r>
      <w:r>
        <w:rPr>
          <w:color w:val="000000"/>
          <w:spacing w:val="0"/>
          <w:w w:val="100"/>
          <w:position w:val="0"/>
          <w:sz w:val="19"/>
          <w:szCs w:val="19"/>
        </w:rPr>
        <w:t>森林资源资产评估报告书</w:t>
      </w:r>
      <w:r>
        <w:rPr>
          <w:color w:val="000000"/>
          <w:spacing w:val="0"/>
          <w:w w:val="100"/>
          <w:position w:val="0"/>
          <w:sz w:val="19"/>
          <w:szCs w:val="19"/>
          <w:lang w:val="en-US" w:eastAsia="en-US" w:bidi="en-US"/>
        </w:rPr>
        <w:t xml:space="preserve">  </w:t>
        <w:tab/>
        <w:t>•'</w:t>
        <w:tab/>
        <w:t xml:space="preserve"> </w:t>
      </w:r>
      <w:r>
        <w:rPr>
          <w:rFonts w:ascii="Times New Roman" w:eastAsia="Times New Roman" w:hAnsi="Times New Roman" w:cs="Times New Roman"/>
          <w:color w:val="000000"/>
          <w:spacing w:val="0"/>
          <w:w w:val="100"/>
          <w:position w:val="0"/>
          <w:sz w:val="20"/>
          <w:szCs w:val="20"/>
        </w:rPr>
        <w:t>2</w:t>
      </w:r>
    </w:p>
    <w:p>
      <w:pPr>
        <w:pStyle w:val="Tableofcontents10"/>
        <w:keepNext w:val="0"/>
        <w:keepLines w:val="0"/>
        <w:widowControl w:val="0"/>
        <w:shd w:val="clear" w:color="auto" w:fill="auto"/>
        <w:tabs>
          <w:tab w:val="left" w:leader="dot" w:pos="4132"/>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4.1</w:t>
      </w:r>
      <w:r>
        <w:rPr>
          <w:color w:val="000000"/>
          <w:spacing w:val="0"/>
          <w:w w:val="100"/>
          <w:position w:val="0"/>
          <w:sz w:val="19"/>
          <w:szCs w:val="19"/>
        </w:rPr>
        <w:t>评估报告书封面及目录</w:t>
      </w:r>
      <w:r>
        <w:rPr>
          <w:color w:val="000000"/>
          <w:spacing w:val="0"/>
          <w:w w:val="100"/>
          <w:position w:val="0"/>
          <w:sz w:val="19"/>
          <w:szCs w:val="19"/>
          <w:lang w:val="en-US" w:eastAsia="en-US" w:bidi="en-US"/>
        </w:rPr>
        <w:tab/>
      </w:r>
      <w:r>
        <w:rPr>
          <w:color w:val="000000"/>
          <w:spacing w:val="0"/>
          <w:w w:val="100"/>
          <w:position w:val="0"/>
          <w:sz w:val="19"/>
          <w:szCs w:val="19"/>
        </w:rPr>
        <w:t>，</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2</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4.2</w:t>
      </w:r>
      <w:r>
        <w:rPr>
          <w:color w:val="000000"/>
          <w:spacing w:val="0"/>
          <w:w w:val="100"/>
          <w:position w:val="0"/>
          <w:sz w:val="19"/>
          <w:szCs w:val="19"/>
        </w:rPr>
        <w:t>评估报告书摘要</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2</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4.3</w:t>
      </w:r>
      <w:r>
        <w:rPr>
          <w:color w:val="000000"/>
          <w:spacing w:val="0"/>
          <w:w w:val="100"/>
          <w:position w:val="0"/>
          <w:sz w:val="19"/>
          <w:szCs w:val="19"/>
        </w:rPr>
        <w:t>资产评估报告书正文</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2</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 xml:space="preserve">4.4 </w:t>
      </w:r>
      <w:r>
        <w:rPr>
          <w:color w:val="000000"/>
          <w:spacing w:val="0"/>
          <w:w w:val="100"/>
          <w:position w:val="0"/>
          <w:sz w:val="19"/>
          <w:szCs w:val="19"/>
        </w:rPr>
        <w:t>备査文件</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5</w:t>
      </w:r>
    </w:p>
    <w:p>
      <w:pPr>
        <w:pStyle w:val="Tableofcontents10"/>
        <w:keepNext w:val="0"/>
        <w:keepLines w:val="0"/>
        <w:widowControl w:val="0"/>
        <w:shd w:val="clear" w:color="auto" w:fill="auto"/>
        <w:tabs>
          <w:tab w:val="left" w:leader="dot" w:pos="1652"/>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rPr>
        <w:t>5</w:t>
      </w:r>
      <w:r>
        <w:rPr>
          <w:color w:val="000000"/>
          <w:spacing w:val="0"/>
          <w:w w:val="100"/>
          <w:position w:val="0"/>
          <w:sz w:val="19"/>
          <w:szCs w:val="19"/>
        </w:rPr>
        <w:t>评估说明</w:t>
      </w:r>
      <w:r>
        <w:rPr>
          <w:color w:val="000000"/>
          <w:spacing w:val="0"/>
          <w:w w:val="100"/>
          <w:position w:val="0"/>
          <w:sz w:val="19"/>
          <w:szCs w:val="19"/>
          <w:lang w:val="en-US" w:eastAsia="en-US" w:bidi="en-US"/>
        </w:rPr>
        <w:tab/>
        <w:tab/>
        <w:t xml:space="preserve">    </w:t>
      </w:r>
      <w:r>
        <w:rPr>
          <w:rFonts w:ascii="Times New Roman" w:eastAsia="Times New Roman" w:hAnsi="Times New Roman" w:cs="Times New Roman"/>
          <w:color w:val="000000"/>
          <w:spacing w:val="0"/>
          <w:w w:val="100"/>
          <w:position w:val="0"/>
          <w:sz w:val="20"/>
          <w:szCs w:val="20"/>
        </w:rPr>
        <w:t>5</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5.1</w:t>
      </w:r>
      <w:r>
        <w:rPr>
          <w:color w:val="000000"/>
          <w:spacing w:val="0"/>
          <w:w w:val="100"/>
          <w:position w:val="0"/>
          <w:sz w:val="19"/>
          <w:szCs w:val="19"/>
        </w:rPr>
        <w:t>评估说明封面及目录</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5</w:t>
      </w:r>
    </w:p>
    <w:p>
      <w:pPr>
        <w:pStyle w:val="Tableofcontents10"/>
        <w:keepNext w:val="0"/>
        <w:keepLines w:val="0"/>
        <w:widowControl w:val="0"/>
        <w:numPr>
          <w:ilvl w:val="0"/>
          <w:numId w:val="1"/>
        </w:numPr>
        <w:shd w:val="clear" w:color="auto" w:fill="auto"/>
        <w:tabs>
          <w:tab w:val="left" w:pos="634"/>
          <w:tab w:val="left" w:leader="dot" w:pos="3550"/>
          <w:tab w:val="left" w:leader="dot" w:pos="3774"/>
          <w:tab w:val="right" w:leader="dot" w:pos="5398"/>
          <w:tab w:val="right" w:leader="dot" w:pos="9318"/>
        </w:tabs>
        <w:bidi w:val="0"/>
        <w:spacing w:before="0" w:line="240" w:lineRule="auto"/>
        <w:ind w:left="0" w:right="0"/>
        <w:jc w:val="both"/>
        <w:rPr>
          <w:sz w:val="20"/>
          <w:szCs w:val="20"/>
        </w:rPr>
      </w:pPr>
      <w:bookmarkStart w:id="15" w:name="bookmark15"/>
      <w:bookmarkEnd w:id="15"/>
      <w:r>
        <w:rPr>
          <w:rFonts w:ascii="Times New Roman" w:eastAsia="Times New Roman" w:hAnsi="Times New Roman" w:cs="Times New Roman"/>
          <w:color w:val="000000"/>
          <w:spacing w:val="0"/>
          <w:w w:val="100"/>
          <w:position w:val="0"/>
          <w:sz w:val="20"/>
          <w:szCs w:val="20"/>
        </w:rPr>
        <w:t>2</w:t>
      </w:r>
      <w:r>
        <w:rPr>
          <w:color w:val="000000"/>
          <w:spacing w:val="0"/>
          <w:w w:val="100"/>
          <w:position w:val="0"/>
          <w:sz w:val="19"/>
          <w:szCs w:val="19"/>
        </w:rPr>
        <w:t>评估说明使用范围声明</w:t>
      </w:r>
      <w:r>
        <w:rPr>
          <w:color w:val="000000"/>
          <w:spacing w:val="0"/>
          <w:w w:val="100"/>
          <w:position w:val="0"/>
          <w:sz w:val="19"/>
          <w:szCs w:val="19"/>
          <w:lang w:val="en-US" w:eastAsia="en-US" w:bidi="en-US"/>
        </w:rPr>
        <w:tab/>
        <w:tab/>
        <w:tab/>
      </w:r>
      <w:r>
        <w:rPr>
          <w:color w:val="000000"/>
          <w:spacing w:val="0"/>
          <w:w w:val="100"/>
          <w:position w:val="0"/>
          <w:sz w:val="19"/>
          <w:szCs w:val="19"/>
        </w:rPr>
        <w:t>:</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6</w:t>
      </w:r>
    </w:p>
    <w:p>
      <w:pPr>
        <w:pStyle w:val="Tableofcontents10"/>
        <w:keepNext w:val="0"/>
        <w:keepLines w:val="0"/>
        <w:widowControl w:val="0"/>
        <w:shd w:val="clear" w:color="auto" w:fill="auto"/>
        <w:tabs>
          <w:tab w:val="left" w:leader="dot" w:pos="4610"/>
          <w:tab w:val="left" w:leader="dot" w:pos="4834"/>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5.3</w:t>
      </w:r>
      <w:r>
        <w:rPr>
          <w:color w:val="000000"/>
          <w:spacing w:val="0"/>
          <w:w w:val="100"/>
          <w:position w:val="0"/>
          <w:sz w:val="19"/>
          <w:szCs w:val="19"/>
        </w:rPr>
        <w:t>可能影响评估工作的重大事项说明</w:t>
      </w:r>
      <w:r>
        <w:rPr>
          <w:color w:val="000000"/>
          <w:spacing w:val="0"/>
          <w:w w:val="100"/>
          <w:position w:val="0"/>
          <w:sz w:val="19"/>
          <w:szCs w:val="19"/>
          <w:lang w:val="en-US" w:eastAsia="en-US" w:bidi="en-US"/>
        </w:rPr>
        <w:tab/>
        <w:tab/>
        <w:tab/>
        <w:t xml:space="preserve">   </w:t>
      </w:r>
      <w:r>
        <w:rPr>
          <w:rFonts w:ascii="Times New Roman" w:eastAsia="Times New Roman" w:hAnsi="Times New Roman" w:cs="Times New Roman"/>
          <w:color w:val="000000"/>
          <w:spacing w:val="0"/>
          <w:w w:val="100"/>
          <w:position w:val="0"/>
          <w:sz w:val="20"/>
          <w:szCs w:val="20"/>
        </w:rPr>
        <w:t>6</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5.4</w:t>
      </w:r>
      <w:r>
        <w:rPr>
          <w:rFonts w:ascii="Times New Roman" w:eastAsia="Times New Roman" w:hAnsi="Times New Roman" w:cs="Times New Roman"/>
          <w:color w:val="000000"/>
          <w:spacing w:val="0"/>
          <w:w w:val="100"/>
          <w:position w:val="0"/>
          <w:sz w:val="20"/>
          <w:szCs w:val="20"/>
        </w:rPr>
        <w:t>,</w:t>
      </w:r>
      <w:r>
        <w:rPr>
          <w:color w:val="000000"/>
          <w:spacing w:val="0"/>
          <w:w w:val="100"/>
          <w:position w:val="0"/>
          <w:sz w:val="19"/>
          <w:szCs w:val="19"/>
        </w:rPr>
        <w:t>森林资源资产清査清单及相关资料</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6</w:t>
      </w:r>
    </w:p>
    <w:p>
      <w:pPr>
        <w:pStyle w:val="Tableofcontents10"/>
        <w:keepNext w:val="0"/>
        <w:keepLines w:val="0"/>
        <w:widowControl w:val="0"/>
        <w:shd w:val="clear" w:color="auto" w:fill="auto"/>
        <w:tabs>
          <w:tab w:val="right" w:leader="dot" w:pos="6770"/>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5.5</w:t>
      </w:r>
      <w:r>
        <w:rPr>
          <w:color w:val="000000"/>
          <w:spacing w:val="0"/>
          <w:w w:val="100"/>
          <w:position w:val="0"/>
          <w:sz w:val="19"/>
          <w:szCs w:val="19"/>
        </w:rPr>
        <w:t>森林资源资产核查报告说明</w:t>
      </w:r>
      <w:r>
        <w:rPr>
          <w:color w:val="000000"/>
          <w:spacing w:val="0"/>
          <w:w w:val="100"/>
          <w:position w:val="0"/>
          <w:sz w:val="19"/>
          <w:szCs w:val="19"/>
          <w:lang w:val="en-US" w:eastAsia="en-US" w:bidi="en-US"/>
        </w:rPr>
        <w:t>.....</w:t>
        <w:tab/>
        <w:t xml:space="preserve">  .：</w:t>
        <w:tab/>
        <w:t xml:space="preserve">  </w:t>
      </w:r>
      <w:r>
        <w:rPr>
          <w:rFonts w:ascii="Times New Roman" w:eastAsia="Times New Roman" w:hAnsi="Times New Roman" w:cs="Times New Roman"/>
          <w:color w:val="000000"/>
          <w:spacing w:val="0"/>
          <w:w w:val="100"/>
          <w:position w:val="0"/>
          <w:sz w:val="20"/>
          <w:szCs w:val="20"/>
        </w:rPr>
        <w:t>6</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5.6</w:t>
      </w:r>
      <w:r>
        <w:rPr>
          <w:color w:val="000000"/>
          <w:spacing w:val="0"/>
          <w:w w:val="100"/>
          <w:position w:val="0"/>
          <w:sz w:val="19"/>
          <w:szCs w:val="19"/>
        </w:rPr>
        <w:t>森林资源资产的评估技术说明</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6</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5.7</w:t>
      </w:r>
      <w:r>
        <w:rPr>
          <w:color w:val="000000"/>
          <w:spacing w:val="0"/>
          <w:w w:val="100"/>
          <w:position w:val="0"/>
          <w:sz w:val="19"/>
          <w:szCs w:val="19"/>
        </w:rPr>
        <w:t>有关技术经济指标说明.</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7</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5.8</w:t>
      </w:r>
      <w:r>
        <w:rPr>
          <w:color w:val="000000"/>
          <w:spacing w:val="0"/>
          <w:w w:val="100"/>
          <w:position w:val="0"/>
          <w:sz w:val="19"/>
          <w:szCs w:val="19"/>
        </w:rPr>
        <w:t>评估结论及其分伤</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7</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rPr>
        <w:t>6</w:t>
      </w:r>
      <w:r>
        <w:rPr>
          <w:color w:val="000000"/>
          <w:spacing w:val="0"/>
          <w:w w:val="100"/>
          <w:position w:val="0"/>
          <w:sz w:val="19"/>
          <w:szCs w:val="19"/>
        </w:rPr>
        <w:t>森林资源资产统计表、评彷表、图及产权证明.</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8</w:t>
      </w:r>
    </w:p>
    <w:p>
      <w:pPr>
        <w:pStyle w:val="Tableofcontents10"/>
        <w:keepNext w:val="0"/>
        <w:keepLines w:val="0"/>
        <w:widowControl w:val="0"/>
        <w:numPr>
          <w:ilvl w:val="0"/>
          <w:numId w:val="1"/>
        </w:numPr>
        <w:shd w:val="clear" w:color="auto" w:fill="auto"/>
        <w:tabs>
          <w:tab w:val="left" w:pos="634"/>
          <w:tab w:val="right" w:leader="dot" w:pos="9318"/>
        </w:tabs>
        <w:bidi w:val="0"/>
        <w:spacing w:before="0" w:line="240" w:lineRule="auto"/>
        <w:ind w:left="0" w:right="0"/>
        <w:jc w:val="both"/>
        <w:rPr>
          <w:sz w:val="20"/>
          <w:szCs w:val="20"/>
        </w:rPr>
      </w:pPr>
      <w:bookmarkStart w:id="16" w:name="bookmark16"/>
      <w:bookmarkEnd w:id="16"/>
      <w:r>
        <w:rPr>
          <w:rFonts w:ascii="Times New Roman" w:eastAsia="Times New Roman" w:hAnsi="Times New Roman" w:cs="Times New Roman"/>
          <w:color w:val="000000"/>
          <w:spacing w:val="0"/>
          <w:w w:val="100"/>
          <w:position w:val="0"/>
          <w:sz w:val="20"/>
          <w:szCs w:val="20"/>
        </w:rPr>
        <w:t>1</w:t>
      </w:r>
      <w:r>
        <w:rPr>
          <w:color w:val="000000"/>
          <w:spacing w:val="0"/>
          <w:w w:val="100"/>
          <w:position w:val="0"/>
          <w:sz w:val="19"/>
          <w:szCs w:val="19"/>
        </w:rPr>
        <w:t>森林资源资产统计表</w:t>
      </w:r>
      <w:r>
        <w:rPr>
          <w:color w:val="000000"/>
          <w:spacing w:val="0"/>
          <w:w w:val="100"/>
          <w:position w:val="0"/>
          <w:sz w:val="19"/>
          <w:szCs w:val="19"/>
          <w:lang w:val="en-US" w:eastAsia="en-US" w:bidi="en-US"/>
        </w:rPr>
        <w:t xml:space="preserve">   </w:t>
        <w:tab/>
        <w:t xml:space="preserve">    </w:t>
      </w:r>
      <w:r>
        <w:rPr>
          <w:rFonts w:ascii="Times New Roman" w:eastAsia="Times New Roman" w:hAnsi="Times New Roman" w:cs="Times New Roman"/>
          <w:color w:val="000000"/>
          <w:spacing w:val="0"/>
          <w:w w:val="100"/>
          <w:position w:val="0"/>
          <w:sz w:val="20"/>
          <w:szCs w:val="20"/>
        </w:rPr>
        <w:t>8</w:t>
      </w:r>
    </w:p>
    <w:p>
      <w:pPr>
        <w:pStyle w:val="Tableofcontents10"/>
        <w:keepNext w:val="0"/>
        <w:keepLines w:val="0"/>
        <w:widowControl w:val="0"/>
        <w:shd w:val="clear" w:color="auto" w:fill="auto"/>
        <w:tabs>
          <w:tab w:val="left" w:leader="dot" w:pos="5177"/>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6.2</w:t>
      </w:r>
      <w:r>
        <w:rPr>
          <w:color w:val="000000"/>
          <w:spacing w:val="0"/>
          <w:w w:val="100"/>
          <w:position w:val="0"/>
          <w:sz w:val="19"/>
          <w:szCs w:val="19"/>
        </w:rPr>
        <w:t>森林资源资产评估表</w:t>
      </w:r>
      <w:r>
        <w:rPr>
          <w:color w:val="000000"/>
          <w:spacing w:val="0"/>
          <w:w w:val="100"/>
          <w:position w:val="0"/>
          <w:sz w:val="19"/>
          <w:szCs w:val="19"/>
          <w:lang w:val="en-US" w:eastAsia="en-US" w:bidi="en-US"/>
        </w:rPr>
        <w:tab/>
      </w:r>
      <w:r>
        <w:rPr>
          <w:color w:val="000000"/>
          <w:spacing w:val="0"/>
          <w:w w:val="100"/>
          <w:position w:val="0"/>
          <w:sz w:val="19"/>
          <w:szCs w:val="19"/>
        </w:rPr>
        <w:t>-</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8</w:t>
      </w:r>
    </w:p>
    <w:p>
      <w:pPr>
        <w:pStyle w:val="Tableofcontents10"/>
        <w:keepNext w:val="0"/>
        <w:keepLines w:val="0"/>
        <w:widowControl w:val="0"/>
        <w:shd w:val="clear" w:color="auto" w:fill="auto"/>
        <w:tabs>
          <w:tab w:val="right" w:leader="dot" w:pos="9074"/>
          <w:tab w:val="left" w:pos="9279"/>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 xml:space="preserve">6. </w:t>
      </w:r>
      <w:r>
        <w:rPr>
          <w:rFonts w:ascii="Times New Roman" w:eastAsia="Times New Roman" w:hAnsi="Times New Roman" w:cs="Times New Roman"/>
          <w:color w:val="000000"/>
          <w:spacing w:val="0"/>
          <w:w w:val="100"/>
          <w:position w:val="0"/>
          <w:sz w:val="20"/>
          <w:szCs w:val="20"/>
        </w:rPr>
        <w:t>3</w:t>
      </w:r>
      <w:r>
        <w:rPr>
          <w:color w:val="000000"/>
          <w:spacing w:val="0"/>
          <w:w w:val="100"/>
          <w:position w:val="0"/>
          <w:sz w:val="19"/>
          <w:szCs w:val="19"/>
        </w:rPr>
        <w:t>森林资源资产评估图</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lang w:val="en-US" w:eastAsia="en-US" w:bidi="en-US"/>
        </w:rPr>
        <w:t>.....</w:t>
        <w:tab/>
      </w:r>
      <w:r>
        <w:rPr>
          <w:rFonts w:ascii="Times New Roman" w:eastAsia="Times New Roman" w:hAnsi="Times New Roman" w:cs="Times New Roman"/>
          <w:color w:val="000000"/>
          <w:spacing w:val="0"/>
          <w:w w:val="100"/>
          <w:position w:val="0"/>
          <w:sz w:val="20"/>
          <w:szCs w:val="20"/>
        </w:rPr>
        <w:t>8</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lang w:val="en-US" w:eastAsia="en-US" w:bidi="en-US"/>
        </w:rPr>
        <w:t xml:space="preserve">6. </w:t>
      </w:r>
      <w:r>
        <w:rPr>
          <w:rFonts w:ascii="Times New Roman" w:eastAsia="Times New Roman" w:hAnsi="Times New Roman" w:cs="Times New Roman"/>
          <w:color w:val="000000"/>
          <w:spacing w:val="0"/>
          <w:w w:val="100"/>
          <w:position w:val="0"/>
          <w:sz w:val="20"/>
          <w:szCs w:val="20"/>
        </w:rPr>
        <w:t>4</w:t>
      </w:r>
      <w:r>
        <w:rPr>
          <w:color w:val="000000"/>
          <w:spacing w:val="0"/>
          <w:w w:val="100"/>
          <w:position w:val="0"/>
          <w:sz w:val="19"/>
          <w:szCs w:val="19"/>
        </w:rPr>
        <w:t>森林资源资产产权证明</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8</w:t>
      </w:r>
    </w:p>
    <w:p>
      <w:pPr>
        <w:pStyle w:val="Tableofcontents10"/>
        <w:keepNext w:val="0"/>
        <w:keepLines w:val="0"/>
        <w:widowControl w:val="0"/>
        <w:shd w:val="clear" w:color="auto" w:fill="auto"/>
        <w:tabs>
          <w:tab w:val="right" w:leader="dot" w:pos="9318"/>
        </w:tabs>
        <w:bidi w:val="0"/>
        <w:spacing w:before="0" w:line="240" w:lineRule="auto"/>
        <w:ind w:left="0" w:right="0"/>
        <w:jc w:val="both"/>
        <w:rPr>
          <w:sz w:val="20"/>
          <w:szCs w:val="20"/>
        </w:rPr>
      </w:pPr>
      <w:r>
        <w:rPr>
          <w:rFonts w:ascii="Times New Roman" w:eastAsia="Times New Roman" w:hAnsi="Times New Roman" w:cs="Times New Roman"/>
          <w:color w:val="000000"/>
          <w:spacing w:val="0"/>
          <w:w w:val="100"/>
          <w:position w:val="0"/>
          <w:sz w:val="20"/>
          <w:szCs w:val="20"/>
        </w:rPr>
        <w:t>7</w:t>
      </w:r>
      <w:r>
        <w:rPr>
          <w:color w:val="000000"/>
          <w:spacing w:val="0"/>
          <w:w w:val="100"/>
          <w:position w:val="0"/>
          <w:sz w:val="19"/>
          <w:szCs w:val="19"/>
        </w:rPr>
        <w:t>评估报告打印与装订</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8</w:t>
      </w:r>
    </w:p>
    <w:p>
      <w:pPr>
        <w:pStyle w:val="Tableofcontents10"/>
        <w:keepNext w:val="0"/>
        <w:keepLines w:val="0"/>
        <w:widowControl w:val="0"/>
        <w:shd w:val="clear" w:color="auto" w:fill="auto"/>
        <w:tabs>
          <w:tab w:val="right" w:leader="dot" w:pos="9318"/>
        </w:tabs>
        <w:bidi w:val="0"/>
        <w:spacing w:before="0" w:after="260" w:line="240" w:lineRule="auto"/>
        <w:ind w:left="0" w:right="0"/>
        <w:jc w:val="left"/>
        <w:rPr>
          <w:sz w:val="20"/>
          <w:szCs w:val="20"/>
        </w:rPr>
      </w:pPr>
      <w:r>
        <w:rPr>
          <w:color w:val="000000"/>
          <w:spacing w:val="0"/>
          <w:w w:val="100"/>
          <w:position w:val="0"/>
          <w:sz w:val="19"/>
          <w:szCs w:val="19"/>
        </w:rPr>
        <w:t>附录</w:t>
      </w:r>
      <w:r>
        <w:rPr>
          <w:rFonts w:ascii="Times New Roman" w:eastAsia="Times New Roman" w:hAnsi="Times New Roman" w:cs="Times New Roman"/>
          <w:color w:val="000000"/>
          <w:spacing w:val="0"/>
          <w:w w:val="100"/>
          <w:position w:val="0"/>
          <w:sz w:val="20"/>
          <w:szCs w:val="20"/>
          <w:lang w:val="en-US" w:eastAsia="en-US" w:bidi="en-US"/>
        </w:rPr>
        <w:t xml:space="preserve">A </w:t>
      </w:r>
      <w:r>
        <w:rPr>
          <w:color w:val="000000"/>
          <w:spacing w:val="0"/>
          <w:w w:val="100"/>
          <w:position w:val="0"/>
          <w:sz w:val="19"/>
          <w:szCs w:val="19"/>
        </w:rPr>
        <w:t>（规范性附录）森林资源资产评估报告书文件组成</w:t>
      </w:r>
      <w:r>
        <w:rPr>
          <w:color w:val="000000"/>
          <w:spacing w:val="0"/>
          <w:w w:val="100"/>
          <w:position w:val="0"/>
          <w:sz w:val="19"/>
          <w:szCs w:val="19"/>
          <w:lang w:val="en-US" w:eastAsia="en-US" w:bidi="en-US"/>
        </w:rPr>
        <w:tab/>
        <w:t xml:space="preserve"> </w:t>
      </w:r>
      <w:r>
        <w:rPr>
          <w:rFonts w:ascii="Times New Roman" w:eastAsia="Times New Roman" w:hAnsi="Times New Roman" w:cs="Times New Roman"/>
          <w:color w:val="000000"/>
          <w:spacing w:val="0"/>
          <w:w w:val="100"/>
          <w:position w:val="0"/>
          <w:sz w:val="20"/>
          <w:szCs w:val="20"/>
        </w:rPr>
        <w:t>9</w:t>
      </w:r>
    </w:p>
    <w:p>
      <w:pPr>
        <w:pStyle w:val="Tableofcontents10"/>
        <w:keepNext w:val="0"/>
        <w:keepLines w:val="0"/>
        <w:widowControl w:val="0"/>
        <w:shd w:val="clear" w:color="auto" w:fill="auto"/>
        <w:tabs>
          <w:tab w:val="left" w:leader="dot" w:pos="8666"/>
        </w:tabs>
        <w:bidi w:val="0"/>
        <w:spacing w:before="0" w:after="260" w:line="240" w:lineRule="auto"/>
        <w:ind w:left="0" w:right="0"/>
        <w:jc w:val="left"/>
        <w:rPr>
          <w:sz w:val="20"/>
          <w:szCs w:val="20"/>
        </w:rPr>
      </w:pPr>
      <w:r>
        <w:rPr>
          <w:color w:val="000000"/>
          <w:spacing w:val="0"/>
          <w:w w:val="100"/>
          <w:position w:val="0"/>
          <w:sz w:val="19"/>
          <w:szCs w:val="19"/>
        </w:rPr>
        <w:t>附录</w:t>
      </w:r>
      <w:r>
        <w:rPr>
          <w:rFonts w:ascii="Times New Roman" w:eastAsia="Times New Roman" w:hAnsi="Times New Roman" w:cs="Times New Roman"/>
          <w:color w:val="000000"/>
          <w:spacing w:val="0"/>
          <w:w w:val="100"/>
          <w:position w:val="0"/>
          <w:sz w:val="20"/>
          <w:szCs w:val="20"/>
          <w:lang w:val="en-US" w:eastAsia="en-US" w:bidi="en-US"/>
        </w:rPr>
        <w:t xml:space="preserve">B </w:t>
      </w:r>
      <w:r>
        <w:rPr>
          <w:color w:val="000000"/>
          <w:spacing w:val="0"/>
          <w:w w:val="100"/>
          <w:position w:val="0"/>
          <w:sz w:val="19"/>
          <w:szCs w:val="19"/>
        </w:rPr>
        <w:t xml:space="preserve">（规范性附录）森林资源资产评估说明文件组成 </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lang w:val="en-US" w:eastAsia="en-US" w:bidi="en-US"/>
        </w:rPr>
        <w:t>--10</w:t>
      </w:r>
    </w:p>
    <w:p>
      <w:pPr>
        <w:pStyle w:val="Tableofcontents10"/>
        <w:keepNext w:val="0"/>
        <w:keepLines w:val="0"/>
        <w:widowControl w:val="0"/>
        <w:shd w:val="clear" w:color="auto" w:fill="auto"/>
        <w:tabs>
          <w:tab w:val="left" w:leader="dot" w:pos="8959"/>
        </w:tabs>
        <w:bidi w:val="0"/>
        <w:spacing w:before="0" w:line="240" w:lineRule="auto"/>
        <w:ind w:left="0" w:right="0"/>
        <w:jc w:val="left"/>
        <w:rPr>
          <w:sz w:val="20"/>
          <w:szCs w:val="20"/>
        </w:rPr>
        <w:sectPr>
          <w:headerReference w:type="even" r:id="rId10"/>
          <w:headerReference w:type="default" r:id="rId11"/>
          <w:footerReference w:type="even" r:id="rId12"/>
          <w:footerReference w:type="default" r:id="rId13"/>
          <w:headerReference w:type="first" r:id="rId14"/>
          <w:footerReference w:type="first" r:id="rId15"/>
          <w:type w:val="nextPage"/>
          <w:pgSz w:w="11900" w:h="16840"/>
          <w:pgMar w:top="1055" w:right="1134" w:bottom="1241" w:left="1268" w:header="0" w:footer="3" w:gutter="0"/>
          <w:pgNumType w:start="2"/>
          <w:cols w:space="720"/>
          <w:noEndnote/>
          <w:titlePg w:val="0"/>
          <w:rtlGutter w:val="0"/>
          <w:docGrid w:linePitch="360"/>
        </w:sectPr>
      </w:pPr>
      <w:r>
        <w:rPr>
          <w:color w:val="000000"/>
          <w:spacing w:val="0"/>
          <w:w w:val="100"/>
          <w:position w:val="0"/>
          <w:sz w:val="19"/>
          <w:szCs w:val="19"/>
        </w:rPr>
        <w:t>附录</w:t>
      </w:r>
      <w:r>
        <w:rPr>
          <w:rFonts w:ascii="Times New Roman" w:eastAsia="Times New Roman" w:hAnsi="Times New Roman" w:cs="Times New Roman"/>
          <w:color w:val="000000"/>
          <w:spacing w:val="0"/>
          <w:w w:val="100"/>
          <w:position w:val="0"/>
          <w:sz w:val="20"/>
          <w:szCs w:val="20"/>
          <w:lang w:val="en-US" w:eastAsia="en-US" w:bidi="en-US"/>
        </w:rPr>
        <w:t xml:space="preserve">C </w:t>
      </w:r>
      <w:r>
        <w:rPr>
          <w:color w:val="000000"/>
          <w:spacing w:val="0"/>
          <w:w w:val="100"/>
          <w:position w:val="0"/>
          <w:sz w:val="19"/>
          <w:szCs w:val="19"/>
        </w:rPr>
        <w:t>（规范性附录）森林资源资产评估表格式</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0"/>
          <w:szCs w:val="20"/>
        </w:rPr>
        <w:t>12</w:t>
      </w:r>
      <w:r>
        <w:fldChar w:fldCharType="end"/>
      </w:r>
    </w:p>
    <w:p>
      <w:pPr>
        <w:pStyle w:val="Bodytext10"/>
        <w:keepNext w:val="0"/>
        <w:keepLines w:val="0"/>
        <w:widowControl w:val="0"/>
        <w:shd w:val="clear" w:color="auto" w:fill="auto"/>
        <w:bidi w:val="0"/>
        <w:spacing w:before="0" w:after="0" w:line="400" w:lineRule="exact"/>
        <w:ind w:left="300" w:right="0" w:firstLine="560"/>
        <w:jc w:val="both"/>
        <w:sectPr>
          <w:headerReference w:type="even" r:id="rId16"/>
          <w:headerReference w:type="default" r:id="rId17"/>
          <w:footerReference w:type="even" r:id="rId18"/>
          <w:footerReference w:type="default" r:id="rId19"/>
          <w:headerReference w:type="first" r:id="rId20"/>
          <w:footerReference w:type="first" r:id="rId21"/>
          <w:type w:val="continuous"/>
          <w:pgSz w:w="11900" w:h="16840"/>
          <w:pgMar w:top="1055" w:right="1134" w:bottom="1241" w:left="1268" w:header="0" w:footer="3" w:gutter="0"/>
          <w:pgNumType w:start="3"/>
          <w:cols w:space="720"/>
          <w:noEndnote/>
          <w:rtlGutter w:val="0"/>
          <w:docGrid w:linePitch="360"/>
        </w:sectPr>
      </w:pPr>
      <w:r>
        <w:rPr>
          <w:color w:val="000000"/>
          <w:spacing w:val="0"/>
          <w:w w:val="100"/>
          <w:position w:val="0"/>
        </w:rPr>
        <w:t>森林资源资产具有不同于一般性资产的特殊性，使森林资源资产评估具有其本身的特征与独</w:t>
      </w:r>
    </w:p>
    <w:p>
      <w:pPr>
        <w:pStyle w:val="Bodytext10"/>
        <w:keepNext w:val="0"/>
        <w:keepLines w:val="0"/>
        <w:widowControl w:val="0"/>
        <w:shd w:val="clear" w:color="auto" w:fill="auto"/>
        <w:bidi w:val="0"/>
        <w:spacing w:before="0" w:after="0" w:line="400" w:lineRule="exact"/>
        <w:ind w:left="300" w:right="0" w:firstLine="560"/>
        <w:jc w:val="both"/>
      </w:pPr>
      <w:r>
        <w:rPr>
          <w:color w:val="000000"/>
          <w:spacing w:val="0"/>
          <w:w w:val="100"/>
          <w:position w:val="0"/>
        </w:rPr>
        <w:t xml:space="preserve"> 立性。为适应我省森林资源资产评估事业发展的需要，规范森林资源资产评估报告的编制工作，使</w:t>
      </w:r>
      <w:r>
        <w:rPr>
          <w:color w:val="000000"/>
          <w:spacing w:val="0"/>
          <w:w w:val="100"/>
          <w:position w:val="0"/>
        </w:rPr>
        <w:t xml:space="preserve"> 森林资源资产评估有章可循，根据《中华人民共和国森林法》、《中华人民共和国森林法实施条例》、</w:t>
      </w:r>
      <w:r>
        <w:rPr>
          <w:color w:val="000000"/>
          <w:spacing w:val="0"/>
          <w:w w:val="100"/>
          <w:position w:val="0"/>
        </w:rPr>
        <w:t xml:space="preserve"> 《福建省森林条例》、《国有资产评估管理办法》（国务院</w:t>
      </w:r>
      <w:r>
        <w:rPr>
          <w:rFonts w:ascii="Times New Roman" w:eastAsia="Times New Roman" w:hAnsi="Times New Roman" w:cs="Times New Roman"/>
          <w:color w:val="000000"/>
          <w:spacing w:val="0"/>
          <w:w w:val="100"/>
          <w:position w:val="0"/>
          <w:sz w:val="20"/>
          <w:szCs w:val="20"/>
        </w:rPr>
        <w:t>91</w:t>
      </w:r>
      <w:r>
        <w:rPr>
          <w:color w:val="000000"/>
          <w:spacing w:val="0"/>
          <w:w w:val="100"/>
          <w:position w:val="0"/>
        </w:rPr>
        <w:t>号令）、财政部《资产评估报告基 本内容与格式的暂行规定》（财评字</w:t>
      </w:r>
      <w:r>
        <w:rPr>
          <w:rFonts w:ascii="Times New Roman" w:eastAsia="Times New Roman" w:hAnsi="Times New Roman" w:cs="Times New Roman"/>
          <w:color w:val="000000"/>
          <w:spacing w:val="0"/>
          <w:w w:val="100"/>
          <w:position w:val="0"/>
          <w:sz w:val="20"/>
          <w:szCs w:val="20"/>
        </w:rPr>
        <w:t>[1999]91</w:t>
      </w:r>
      <w:r>
        <w:rPr>
          <w:color w:val="000000"/>
          <w:spacing w:val="0"/>
          <w:w w:val="100"/>
          <w:position w:val="0"/>
        </w:rPr>
        <w:t>号）、原国家国有资产管理局和林业部《森林资源资 产评估技术规范（试行）》（国资办发</w:t>
      </w:r>
      <w:r>
        <w:rPr>
          <w:rFonts w:ascii="Times New Roman" w:eastAsia="Times New Roman" w:hAnsi="Times New Roman" w:cs="Times New Roman"/>
          <w:color w:val="000000"/>
          <w:spacing w:val="0"/>
          <w:w w:val="100"/>
          <w:position w:val="0"/>
          <w:sz w:val="20"/>
          <w:szCs w:val="20"/>
        </w:rPr>
        <w:t>[1996]59</w:t>
      </w:r>
      <w:r>
        <w:rPr>
          <w:color w:val="000000"/>
          <w:spacing w:val="0"/>
          <w:w w:val="100"/>
          <w:position w:val="0"/>
        </w:rPr>
        <w:t>号）和《福建省森林资源转让条例》的要求，特制 定本标准。</w:t>
      </w:r>
    </w:p>
    <w:p>
      <w:pPr>
        <w:pStyle w:val="Bodytext10"/>
        <w:keepNext w:val="0"/>
        <w:keepLines w:val="0"/>
        <w:widowControl w:val="0"/>
        <w:shd w:val="clear" w:color="auto" w:fill="auto"/>
        <w:bidi w:val="0"/>
        <w:spacing w:before="0" w:after="0" w:line="400" w:lineRule="exact"/>
        <w:ind w:left="0" w:right="0" w:firstLine="860"/>
        <w:jc w:val="both"/>
      </w:pPr>
      <w:r>
        <w:rPr>
          <w:color w:val="000000"/>
          <w:spacing w:val="0"/>
          <w:w w:val="100"/>
          <w:position w:val="0"/>
        </w:rPr>
        <w:t>本标准的附录</w:t>
      </w:r>
      <w:r>
        <w:rPr>
          <w:rFonts w:ascii="Times New Roman" w:eastAsia="Times New Roman" w:hAnsi="Times New Roman" w:cs="Times New Roman"/>
          <w:color w:val="000000"/>
          <w:spacing w:val="0"/>
          <w:w w:val="100"/>
          <w:position w:val="0"/>
          <w:sz w:val="20"/>
          <w:szCs w:val="20"/>
          <w:lang w:val="en-US" w:eastAsia="en-US" w:bidi="en-US"/>
        </w:rPr>
        <w:t>A</w:t>
      </w:r>
      <w:r>
        <w:rPr>
          <w:color w:val="000000"/>
          <w:spacing w:val="0"/>
          <w:w w:val="100"/>
          <w:position w:val="0"/>
          <w:lang w:val="en-US" w:eastAsia="en-US" w:bidi="en-US"/>
        </w:rPr>
        <w:t>、</w:t>
      </w:r>
      <w:r>
        <w:rPr>
          <w:color w:val="000000"/>
          <w:spacing w:val="0"/>
          <w:w w:val="100"/>
          <w:position w:val="0"/>
        </w:rPr>
        <w:t>附录</w:t>
      </w:r>
      <w:r>
        <w:rPr>
          <w:rFonts w:ascii="Times New Roman" w:eastAsia="Times New Roman" w:hAnsi="Times New Roman" w:cs="Times New Roman"/>
          <w:color w:val="000000"/>
          <w:spacing w:val="0"/>
          <w:w w:val="100"/>
          <w:position w:val="0"/>
          <w:sz w:val="20"/>
          <w:szCs w:val="20"/>
          <w:lang w:val="en-US" w:eastAsia="en-US" w:bidi="en-US"/>
        </w:rPr>
        <w:t>B</w:t>
      </w:r>
      <w:r>
        <w:rPr>
          <w:color w:val="000000"/>
          <w:spacing w:val="0"/>
          <w:w w:val="100"/>
          <w:position w:val="0"/>
          <w:lang w:val="en-US" w:eastAsia="en-US" w:bidi="en-US"/>
        </w:rPr>
        <w:t>、</w:t>
      </w:r>
      <w:r>
        <w:rPr>
          <w:color w:val="000000"/>
          <w:spacing w:val="0"/>
          <w:w w:val="100"/>
          <w:position w:val="0"/>
        </w:rPr>
        <w:t>附录</w:t>
      </w:r>
      <w:r>
        <w:rPr>
          <w:rFonts w:ascii="Times New Roman" w:eastAsia="Times New Roman" w:hAnsi="Times New Roman" w:cs="Times New Roman"/>
          <w:color w:val="000000"/>
          <w:spacing w:val="0"/>
          <w:w w:val="100"/>
          <w:position w:val="0"/>
          <w:sz w:val="20"/>
          <w:szCs w:val="20"/>
          <w:lang w:val="en-US" w:eastAsia="en-US" w:bidi="en-US"/>
        </w:rPr>
        <w:t>C</w:t>
      </w:r>
      <w:r>
        <w:rPr>
          <w:color w:val="000000"/>
          <w:spacing w:val="0"/>
          <w:w w:val="100"/>
          <w:position w:val="0"/>
        </w:rPr>
        <w:t>均为规范性附录。</w:t>
      </w:r>
    </w:p>
    <w:p>
      <w:pPr>
        <w:pStyle w:val="Bodytext10"/>
        <w:keepNext w:val="0"/>
        <w:keepLines w:val="0"/>
        <w:widowControl w:val="0"/>
        <w:shd w:val="clear" w:color="auto" w:fill="auto"/>
        <w:bidi w:val="0"/>
        <w:spacing w:before="0" w:after="0" w:line="400" w:lineRule="exact"/>
        <w:ind w:left="0" w:right="0" w:firstLine="860"/>
        <w:jc w:val="both"/>
      </w:pPr>
      <w:r>
        <w:rPr>
          <w:color w:val="000000"/>
          <w:spacing w:val="0"/>
          <w:w w:val="100"/>
          <w:position w:val="0"/>
        </w:rPr>
        <w:t>本标准由福建省林业厅提出。</w:t>
      </w:r>
    </w:p>
    <w:p>
      <w:pPr>
        <w:pStyle w:val="Bodytext10"/>
        <w:keepNext w:val="0"/>
        <w:keepLines w:val="0"/>
        <w:widowControl w:val="0"/>
        <w:shd w:val="clear" w:color="auto" w:fill="auto"/>
        <w:bidi w:val="0"/>
        <w:spacing w:before="0" w:after="0" w:line="400" w:lineRule="exact"/>
        <w:ind w:left="0" w:right="0" w:firstLine="860"/>
        <w:jc w:val="both"/>
      </w:pPr>
      <w:r>
        <w:rPr>
          <w:color w:val="000000"/>
          <w:spacing w:val="0"/>
          <w:w w:val="100"/>
          <w:position w:val="0"/>
        </w:rPr>
        <w:t>本标准由福建省质量技术监督局批准。</w:t>
      </w:r>
    </w:p>
    <w:p>
      <w:pPr>
        <w:pStyle w:val="Bodytext10"/>
        <w:keepNext w:val="0"/>
        <w:keepLines w:val="0"/>
        <w:widowControl w:val="0"/>
        <w:shd w:val="clear" w:color="auto" w:fill="auto"/>
        <w:bidi w:val="0"/>
        <w:spacing w:before="0" w:after="0" w:line="400" w:lineRule="exact"/>
        <w:ind w:left="0" w:right="0" w:firstLine="860"/>
        <w:jc w:val="both"/>
      </w:pPr>
      <w:r>
        <w:rPr>
          <w:color w:val="000000"/>
          <w:spacing w:val="0"/>
          <w:w w:val="100"/>
          <w:position w:val="0"/>
        </w:rPr>
        <w:t>本标准起草单位：福建省林业调査规划院、福建省林业厅林政资源管理处、福建农林大学。</w:t>
      </w:r>
    </w:p>
    <w:p>
      <w:pPr>
        <w:pStyle w:val="Bodytext10"/>
        <w:keepNext w:val="0"/>
        <w:keepLines w:val="0"/>
        <w:widowControl w:val="0"/>
        <w:shd w:val="clear" w:color="auto" w:fill="auto"/>
        <w:bidi w:val="0"/>
        <w:spacing w:before="0" w:after="0" w:line="400" w:lineRule="exact"/>
        <w:ind w:left="0" w:right="0" w:firstLine="860"/>
        <w:jc w:val="both"/>
      </w:pPr>
      <w:r>
        <w:rPr>
          <w:color w:val="000000"/>
          <w:spacing w:val="0"/>
          <w:w w:val="100"/>
          <w:position w:val="0"/>
        </w:rPr>
        <w:t>本标准主要起草人：庄晨辉、张惠光、陈绍玲、林秋妹。</w:t>
      </w:r>
    </w:p>
    <w:p>
      <w:pPr>
        <w:pStyle w:val="Bodytext10"/>
        <w:keepNext w:val="0"/>
        <w:keepLines w:val="0"/>
        <w:widowControl w:val="0"/>
        <w:shd w:val="clear" w:color="auto" w:fill="auto"/>
        <w:bidi w:val="0"/>
        <w:spacing w:before="0" w:after="0" w:line="400" w:lineRule="exact"/>
        <w:ind w:left="2720" w:right="0" w:firstLine="0"/>
        <w:jc w:val="left"/>
      </w:pPr>
      <w:r>
        <w:rPr>
          <w:color w:val="000000"/>
          <w:spacing w:val="0"/>
          <w:w w:val="100"/>
          <w:position w:val="0"/>
        </w:rPr>
        <w:t>李祖贻、洪端芳、叶光辉。</w:t>
      </w:r>
    </w:p>
    <w:p>
      <w:pPr>
        <w:pStyle w:val="Bodytext10"/>
        <w:keepNext w:val="0"/>
        <w:keepLines w:val="0"/>
        <w:widowControl w:val="0"/>
        <w:shd w:val="clear" w:color="auto" w:fill="auto"/>
        <w:bidi w:val="0"/>
        <w:spacing w:before="0" w:after="0" w:line="400" w:lineRule="exact"/>
        <w:ind w:left="2720" w:right="0" w:firstLine="0"/>
        <w:jc w:val="left"/>
        <w:sectPr>
          <w:headerReference w:type="even" r:id="rId22"/>
          <w:headerReference w:type="default" r:id="rId23"/>
          <w:footerReference w:type="even" r:id="rId24"/>
          <w:footerReference w:type="default" r:id="rId25"/>
          <w:headerReference w:type="first" r:id="rId26"/>
          <w:footerReference w:type="first" r:id="rId27"/>
          <w:type w:val="nextPage"/>
          <w:pgSz w:w="11900" w:h="16840"/>
          <w:pgMar w:top="1055" w:right="1134" w:bottom="1241" w:left="1268" w:header="0" w:footer="3" w:gutter="0"/>
          <w:pgNumType w:start="4"/>
          <w:cols w:space="720"/>
          <w:noEndnote/>
          <w:titlePg w:val="0"/>
          <w:rtlGutter w:val="0"/>
          <w:docGrid w:linePitch="360"/>
        </w:sectPr>
      </w:pPr>
      <w:r>
        <w:rPr>
          <w:color w:val="000000"/>
          <w:spacing w:val="0"/>
          <w:w w:val="100"/>
          <w:position w:val="0"/>
        </w:rPr>
        <w:t>陈平留、郑德祥。</w:t>
      </w:r>
    </w:p>
    <w:p>
      <w:pPr>
        <w:pStyle w:val="Heading510"/>
        <w:keepNext/>
        <w:keepLines/>
        <w:widowControl w:val="0"/>
        <w:shd w:val="clear" w:color="auto" w:fill="auto"/>
        <w:bidi w:val="0"/>
        <w:spacing w:before="0" w:after="840" w:line="240" w:lineRule="auto"/>
        <w:ind w:left="0" w:right="0" w:firstLine="0"/>
        <w:jc w:val="center"/>
      </w:pPr>
      <w:bookmarkStart w:id="17" w:name="bookmark17"/>
      <w:bookmarkStart w:id="18" w:name="bookmark18"/>
      <w:bookmarkStart w:id="19" w:name="bookmark19"/>
      <w:r>
        <w:rPr>
          <w:color w:val="000000"/>
          <w:spacing w:val="0"/>
          <w:w w:val="100"/>
          <w:position w:val="0"/>
        </w:rPr>
        <w:t>森林资源资产评估报告的编制规则</w:t>
      </w:r>
      <w:bookmarkEnd w:id="17"/>
      <w:bookmarkEnd w:id="18"/>
      <w:bookmarkEnd w:id="19"/>
    </w:p>
    <w:p>
      <w:pPr>
        <w:pStyle w:val="Bodytext10"/>
        <w:keepNext w:val="0"/>
        <w:keepLines w:val="0"/>
        <w:widowControl w:val="0"/>
        <w:shd w:val="clear" w:color="auto" w:fill="auto"/>
        <w:bidi w:val="0"/>
        <w:spacing w:before="0" w:after="160" w:line="403" w:lineRule="exact"/>
        <w:ind w:left="0" w:right="0" w:firstLine="0"/>
        <w:jc w:val="left"/>
      </w:pP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范围</w:t>
      </w:r>
    </w:p>
    <w:p>
      <w:pPr>
        <w:pStyle w:val="Bodytext10"/>
        <w:keepNext w:val="0"/>
        <w:keepLines w:val="0"/>
        <w:widowControl w:val="0"/>
        <w:shd w:val="clear" w:color="auto" w:fill="auto"/>
        <w:tabs>
          <w:tab w:val="left" w:pos="8328"/>
        </w:tabs>
        <w:bidi w:val="0"/>
        <w:spacing w:before="0" w:after="0" w:line="389" w:lineRule="exact"/>
        <w:ind w:left="0" w:right="0" w:firstLine="420"/>
        <w:jc w:val="both"/>
      </w:pPr>
      <w:r>
        <w:rPr>
          <w:color w:val="000000"/>
          <w:spacing w:val="0"/>
          <w:w w:val="100"/>
          <w:position w:val="0"/>
        </w:rPr>
        <w:t>本标准规定了森林资源资产评估报告编制的术语和定义、总则、森林资源资产评估报告书、评 估说明、森林资源资产统计表、评估表、图及产权证明和评估报告打印与装订等内容。</w:t>
        <w:tab/>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80" w:line="389" w:lineRule="exact"/>
        <w:ind w:left="0" w:right="0" w:firstLine="420"/>
        <w:jc w:val="both"/>
      </w:pPr>
      <w:r>
        <w:rPr>
          <w:color w:val="000000"/>
          <w:spacing w:val="0"/>
          <w:w w:val="100"/>
          <w:position w:val="0"/>
        </w:rPr>
        <w:t>本标准适用于森林资源资产评估报告的编制。</w:t>
      </w:r>
    </w:p>
    <w:p>
      <w:pPr>
        <w:pStyle w:val="Bodytext10"/>
        <w:keepNext w:val="0"/>
        <w:keepLines w:val="0"/>
        <w:widowControl w:val="0"/>
        <w:shd w:val="clear" w:color="auto" w:fill="auto"/>
        <w:bidi w:val="0"/>
        <w:spacing w:before="0" w:after="160" w:line="403" w:lineRule="exact"/>
        <w:ind w:left="0" w:right="0" w:firstLine="0"/>
        <w:jc w:val="left"/>
      </w:pPr>
      <w:r>
        <w:rPr>
          <w:rFonts w:ascii="Times New Roman" w:eastAsia="Times New Roman" w:hAnsi="Times New Roman" w:cs="Times New Roman"/>
          <w:color w:val="000000"/>
          <w:spacing w:val="0"/>
          <w:w w:val="100"/>
          <w:position w:val="0"/>
          <w:sz w:val="20"/>
          <w:szCs w:val="20"/>
        </w:rPr>
        <w:t>2</w:t>
      </w:r>
      <w:r>
        <w:rPr>
          <w:color w:val="000000"/>
          <w:spacing w:val="0"/>
          <w:w w:val="100"/>
          <w:position w:val="0"/>
        </w:rPr>
        <w:t>术语和定义</w:t>
      </w:r>
    </w:p>
    <w:p>
      <w:pPr>
        <w:pStyle w:val="Bodytext10"/>
        <w:keepNext w:val="0"/>
        <w:keepLines w:val="0"/>
        <w:widowControl w:val="0"/>
        <w:shd w:val="clear" w:color="auto" w:fill="auto"/>
        <w:bidi w:val="0"/>
        <w:spacing w:before="0" w:after="160" w:line="403" w:lineRule="exact"/>
        <w:ind w:left="0" w:right="0"/>
        <w:jc w:val="both"/>
      </w:pPr>
      <w:r>
        <w:rPr>
          <w:color w:val="000000"/>
          <w:spacing w:val="0"/>
          <w:w w:val="100"/>
          <w:position w:val="0"/>
        </w:rPr>
        <w:t>下列术语和定义适用于本标准。</w:t>
      </w:r>
    </w:p>
    <w:p>
      <w:pPr>
        <w:pStyle w:val="Bodytext10"/>
        <w:keepNext w:val="0"/>
        <w:keepLines w:val="0"/>
        <w:widowControl w:val="0"/>
        <w:shd w:val="clear" w:color="auto" w:fill="auto"/>
        <w:bidi w:val="0"/>
        <w:spacing w:before="0" w:after="0" w:line="425"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2.1</w:t>
      </w:r>
      <w:r>
        <w:rPr>
          <w:color w:val="000000"/>
          <w:spacing w:val="0"/>
          <w:w w:val="100"/>
          <w:position w:val="0"/>
        </w:rPr>
        <w:t>森林资源资产</w:t>
      </w:r>
    </w:p>
    <w:p>
      <w:pPr>
        <w:pStyle w:val="Bodytext10"/>
        <w:keepNext w:val="0"/>
        <w:keepLines w:val="0"/>
        <w:widowControl w:val="0"/>
        <w:shd w:val="clear" w:color="auto" w:fill="auto"/>
        <w:bidi w:val="0"/>
        <w:spacing w:before="0" w:after="160" w:line="406" w:lineRule="exact"/>
        <w:ind w:left="0" w:right="0" w:firstLine="420"/>
        <w:jc w:val="both"/>
      </w:pPr>
      <w:r>
        <w:rPr>
          <w:color w:val="000000"/>
          <w:spacing w:val="0"/>
          <w:w w:val="100"/>
          <w:position w:val="0"/>
        </w:rPr>
        <w:t>指在现有认识和科学水平条件下，具有明确的产权关系，为特定的法定主体所占有，并实施有 效控制与经营利用，可进入市场运用货币予以衡量，从而给其产权主体带来一定经济利益的森林资 源。</w:t>
      </w:r>
    </w:p>
    <w:p>
      <w:pPr>
        <w:pStyle w:val="Bodytext10"/>
        <w:keepNext w:val="0"/>
        <w:keepLines w:val="0"/>
        <w:widowControl w:val="0"/>
        <w:numPr>
          <w:ilvl w:val="0"/>
          <w:numId w:val="2"/>
        </w:numPr>
        <w:shd w:val="clear" w:color="auto" w:fill="auto"/>
        <w:tabs>
          <w:tab w:val="left" w:pos="334"/>
        </w:tabs>
        <w:bidi w:val="0"/>
        <w:spacing w:before="0" w:after="0" w:line="420" w:lineRule="auto"/>
        <w:ind w:left="0" w:right="0" w:firstLine="0"/>
        <w:jc w:val="left"/>
      </w:pPr>
      <w:bookmarkStart w:id="20" w:name="bookmark20"/>
      <w:bookmarkEnd w:id="20"/>
      <w:r>
        <w:rPr>
          <w:rFonts w:ascii="Times New Roman" w:eastAsia="Times New Roman" w:hAnsi="Times New Roman" w:cs="Times New Roman"/>
          <w:color w:val="000000"/>
          <w:spacing w:val="0"/>
          <w:w w:val="100"/>
          <w:position w:val="0"/>
          <w:sz w:val="20"/>
          <w:szCs w:val="20"/>
        </w:rPr>
        <w:t>2</w:t>
      </w:r>
      <w:r>
        <w:rPr>
          <w:color w:val="000000"/>
          <w:spacing w:val="0"/>
          <w:w w:val="100"/>
          <w:position w:val="0"/>
        </w:rPr>
        <w:t>森林资源资产评估</w:t>
      </w:r>
    </w:p>
    <w:p>
      <w:pPr>
        <w:pStyle w:val="Bodytext10"/>
        <w:keepNext w:val="0"/>
        <w:keepLines w:val="0"/>
        <w:widowControl w:val="0"/>
        <w:shd w:val="clear" w:color="auto" w:fill="auto"/>
        <w:bidi w:val="0"/>
        <w:spacing w:before="0" w:after="80" w:line="446" w:lineRule="exact"/>
        <w:ind w:left="0" w:right="0" w:firstLine="420"/>
        <w:jc w:val="both"/>
      </w:pPr>
      <w:r>
        <w:rPr>
          <w:color w:val="000000"/>
          <w:spacing w:val="0"/>
          <w:w w:val="100"/>
          <w:position w:val="0"/>
        </w:rPr>
        <w:t>指根据特定的目的、遵循社会客观经济规律和公允的原则，按照国家法定的标准和程序，运用 科学可行的方法，以统一的货币单位，对具有资产属性的森林资源实体以及预期收益进行的评定估 算。</w:t>
      </w:r>
    </w:p>
    <w:p>
      <w:pPr>
        <w:pStyle w:val="Bodytext10"/>
        <w:keepNext w:val="0"/>
        <w:keepLines w:val="0"/>
        <w:widowControl w:val="0"/>
        <w:numPr>
          <w:ilvl w:val="0"/>
          <w:numId w:val="3"/>
        </w:numPr>
        <w:shd w:val="clear" w:color="auto" w:fill="auto"/>
        <w:tabs>
          <w:tab w:val="left" w:pos="334"/>
        </w:tabs>
        <w:bidi w:val="0"/>
        <w:spacing w:before="0" w:after="0" w:line="420" w:lineRule="auto"/>
        <w:ind w:left="0" w:right="0" w:firstLine="0"/>
        <w:jc w:val="left"/>
      </w:pPr>
      <w:bookmarkStart w:id="21" w:name="bookmark21"/>
      <w:bookmarkEnd w:id="21"/>
      <w:r>
        <w:rPr>
          <w:rFonts w:ascii="Times New Roman" w:eastAsia="Times New Roman" w:hAnsi="Times New Roman" w:cs="Times New Roman"/>
          <w:color w:val="000000"/>
          <w:spacing w:val="0"/>
          <w:w w:val="100"/>
          <w:position w:val="0"/>
          <w:sz w:val="20"/>
          <w:szCs w:val="20"/>
        </w:rPr>
        <w:t>3</w:t>
      </w:r>
      <w:r>
        <w:rPr>
          <w:color w:val="000000"/>
          <w:spacing w:val="0"/>
          <w:w w:val="100"/>
          <w:position w:val="0"/>
        </w:rPr>
        <w:t>林木资产</w:t>
      </w:r>
    </w:p>
    <w:p>
      <w:pPr>
        <w:pStyle w:val="Bodytext10"/>
        <w:keepNext w:val="0"/>
        <w:keepLines w:val="0"/>
        <w:widowControl w:val="0"/>
        <w:shd w:val="clear" w:color="auto" w:fill="auto"/>
        <w:bidi w:val="0"/>
        <w:spacing w:before="0" w:after="160" w:line="403" w:lineRule="exact"/>
        <w:ind w:left="0" w:right="0"/>
        <w:jc w:val="both"/>
      </w:pPr>
      <w:r>
        <w:rPr>
          <w:color w:val="000000"/>
          <w:spacing w:val="0"/>
          <w:w w:val="100"/>
          <w:position w:val="0"/>
        </w:rPr>
        <w:t>指在林地上尚未被伐倒的麻木，即活立木和枯立木的资产。</w:t>
      </w:r>
    </w:p>
    <w:p>
      <w:pPr>
        <w:pStyle w:val="Bodytext10"/>
        <w:keepNext w:val="0"/>
        <w:keepLines w:val="0"/>
        <w:widowControl w:val="0"/>
        <w:numPr>
          <w:ilvl w:val="0"/>
          <w:numId w:val="4"/>
        </w:numPr>
        <w:shd w:val="clear" w:color="auto" w:fill="auto"/>
        <w:tabs>
          <w:tab w:val="left" w:pos="334"/>
        </w:tabs>
        <w:bidi w:val="0"/>
        <w:spacing w:before="0" w:after="0" w:line="420" w:lineRule="auto"/>
        <w:ind w:left="0" w:right="0" w:firstLine="0"/>
        <w:jc w:val="left"/>
      </w:pPr>
      <w:bookmarkStart w:id="22" w:name="bookmark22"/>
      <w:bookmarkEnd w:id="22"/>
      <w:r>
        <w:rPr>
          <w:rFonts w:ascii="Times New Roman" w:eastAsia="Times New Roman" w:hAnsi="Times New Roman" w:cs="Times New Roman"/>
          <w:color w:val="000000"/>
          <w:spacing w:val="0"/>
          <w:w w:val="100"/>
          <w:position w:val="0"/>
          <w:sz w:val="20"/>
          <w:szCs w:val="20"/>
        </w:rPr>
        <w:t>4</w:t>
      </w:r>
      <w:r>
        <w:rPr>
          <w:color w:val="000000"/>
          <w:spacing w:val="0"/>
          <w:w w:val="100"/>
          <w:position w:val="0"/>
        </w:rPr>
        <w:t>林地资产</w:t>
      </w:r>
    </w:p>
    <w:p>
      <w:pPr>
        <w:pStyle w:val="Bodytext10"/>
        <w:keepNext w:val="0"/>
        <w:keepLines w:val="0"/>
        <w:widowControl w:val="0"/>
        <w:shd w:val="clear" w:color="auto" w:fill="auto"/>
        <w:bidi w:val="0"/>
        <w:spacing w:before="0" w:after="80" w:line="403" w:lineRule="exact"/>
        <w:ind w:left="0" w:right="0" w:firstLine="420"/>
        <w:jc w:val="both"/>
      </w:pPr>
      <w:r>
        <w:rPr>
          <w:color w:val="000000"/>
          <w:spacing w:val="0"/>
          <w:w w:val="100"/>
          <w:position w:val="0"/>
        </w:rPr>
        <w:t>指郁闭度在</w:t>
      </w:r>
      <w:r>
        <w:rPr>
          <w:rFonts w:ascii="Times New Roman" w:eastAsia="Times New Roman" w:hAnsi="Times New Roman" w:cs="Times New Roman"/>
          <w:color w:val="000000"/>
          <w:spacing w:val="0"/>
          <w:w w:val="100"/>
          <w:position w:val="0"/>
          <w:sz w:val="20"/>
          <w:szCs w:val="20"/>
          <w:lang w:val="en-US" w:eastAsia="en-US" w:bidi="en-US"/>
        </w:rPr>
        <w:t>0.2</w:t>
      </w:r>
      <w:r>
        <w:rPr>
          <w:color w:val="000000"/>
          <w:spacing w:val="0"/>
          <w:w w:val="100"/>
          <w:position w:val="0"/>
        </w:rPr>
        <w:t>以上的乔木林地、疏林地、灌木林地、釆伐迹地、火烧迹、苗圃地和国家规划 的宜林地的资产。</w:t>
      </w:r>
    </w:p>
    <w:p>
      <w:pPr>
        <w:pStyle w:val="Bodytext10"/>
        <w:keepNext w:val="0"/>
        <w:keepLines w:val="0"/>
        <w:widowControl w:val="0"/>
        <w:shd w:val="clear" w:color="auto" w:fill="auto"/>
        <w:bidi w:val="0"/>
        <w:spacing w:before="0" w:after="360" w:line="403" w:lineRule="exact"/>
        <w:ind w:left="0" w:right="0" w:firstLine="0"/>
        <w:jc w:val="left"/>
      </w:pPr>
      <w:r>
        <w:rPr>
          <w:rFonts w:ascii="Times New Roman" w:eastAsia="Times New Roman" w:hAnsi="Times New Roman" w:cs="Times New Roman"/>
          <w:color w:val="000000"/>
          <w:spacing w:val="0"/>
          <w:w w:val="100"/>
          <w:position w:val="0"/>
          <w:sz w:val="20"/>
          <w:szCs w:val="20"/>
        </w:rPr>
        <w:t>3</w:t>
      </w:r>
      <w:r>
        <w:rPr>
          <w:color w:val="000000"/>
          <w:spacing w:val="0"/>
          <w:w w:val="100"/>
          <w:position w:val="0"/>
        </w:rPr>
        <w:t>总则</w:t>
      </w:r>
    </w:p>
    <w:p>
      <w:pPr>
        <w:pStyle w:val="Bodytext10"/>
        <w:keepNext w:val="0"/>
        <w:keepLines w:val="0"/>
        <w:widowControl w:val="0"/>
        <w:numPr>
          <w:ilvl w:val="0"/>
          <w:numId w:val="4"/>
        </w:numPr>
        <w:shd w:val="clear" w:color="auto" w:fill="auto"/>
        <w:tabs>
          <w:tab w:val="left" w:pos="334"/>
        </w:tabs>
        <w:bidi w:val="0"/>
        <w:spacing w:before="0" w:after="0" w:line="420" w:lineRule="auto"/>
        <w:ind w:left="0" w:right="0" w:firstLine="0"/>
        <w:jc w:val="left"/>
      </w:pPr>
      <w:bookmarkStart w:id="23" w:name="bookmark23"/>
      <w:bookmarkEnd w:id="23"/>
      <w:r>
        <w:rPr>
          <w:rFonts w:ascii="Times New Roman" w:eastAsia="Times New Roman" w:hAnsi="Times New Roman" w:cs="Times New Roman"/>
          <w:color w:val="000000"/>
          <w:spacing w:val="0"/>
          <w:w w:val="100"/>
          <w:position w:val="0"/>
          <w:sz w:val="20"/>
          <w:szCs w:val="20"/>
        </w:rPr>
        <w:t>1</w:t>
      </w:r>
      <w:r>
        <w:rPr>
          <w:color w:val="000000"/>
          <w:spacing w:val="0"/>
          <w:w w:val="100"/>
          <w:position w:val="0"/>
        </w:rPr>
        <w:t>森林资源资产评估报告组成</w:t>
      </w:r>
    </w:p>
    <w:p>
      <w:pPr>
        <w:pStyle w:val="Bodytext10"/>
        <w:keepNext w:val="0"/>
        <w:keepLines w:val="0"/>
        <w:widowControl w:val="0"/>
        <w:shd w:val="clear" w:color="auto" w:fill="auto"/>
        <w:bidi w:val="0"/>
        <w:spacing w:before="0" w:after="160" w:line="379" w:lineRule="exact"/>
        <w:ind w:left="0" w:right="0" w:firstLine="420"/>
        <w:jc w:val="both"/>
      </w:pPr>
      <w:r>
        <w:rPr>
          <w:color w:val="000000"/>
          <w:spacing w:val="0"/>
          <w:w w:val="100"/>
          <w:position w:val="0"/>
        </w:rPr>
        <w:t>森林资源资产评估报告由森林资源资产评估报告书、森林资源资产评估说明以及森林资源资产 统计表、评估表、图及产权证明组成。</w:t>
      </w:r>
    </w:p>
    <w:p>
      <w:pPr>
        <w:pStyle w:val="Bodytext10"/>
        <w:keepNext w:val="0"/>
        <w:keepLines w:val="0"/>
        <w:widowControl w:val="0"/>
        <w:shd w:val="clear" w:color="auto" w:fill="auto"/>
        <w:bidi w:val="0"/>
        <w:spacing w:before="0" w:after="0" w:line="39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3.1.1</w:t>
      </w:r>
      <w:r>
        <w:rPr>
          <w:color w:val="000000"/>
          <w:spacing w:val="0"/>
          <w:w w:val="100"/>
          <w:position w:val="0"/>
        </w:rPr>
        <w:t>森林资源资产评估报告书，其文件组成见附录</w:t>
      </w:r>
      <w:r>
        <w:rPr>
          <w:rFonts w:ascii="Times New Roman" w:eastAsia="Times New Roman" w:hAnsi="Times New Roman" w:cs="Times New Roman"/>
          <w:color w:val="000000"/>
          <w:spacing w:val="0"/>
          <w:w w:val="100"/>
          <w:position w:val="0"/>
          <w:sz w:val="20"/>
          <w:szCs w:val="20"/>
          <w:lang w:val="en-US" w:eastAsia="en-US" w:bidi="en-US"/>
        </w:rPr>
        <w:t xml:space="preserve">A </w:t>
      </w:r>
      <w:r>
        <w:rPr>
          <w:color w:val="000000"/>
          <w:spacing w:val="0"/>
          <w:w w:val="100"/>
          <w:position w:val="0"/>
        </w:rPr>
        <w:t>（规范性附录）。</w:t>
      </w:r>
    </w:p>
    <w:p>
      <w:pPr>
        <w:pStyle w:val="Bodytext10"/>
        <w:keepNext w:val="0"/>
        <w:keepLines w:val="0"/>
        <w:widowControl w:val="0"/>
        <w:shd w:val="clear" w:color="auto" w:fill="auto"/>
        <w:bidi w:val="0"/>
        <w:spacing w:before="0" w:after="0" w:line="39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3.1.2</w:t>
      </w:r>
      <w:r>
        <w:rPr>
          <w:color w:val="000000"/>
          <w:spacing w:val="0"/>
          <w:w w:val="100"/>
          <w:position w:val="0"/>
        </w:rPr>
        <w:t>森林资源资产评估说明，其文件组成见附录</w:t>
      </w:r>
      <w:r>
        <w:rPr>
          <w:rFonts w:ascii="Times New Roman" w:eastAsia="Times New Roman" w:hAnsi="Times New Roman" w:cs="Times New Roman"/>
          <w:color w:val="000000"/>
          <w:spacing w:val="0"/>
          <w:w w:val="100"/>
          <w:position w:val="0"/>
          <w:sz w:val="20"/>
          <w:szCs w:val="20"/>
          <w:lang w:val="en-US" w:eastAsia="en-US" w:bidi="en-US"/>
        </w:rPr>
        <w:t xml:space="preserve">B </w:t>
      </w:r>
      <w:r>
        <w:rPr>
          <w:color w:val="000000"/>
          <w:spacing w:val="0"/>
          <w:w w:val="100"/>
          <w:position w:val="0"/>
        </w:rPr>
        <w:t>（规范性附录）。</w:t>
      </w:r>
    </w:p>
    <w:p>
      <w:pPr>
        <w:pStyle w:val="Bodytext10"/>
        <w:keepNext w:val="0"/>
        <w:keepLines w:val="0"/>
        <w:widowControl w:val="0"/>
        <w:numPr>
          <w:ilvl w:val="0"/>
          <w:numId w:val="3"/>
        </w:numPr>
        <w:shd w:val="clear" w:color="auto" w:fill="auto"/>
        <w:tabs>
          <w:tab w:val="left" w:pos="334"/>
        </w:tabs>
        <w:bidi w:val="0"/>
        <w:spacing w:before="0" w:after="0" w:line="396" w:lineRule="auto"/>
        <w:ind w:left="0" w:right="0" w:firstLine="0"/>
        <w:jc w:val="left"/>
      </w:pPr>
      <w:bookmarkStart w:id="24" w:name="bookmark24"/>
      <w:bookmarkEnd w:id="24"/>
      <w:r>
        <w:rPr>
          <w:rFonts w:ascii="Times New Roman" w:eastAsia="Times New Roman" w:hAnsi="Times New Roman" w:cs="Times New Roman"/>
          <w:color w:val="000000"/>
          <w:spacing w:val="0"/>
          <w:w w:val="100"/>
          <w:position w:val="0"/>
          <w:sz w:val="20"/>
          <w:szCs w:val="20"/>
          <w:lang w:val="en-US" w:eastAsia="en-US" w:bidi="en-US"/>
        </w:rPr>
        <w:t>1.3</w:t>
      </w:r>
      <w:r>
        <w:rPr>
          <w:color w:val="000000"/>
          <w:spacing w:val="0"/>
          <w:w w:val="100"/>
          <w:position w:val="0"/>
        </w:rPr>
        <w:t>森林资源资产统计表、评信表、图及产权证明，表的格式见附录</w:t>
      </w:r>
      <w:r>
        <w:rPr>
          <w:rFonts w:ascii="Times New Roman" w:eastAsia="Times New Roman" w:hAnsi="Times New Roman" w:cs="Times New Roman"/>
          <w:color w:val="000000"/>
          <w:spacing w:val="0"/>
          <w:w w:val="100"/>
          <w:position w:val="0"/>
          <w:sz w:val="20"/>
          <w:szCs w:val="20"/>
          <w:lang w:val="en-US" w:eastAsia="en-US" w:bidi="en-US"/>
        </w:rPr>
        <w:t xml:space="preserve">C </w:t>
      </w:r>
      <w:r>
        <w:rPr>
          <w:color w:val="000000"/>
          <w:spacing w:val="0"/>
          <w:w w:val="100"/>
          <w:position w:val="0"/>
        </w:rPr>
        <w:t>（规范性附录）。</w:t>
      </w:r>
    </w:p>
    <w:p>
      <w:pPr>
        <w:pStyle w:val="Bodytext10"/>
        <w:keepNext w:val="0"/>
        <w:keepLines w:val="0"/>
        <w:widowControl w:val="0"/>
        <w:shd w:val="clear" w:color="auto" w:fill="auto"/>
        <w:bidi w:val="0"/>
        <w:spacing w:before="0" w:after="0" w:line="39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3.2</w:t>
      </w:r>
      <w:r>
        <w:rPr>
          <w:color w:val="000000"/>
          <w:spacing w:val="0"/>
          <w:w w:val="100"/>
          <w:position w:val="0"/>
        </w:rPr>
        <w:t>森林资源资产评估报告书的陈述不得带有任何诱导、推荐性、介绍性的陈述内容。</w:t>
      </w:r>
    </w:p>
    <w:p>
      <w:pPr>
        <w:pStyle w:val="Bodytext10"/>
        <w:keepNext w:val="0"/>
        <w:keepLines w:val="0"/>
        <w:widowControl w:val="0"/>
        <w:shd w:val="clear" w:color="auto" w:fill="auto"/>
        <w:bidi w:val="0"/>
        <w:spacing w:before="0" w:after="160" w:line="420" w:lineRule="auto"/>
        <w:ind w:left="0" w:right="0" w:firstLine="0"/>
        <w:jc w:val="left"/>
        <w:sectPr>
          <w:headerReference w:type="even" r:id="rId28"/>
          <w:headerReference w:type="default" r:id="rId29"/>
          <w:footerReference w:type="even" r:id="rId30"/>
          <w:footerReference w:type="default" r:id="rId31"/>
          <w:headerReference w:type="first" r:id="rId32"/>
          <w:footerReference w:type="first" r:id="rId33"/>
          <w:pgSz w:w="11900" w:h="16840"/>
          <w:pgMar w:top="1270" w:right="1460" w:bottom="1937" w:left="1446" w:header="0" w:footer="3" w:gutter="0"/>
          <w:pgNumType w:start="5"/>
          <w:cols w:space="720"/>
          <w:noEndnote/>
          <w:rtlGutter w:val="0"/>
          <w:docGrid w:linePitch="360"/>
        </w:sectPr>
      </w:pPr>
      <w:r>
        <w:rPr>
          <w:rFonts w:ascii="Times New Roman" w:eastAsia="Times New Roman" w:hAnsi="Times New Roman" w:cs="Times New Roman"/>
          <w:color w:val="000000"/>
          <w:spacing w:val="0"/>
          <w:w w:val="100"/>
          <w:position w:val="0"/>
          <w:sz w:val="20"/>
          <w:szCs w:val="20"/>
          <w:lang w:val="en-US" w:eastAsia="en-US" w:bidi="en-US"/>
        </w:rPr>
        <w:t>3.3</w:t>
      </w:r>
      <w:r>
        <w:rPr>
          <w:color w:val="000000"/>
          <w:spacing w:val="0"/>
          <w:w w:val="100"/>
          <w:position w:val="0"/>
        </w:rPr>
        <w:t>森林资源资产评估报告的内容应真实完整，未作虚假陈述，也未遗漏重大事项。</w:t>
      </w:r>
    </w:p>
    <w:p>
      <w:pPr>
        <w:pStyle w:val="Bodytext10"/>
        <w:keepNext w:val="0"/>
        <w:keepLines w:val="0"/>
        <w:widowControl w:val="0"/>
        <w:shd w:val="clear" w:color="auto" w:fill="auto"/>
        <w:bidi w:val="0"/>
        <w:spacing w:before="0" w:after="0" w:line="363"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3.4</w:t>
      </w:r>
      <w:r>
        <w:rPr>
          <w:color w:val="000000"/>
          <w:spacing w:val="0"/>
          <w:w w:val="100"/>
          <w:position w:val="0"/>
        </w:rPr>
        <w:t>评估说明是森林资源资产评估报告申请审查确认材料的必备部分，评估说明中所揭示的内容应 同评估报告所阐述的内容一致。</w:t>
      </w:r>
    </w:p>
    <w:p>
      <w:pPr>
        <w:pStyle w:val="Bodytext10"/>
        <w:keepNext w:val="0"/>
        <w:keepLines w:val="0"/>
        <w:widowControl w:val="0"/>
        <w:shd w:val="clear" w:color="auto" w:fill="auto"/>
        <w:bidi w:val="0"/>
        <w:spacing w:before="0" w:after="120" w:line="363"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3.5</w:t>
      </w:r>
      <w:r>
        <w:rPr>
          <w:color w:val="000000"/>
          <w:spacing w:val="0"/>
          <w:w w:val="100"/>
          <w:position w:val="0"/>
        </w:rPr>
        <w:t>森林资源资产评估报告的数据应采用阿拉伯数字，森林资源资产评估报告应用中文撰写打印， 如需出具外文评估报告，外文评估报告的内容和结果应与中文报告一致,并须在评估报告中注明以. 中文报告为准。</w:t>
      </w:r>
    </w:p>
    <w:p>
      <w:pPr>
        <w:pStyle w:val="Bodytext10"/>
        <w:keepNext w:val="0"/>
        <w:keepLines w:val="0"/>
        <w:widowControl w:val="0"/>
        <w:shd w:val="clear" w:color="auto" w:fill="auto"/>
        <w:bidi w:val="0"/>
        <w:spacing w:before="0" w:after="160" w:line="382" w:lineRule="exact"/>
        <w:ind w:left="0" w:right="0" w:firstLine="0"/>
        <w:jc w:val="left"/>
      </w:pPr>
      <w:r>
        <w:rPr>
          <w:rFonts w:ascii="Times New Roman" w:eastAsia="Times New Roman" w:hAnsi="Times New Roman" w:cs="Times New Roman"/>
          <w:color w:val="000000"/>
          <w:spacing w:val="0"/>
          <w:w w:val="100"/>
          <w:position w:val="0"/>
          <w:sz w:val="20"/>
          <w:szCs w:val="20"/>
        </w:rPr>
        <w:t>4</w:t>
      </w:r>
      <w:r>
        <w:rPr>
          <w:color w:val="000000"/>
          <w:spacing w:val="0"/>
          <w:w w:val="100"/>
          <w:position w:val="0"/>
        </w:rPr>
        <w:t>森林资源资产评估报告书</w:t>
      </w:r>
    </w:p>
    <w:p>
      <w:pPr>
        <w:pStyle w:val="Bodytext10"/>
        <w:keepNext w:val="0"/>
        <w:keepLines w:val="0"/>
        <w:widowControl w:val="0"/>
        <w:shd w:val="clear" w:color="auto" w:fill="auto"/>
        <w:bidi w:val="0"/>
        <w:spacing w:before="0" w:after="240" w:line="382"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4.1</w:t>
      </w:r>
      <w:r>
        <w:rPr>
          <w:color w:val="000000"/>
          <w:spacing w:val="0"/>
          <w:w w:val="100"/>
          <w:position w:val="0"/>
        </w:rPr>
        <w:t>评估报告书封面及目录</w:t>
      </w:r>
    </w:p>
    <w:p>
      <w:pPr>
        <w:pStyle w:val="Bodytext10"/>
        <w:keepNext w:val="0"/>
        <w:keepLines w:val="0"/>
        <w:widowControl w:val="0"/>
        <w:shd w:val="clear" w:color="auto" w:fill="auto"/>
        <w:bidi w:val="0"/>
        <w:spacing w:before="0" w:after="0" w:line="386"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4.1.1</w:t>
      </w:r>
      <w:r>
        <w:rPr>
          <w:color w:val="000000"/>
          <w:spacing w:val="0"/>
          <w:w w:val="100"/>
          <w:position w:val="0"/>
        </w:rPr>
        <w:t>评估报告书封面应载明下列内容</w:t>
      </w:r>
    </w:p>
    <w:p>
      <w:pPr>
        <w:pStyle w:val="Bodytext10"/>
        <w:keepNext w:val="0"/>
        <w:keepLines w:val="0"/>
        <w:widowControl w:val="0"/>
        <w:shd w:val="clear" w:color="auto" w:fill="auto"/>
        <w:tabs>
          <w:tab w:val="left" w:pos="758"/>
        </w:tabs>
        <w:bidi w:val="0"/>
        <w:spacing w:before="0" w:after="0" w:line="370" w:lineRule="exact"/>
        <w:ind w:left="0" w:right="0"/>
        <w:jc w:val="left"/>
      </w:pPr>
      <w:bookmarkStart w:id="25" w:name="bookmark25"/>
      <w:r>
        <w:rPr>
          <w:rFonts w:ascii="Times New Roman" w:eastAsia="Times New Roman" w:hAnsi="Times New Roman" w:cs="Times New Roman"/>
          <w:color w:val="000000"/>
          <w:spacing w:val="0"/>
          <w:w w:val="100"/>
          <w:position w:val="0"/>
          <w:sz w:val="20"/>
          <w:szCs w:val="20"/>
          <w:lang w:val="en-US" w:eastAsia="en-US" w:bidi="en-US"/>
        </w:rPr>
        <w:t>a</w:t>
      </w:r>
      <w:bookmarkEnd w:id="2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评估项目名称；</w:t>
      </w:r>
    </w:p>
    <w:p>
      <w:pPr>
        <w:pStyle w:val="Bodytext10"/>
        <w:keepNext w:val="0"/>
        <w:keepLines w:val="0"/>
        <w:widowControl w:val="0"/>
        <w:shd w:val="clear" w:color="auto" w:fill="auto"/>
        <w:tabs>
          <w:tab w:val="left" w:pos="763"/>
        </w:tabs>
        <w:bidi w:val="0"/>
        <w:spacing w:before="0" w:after="0" w:line="370" w:lineRule="exact"/>
        <w:ind w:left="0" w:right="0"/>
        <w:jc w:val="left"/>
      </w:pPr>
      <w:bookmarkStart w:id="26" w:name="bookmark26"/>
      <w:r>
        <w:rPr>
          <w:rFonts w:ascii="Times New Roman" w:eastAsia="Times New Roman" w:hAnsi="Times New Roman" w:cs="Times New Roman"/>
          <w:color w:val="000000"/>
          <w:spacing w:val="0"/>
          <w:w w:val="100"/>
          <w:position w:val="0"/>
          <w:sz w:val="20"/>
          <w:szCs w:val="20"/>
          <w:lang w:val="en-US" w:eastAsia="en-US" w:bidi="en-US"/>
        </w:rPr>
        <w:t>b</w:t>
      </w:r>
      <w:bookmarkEnd w:id="2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资产评估机构出具评估报告书应注明由年度及报告书序号组成的编号；</w:t>
      </w:r>
    </w:p>
    <w:p>
      <w:pPr>
        <w:pStyle w:val="Bodytext10"/>
        <w:keepNext w:val="0"/>
        <w:keepLines w:val="0"/>
        <w:widowControl w:val="0"/>
        <w:shd w:val="clear" w:color="auto" w:fill="auto"/>
        <w:tabs>
          <w:tab w:val="left" w:pos="763"/>
        </w:tabs>
        <w:bidi w:val="0"/>
        <w:spacing w:before="0" w:after="0" w:line="370" w:lineRule="exact"/>
        <w:ind w:left="0" w:right="0"/>
        <w:jc w:val="both"/>
      </w:pPr>
      <w:bookmarkStart w:id="27" w:name="bookmark27"/>
      <w:r>
        <w:rPr>
          <w:rFonts w:ascii="Times New Roman" w:eastAsia="Times New Roman" w:hAnsi="Times New Roman" w:cs="Times New Roman"/>
          <w:color w:val="000000"/>
          <w:spacing w:val="0"/>
          <w:w w:val="100"/>
          <w:position w:val="0"/>
          <w:sz w:val="20"/>
          <w:szCs w:val="20"/>
          <w:lang w:val="en-US" w:eastAsia="en-US" w:bidi="en-US"/>
        </w:rPr>
        <w:t>c</w:t>
      </w:r>
      <w:bookmarkEnd w:id="2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资产评估机构全称；</w:t>
      </w:r>
    </w:p>
    <w:p>
      <w:pPr>
        <w:pStyle w:val="Bodytext10"/>
        <w:keepNext w:val="0"/>
        <w:keepLines w:val="0"/>
        <w:widowControl w:val="0"/>
        <w:shd w:val="clear" w:color="auto" w:fill="auto"/>
        <w:tabs>
          <w:tab w:val="left" w:pos="763"/>
        </w:tabs>
        <w:bidi w:val="0"/>
        <w:spacing w:before="0" w:after="0" w:line="370" w:lineRule="exact"/>
        <w:ind w:left="0" w:right="0"/>
        <w:jc w:val="both"/>
      </w:pPr>
      <w:bookmarkStart w:id="28" w:name="bookmark28"/>
      <w:r>
        <w:rPr>
          <w:rFonts w:ascii="Times New Roman" w:eastAsia="Times New Roman" w:hAnsi="Times New Roman" w:cs="Times New Roman"/>
          <w:color w:val="000000"/>
          <w:spacing w:val="0"/>
          <w:w w:val="100"/>
          <w:position w:val="0"/>
          <w:sz w:val="20"/>
          <w:szCs w:val="20"/>
          <w:lang w:val="en-US" w:eastAsia="en-US" w:bidi="en-US"/>
        </w:rPr>
        <w:t>d</w:t>
      </w:r>
      <w:bookmarkEnd w:id="2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评估报告提交日期。</w:t>
      </w:r>
    </w:p>
    <w:p>
      <w:pPr>
        <w:pStyle w:val="Bodytext10"/>
        <w:keepNext w:val="0"/>
        <w:keepLines w:val="0"/>
        <w:widowControl w:val="0"/>
        <w:shd w:val="clear" w:color="auto" w:fill="auto"/>
        <w:bidi w:val="0"/>
        <w:spacing w:before="0" w:after="240" w:line="370"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4.1.2</w:t>
      </w:r>
      <w:r>
        <w:rPr>
          <w:color w:val="000000"/>
          <w:spacing w:val="0"/>
          <w:w w:val="100"/>
          <w:position w:val="0"/>
        </w:rPr>
        <w:t>评估报告书的目录在评估报告书的封二上排印，包括每一章节的标题及相应的页码，在评估 报告书扉页上打印该册目录。</w:t>
      </w:r>
    </w:p>
    <w:p>
      <w:pPr>
        <w:pStyle w:val="Bodytext10"/>
        <w:keepNext w:val="0"/>
        <w:keepLines w:val="0"/>
        <w:widowControl w:val="0"/>
        <w:numPr>
          <w:ilvl w:val="0"/>
          <w:numId w:val="5"/>
        </w:numPr>
        <w:shd w:val="clear" w:color="auto" w:fill="auto"/>
        <w:tabs>
          <w:tab w:val="left" w:pos="334"/>
        </w:tabs>
        <w:bidi w:val="0"/>
        <w:spacing w:before="0" w:after="0" w:line="398" w:lineRule="auto"/>
        <w:ind w:left="0" w:right="0" w:firstLine="0"/>
        <w:jc w:val="left"/>
      </w:pPr>
      <w:bookmarkStart w:id="29" w:name="bookmark29"/>
      <w:bookmarkEnd w:id="29"/>
      <w:r>
        <w:rPr>
          <w:rFonts w:ascii="Times New Roman" w:eastAsia="Times New Roman" w:hAnsi="Times New Roman" w:cs="Times New Roman"/>
          <w:color w:val="000000"/>
          <w:spacing w:val="0"/>
          <w:w w:val="100"/>
          <w:position w:val="0"/>
          <w:sz w:val="20"/>
          <w:szCs w:val="20"/>
        </w:rPr>
        <w:t>2</w:t>
      </w:r>
      <w:r>
        <w:rPr>
          <w:color w:val="000000"/>
          <w:spacing w:val="0"/>
          <w:w w:val="100"/>
          <w:position w:val="0"/>
        </w:rPr>
        <w:t>评估报告书摘要</w:t>
      </w:r>
    </w:p>
    <w:p>
      <w:pPr>
        <w:pStyle w:val="Bodytext10"/>
        <w:keepNext w:val="0"/>
        <w:keepLines w:val="0"/>
        <w:widowControl w:val="0"/>
        <w:shd w:val="clear" w:color="auto" w:fill="auto"/>
        <w:bidi w:val="0"/>
        <w:spacing w:before="0" w:after="0" w:line="389"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4.2.1</w:t>
      </w:r>
      <w:r>
        <w:rPr>
          <w:color w:val="000000"/>
          <w:spacing w:val="0"/>
          <w:w w:val="100"/>
          <w:position w:val="0"/>
        </w:rPr>
        <w:t>将评估报告书中的关键内容摘要刊印在评估报告书正文之前，以便各有关方了解该评估报告 书提供的主要信息；</w:t>
      </w:r>
    </w:p>
    <w:p>
      <w:pPr>
        <w:pStyle w:val="Bodytext10"/>
        <w:keepNext w:val="0"/>
        <w:keepLines w:val="0"/>
        <w:widowControl w:val="0"/>
        <w:shd w:val="clear" w:color="auto" w:fill="auto"/>
        <w:bidi w:val="0"/>
        <w:spacing w:before="0" w:after="0" w:line="389"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4.2.2</w:t>
      </w:r>
      <w:r>
        <w:rPr>
          <w:color w:val="000000"/>
          <w:spacing w:val="0"/>
          <w:w w:val="100"/>
          <w:position w:val="0"/>
        </w:rPr>
        <w:t>按评估报告的统一格式要求由具有森林资源资产评估资格的人员</w:t>
      </w:r>
      <w:r>
        <w:rPr>
          <w:rFonts w:ascii="Times New Roman" w:eastAsia="Times New Roman" w:hAnsi="Times New Roman" w:cs="Times New Roman"/>
          <w:color w:val="000000"/>
          <w:spacing w:val="0"/>
          <w:w w:val="100"/>
          <w:position w:val="0"/>
          <w:sz w:val="20"/>
          <w:szCs w:val="20"/>
        </w:rPr>
        <w:t>2</w:t>
      </w:r>
      <w:r>
        <w:rPr>
          <w:color w:val="000000"/>
          <w:spacing w:val="0"/>
          <w:w w:val="100"/>
          <w:position w:val="0"/>
        </w:rPr>
        <w:t>名、评估报告审核人、评 估机构法定代表人及评估机构等签字盖章并署明提交日期；</w:t>
      </w:r>
    </w:p>
    <w:p>
      <w:pPr>
        <w:pStyle w:val="Bodytext10"/>
        <w:keepNext w:val="0"/>
        <w:keepLines w:val="0"/>
        <w:widowControl w:val="0"/>
        <w:numPr>
          <w:ilvl w:val="0"/>
          <w:numId w:val="6"/>
        </w:numPr>
        <w:shd w:val="clear" w:color="auto" w:fill="auto"/>
        <w:tabs>
          <w:tab w:val="left" w:pos="344"/>
        </w:tabs>
        <w:bidi w:val="0"/>
        <w:spacing w:before="0" w:after="240" w:line="389" w:lineRule="exact"/>
        <w:ind w:left="0" w:right="0" w:firstLine="0"/>
        <w:jc w:val="left"/>
        <w:rPr>
          <w:sz w:val="20"/>
          <w:szCs w:val="20"/>
        </w:rPr>
      </w:pPr>
      <w:bookmarkStart w:id="30" w:name="bookmark30"/>
      <w:bookmarkEnd w:id="30"/>
      <w:r>
        <w:rPr>
          <w:rFonts w:ascii="Times New Roman" w:eastAsia="Times New Roman" w:hAnsi="Times New Roman" w:cs="Times New Roman"/>
          <w:color w:val="000000"/>
          <w:spacing w:val="0"/>
          <w:w w:val="100"/>
          <w:position w:val="0"/>
          <w:sz w:val="20"/>
          <w:szCs w:val="20"/>
          <w:lang w:val="en-US" w:eastAsia="en-US" w:bidi="en-US"/>
        </w:rPr>
        <w:t>2.3</w:t>
      </w:r>
      <w:r>
        <w:rPr>
          <w:color w:val="000000"/>
          <w:spacing w:val="0"/>
          <w:w w:val="100"/>
          <w:position w:val="0"/>
          <w:sz w:val="19"/>
          <w:szCs w:val="19"/>
        </w:rPr>
        <w:t>应与评估报告书揭示的结果一致，并应当釆用下述文字提醒使用者阅读全文：</w:t>
      </w:r>
      <w:r>
        <w:rPr>
          <w:color w:val="000000"/>
          <w:spacing w:val="0"/>
          <w:w w:val="100"/>
          <w:position w:val="0"/>
          <w:sz w:val="19"/>
          <w:szCs w:val="19"/>
          <w:lang w:val="zh-CN" w:eastAsia="zh-CN" w:bidi="zh-CN"/>
        </w:rPr>
        <w:t>“以上</w:t>
      </w:r>
      <w:r>
        <w:rPr>
          <w:color w:val="000000"/>
          <w:spacing w:val="0"/>
          <w:w w:val="100"/>
          <w:position w:val="0"/>
          <w:sz w:val="19"/>
          <w:szCs w:val="19"/>
        </w:rPr>
        <w:t xml:space="preserve">内容摘 自资产评估报告书，欲了解本评估项目的全面情况，应认真阅读评估报告书全文” </w:t>
      </w:r>
      <w:r>
        <w:rPr>
          <w:rFonts w:ascii="Times New Roman" w:eastAsia="Times New Roman" w:hAnsi="Times New Roman" w:cs="Times New Roman"/>
          <w:color w:val="000000"/>
          <w:spacing w:val="0"/>
          <w:w w:val="100"/>
          <w:position w:val="0"/>
          <w:sz w:val="20"/>
          <w:szCs w:val="20"/>
          <w:lang w:val="en-US" w:eastAsia="en-US" w:bidi="en-US"/>
        </w:rPr>
        <w:t>o</w:t>
      </w:r>
    </w:p>
    <w:p>
      <w:pPr>
        <w:pStyle w:val="Bodytext10"/>
        <w:keepNext w:val="0"/>
        <w:keepLines w:val="0"/>
        <w:widowControl w:val="0"/>
        <w:shd w:val="clear" w:color="auto" w:fill="auto"/>
        <w:bidi w:val="0"/>
        <w:spacing w:before="0" w:after="120" w:line="398"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4. </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资产评估报告书正文</w:t>
      </w:r>
    </w:p>
    <w:p>
      <w:pPr>
        <w:pStyle w:val="Bodytext20"/>
        <w:keepNext w:val="0"/>
        <w:keepLines w:val="0"/>
        <w:widowControl w:val="0"/>
        <w:shd w:val="clear" w:color="auto" w:fill="auto"/>
        <w:bidi w:val="0"/>
        <w:spacing w:before="0" w:after="0" w:line="398" w:lineRule="auto"/>
        <w:ind w:left="0" w:right="0" w:firstLine="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lang w:val="zh-TW" w:eastAsia="zh-TW" w:bidi="zh-TW"/>
        </w:rPr>
        <w:t>1</w:t>
      </w:r>
      <w:r>
        <w:rPr>
          <w:rFonts w:ascii="SimSun" w:eastAsia="SimSun" w:hAnsi="SimSun" w:cs="SimSun"/>
          <w:color w:val="000000"/>
          <w:spacing w:val="0"/>
          <w:w w:val="100"/>
          <w:position w:val="0"/>
          <w:sz w:val="19"/>
          <w:szCs w:val="19"/>
          <w:lang w:val="zh-TW" w:eastAsia="zh-TW" w:bidi="zh-TW"/>
        </w:rPr>
        <w:t>首部</w:t>
      </w:r>
    </w:p>
    <w:p>
      <w:pPr>
        <w:pStyle w:val="Bodytext10"/>
        <w:keepNext w:val="0"/>
        <w:keepLines w:val="0"/>
        <w:widowControl w:val="0"/>
        <w:shd w:val="clear" w:color="auto" w:fill="auto"/>
        <w:tabs>
          <w:tab w:val="left" w:pos="766"/>
        </w:tabs>
        <w:bidi w:val="0"/>
        <w:spacing w:before="0" w:after="0" w:line="398" w:lineRule="exact"/>
        <w:ind w:left="0" w:right="0" w:firstLine="420"/>
        <w:jc w:val="both"/>
      </w:pPr>
      <w:bookmarkStart w:id="31" w:name="bookmark31"/>
      <w:r>
        <w:rPr>
          <w:rFonts w:ascii="Times New Roman" w:eastAsia="Times New Roman" w:hAnsi="Times New Roman" w:cs="Times New Roman"/>
          <w:color w:val="000000"/>
          <w:spacing w:val="0"/>
          <w:w w:val="100"/>
          <w:position w:val="0"/>
          <w:sz w:val="20"/>
          <w:szCs w:val="20"/>
          <w:lang w:val="en-US" w:eastAsia="en-US" w:bidi="en-US"/>
        </w:rPr>
        <w:t>a</w:t>
      </w:r>
      <w:bookmarkEnd w:id="3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 xml:space="preserve">标题。标题应简练清晰，含有“ </w:t>
      </w:r>
      <w:r>
        <w:rPr>
          <w:rFonts w:ascii="Times New Roman" w:eastAsia="Times New Roman" w:hAnsi="Times New Roman" w:cs="Times New Roman"/>
          <w:color w:val="000000"/>
          <w:spacing w:val="0"/>
          <w:w w:val="100"/>
          <w:position w:val="0"/>
          <w:sz w:val="20"/>
          <w:szCs w:val="20"/>
        </w:rPr>
        <w:t xml:space="preserve">XX XX </w:t>
      </w:r>
      <w:r>
        <w:rPr>
          <w:color w:val="000000"/>
          <w:spacing w:val="0"/>
          <w:w w:val="100"/>
          <w:position w:val="0"/>
        </w:rPr>
        <w:t>（评估项目名称）森林资源资产评估报告书”字 样，位置居中偏上；</w:t>
      </w:r>
    </w:p>
    <w:p>
      <w:pPr>
        <w:pStyle w:val="Bodytext10"/>
        <w:keepNext w:val="0"/>
        <w:keepLines w:val="0"/>
        <w:widowControl w:val="0"/>
        <w:shd w:val="clear" w:color="auto" w:fill="auto"/>
        <w:tabs>
          <w:tab w:val="left" w:pos="762"/>
        </w:tabs>
        <w:bidi w:val="0"/>
        <w:spacing w:before="0" w:after="120" w:line="389" w:lineRule="exact"/>
        <w:ind w:left="0" w:right="0" w:firstLine="420"/>
        <w:jc w:val="left"/>
      </w:pPr>
      <w:bookmarkStart w:id="32" w:name="bookmark32"/>
      <w:r>
        <w:rPr>
          <w:rFonts w:ascii="Times New Roman" w:eastAsia="Times New Roman" w:hAnsi="Times New Roman" w:cs="Times New Roman"/>
          <w:color w:val="000000"/>
          <w:spacing w:val="0"/>
          <w:w w:val="100"/>
          <w:position w:val="0"/>
          <w:sz w:val="20"/>
          <w:szCs w:val="20"/>
          <w:lang w:val="en-US" w:eastAsia="en-US" w:bidi="en-US"/>
        </w:rPr>
        <w:t>b</w:t>
      </w:r>
      <w:bookmarkEnd w:id="3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报告书序号。报告书应符合公文的要求，包括评估机构特征字，公文种类特征字、年份、 文件序号，位置本行居中。</w:t>
      </w:r>
    </w:p>
    <w:p>
      <w:pPr>
        <w:pStyle w:val="Bodytext20"/>
        <w:keepNext w:val="0"/>
        <w:keepLines w:val="0"/>
        <w:widowControl w:val="0"/>
        <w:shd w:val="clear" w:color="auto" w:fill="auto"/>
        <w:bidi w:val="0"/>
        <w:spacing w:before="0" w:after="0" w:line="398" w:lineRule="auto"/>
        <w:ind w:left="0" w:right="0" w:firstLine="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lang w:val="zh-TW" w:eastAsia="zh-TW" w:bidi="zh-TW"/>
        </w:rPr>
        <w:t>2</w:t>
      </w:r>
      <w:r>
        <w:rPr>
          <w:rFonts w:ascii="SimSun" w:eastAsia="SimSun" w:hAnsi="SimSun" w:cs="SimSun"/>
          <w:color w:val="000000"/>
          <w:spacing w:val="0"/>
          <w:w w:val="100"/>
          <w:position w:val="0"/>
          <w:sz w:val="19"/>
          <w:szCs w:val="19"/>
          <w:lang w:val="zh-TW" w:eastAsia="zh-TW" w:bidi="zh-TW"/>
        </w:rPr>
        <w:t>绪言</w:t>
      </w:r>
    </w:p>
    <w:p>
      <w:pPr>
        <w:pStyle w:val="Bodytext10"/>
        <w:keepNext w:val="0"/>
        <w:keepLines w:val="0"/>
        <w:widowControl w:val="0"/>
        <w:shd w:val="clear" w:color="auto" w:fill="auto"/>
        <w:bidi w:val="0"/>
        <w:spacing w:before="0" w:after="0" w:line="413" w:lineRule="exact"/>
        <w:ind w:left="0" w:right="0" w:firstLine="420"/>
        <w:jc w:val="both"/>
      </w:pPr>
      <w:r>
        <w:rPr>
          <w:color w:val="000000"/>
          <w:spacing w:val="0"/>
          <w:w w:val="100"/>
          <w:position w:val="0"/>
        </w:rPr>
        <w:t>应写明该评估报告委托方全称、受委托评估事项及评估工作整体情况，应釆用包含下列内容的 表达</w:t>
      </w:r>
      <w:r>
        <w:rPr>
          <w:color w:val="000000"/>
          <w:spacing w:val="0"/>
          <w:w w:val="100"/>
          <w:position w:val="0"/>
          <w:lang w:val="zh-CN" w:eastAsia="zh-CN" w:bidi="zh-CN"/>
        </w:rPr>
        <w:t>格式：</w:t>
      </w:r>
    </w:p>
    <w:p>
      <w:pPr>
        <w:pStyle w:val="Bodytext10"/>
        <w:keepNext w:val="0"/>
        <w:keepLines w:val="0"/>
        <w:widowControl w:val="0"/>
        <w:shd w:val="clear" w:color="auto" w:fill="auto"/>
        <w:bidi w:val="0"/>
        <w:spacing w:before="0" w:after="200" w:line="382" w:lineRule="exact"/>
        <w:ind w:left="0" w:right="0" w:firstLine="500"/>
        <w:jc w:val="left"/>
        <w:sectPr>
          <w:headerReference w:type="even" r:id="rId34"/>
          <w:headerReference w:type="default" r:id="rId35"/>
          <w:footerReference w:type="even" r:id="rId36"/>
          <w:footerReference w:type="default" r:id="rId37"/>
          <w:headerReference w:type="first" r:id="rId38"/>
          <w:footerReference w:type="first" r:id="rId39"/>
          <w:pgSz w:w="11900" w:h="16840"/>
          <w:pgMar w:top="1270" w:right="1460" w:bottom="1937" w:left="1446" w:header="0" w:footer="3" w:gutter="0"/>
          <w:pgNumType w:start="2"/>
          <w:cols w:space="720"/>
          <w:noEndnote/>
          <w:rtlGutter w:val="0"/>
          <w:docGrid w:linePitch="360"/>
        </w:sectPr>
      </w:pPr>
      <w:r>
        <w:rPr>
          <w:rFonts w:ascii="Times New Roman" w:eastAsia="Times New Roman" w:hAnsi="Times New Roman" w:cs="Times New Roman"/>
          <w:color w:val="000000"/>
          <w:spacing w:val="0"/>
          <w:w w:val="100"/>
          <w:position w:val="0"/>
          <w:sz w:val="20"/>
          <w:szCs w:val="20"/>
        </w:rPr>
        <w:t xml:space="preserve">“XX </w:t>
      </w:r>
      <w:r>
        <w:rPr>
          <w:color w:val="000000"/>
          <w:spacing w:val="0"/>
          <w:w w:val="100"/>
          <w:position w:val="0"/>
        </w:rPr>
        <w:t>（评估机构）接受</w:t>
      </w:r>
      <w:r>
        <w:rPr>
          <w:rFonts w:ascii="Times New Roman" w:eastAsia="Times New Roman" w:hAnsi="Times New Roman" w:cs="Times New Roman"/>
          <w:color w:val="000000"/>
          <w:spacing w:val="0"/>
          <w:w w:val="100"/>
          <w:position w:val="0"/>
          <w:sz w:val="20"/>
          <w:szCs w:val="20"/>
          <w:lang w:val="en-US" w:eastAsia="en-US" w:bidi="en-US"/>
        </w:rPr>
        <w:t>XXXX</w:t>
      </w:r>
      <w:r>
        <w:rPr>
          <w:color w:val="000000"/>
          <w:spacing w:val="0"/>
          <w:w w:val="100"/>
          <w:position w:val="0"/>
        </w:rPr>
        <w:t>的委托，根据国家有关资产评估的规定，本着客观、独立、 公正、科学的原则，按照公认的资产评估方法，对为</w:t>
      </w:r>
      <w:r>
        <w:rPr>
          <w:rFonts w:ascii="Times New Roman" w:eastAsia="Times New Roman" w:hAnsi="Times New Roman" w:cs="Times New Roman"/>
          <w:color w:val="000000"/>
          <w:spacing w:val="0"/>
          <w:w w:val="100"/>
          <w:position w:val="0"/>
          <w:sz w:val="20"/>
          <w:szCs w:val="20"/>
          <w:lang w:val="en-US" w:eastAsia="en-US" w:bidi="en-US"/>
        </w:rPr>
        <w:t xml:space="preserve">XXXX </w:t>
      </w:r>
      <w:r>
        <w:rPr>
          <w:color w:val="000000"/>
          <w:spacing w:val="0"/>
          <w:w w:val="100"/>
          <w:position w:val="0"/>
        </w:rPr>
        <w:t>（评估目的）而涉及的森林资源资产 实施了实地查勘、市场调查与询证，对需进行评估的森林资源资产在</w:t>
      </w:r>
      <w:r>
        <w:rPr>
          <w:rFonts w:ascii="Times New Roman" w:eastAsia="Times New Roman" w:hAnsi="Times New Roman" w:cs="Times New Roman"/>
          <w:color w:val="000000"/>
          <w:spacing w:val="0"/>
          <w:w w:val="100"/>
          <w:position w:val="0"/>
          <w:sz w:val="20"/>
          <w:szCs w:val="20"/>
        </w:rPr>
        <w:t>X X XX</w:t>
      </w:r>
      <w:r>
        <w:rPr>
          <w:color w:val="000000"/>
          <w:spacing w:val="0"/>
          <w:w w:val="100"/>
          <w:position w:val="0"/>
        </w:rPr>
        <w:t>年</w:t>
      </w:r>
      <w:r>
        <w:rPr>
          <w:rFonts w:ascii="Times New Roman" w:eastAsia="Times New Roman" w:hAnsi="Times New Roman" w:cs="Times New Roman"/>
          <w:color w:val="000000"/>
          <w:spacing w:val="0"/>
          <w:w w:val="100"/>
          <w:position w:val="0"/>
          <w:sz w:val="20"/>
          <w:szCs w:val="20"/>
        </w:rPr>
        <w:t>X X</w:t>
      </w:r>
      <w:r>
        <w:rPr>
          <w:color w:val="000000"/>
          <w:spacing w:val="0"/>
          <w:w w:val="100"/>
          <w:position w:val="0"/>
        </w:rPr>
        <w:t>月</w:t>
      </w:r>
      <w:r>
        <w:rPr>
          <w:rFonts w:ascii="Times New Roman" w:eastAsia="Times New Roman" w:hAnsi="Times New Roman" w:cs="Times New Roman"/>
          <w:color w:val="000000"/>
          <w:spacing w:val="0"/>
          <w:w w:val="100"/>
          <w:position w:val="0"/>
          <w:sz w:val="20"/>
          <w:szCs w:val="20"/>
        </w:rPr>
        <w:t>X X</w:t>
      </w:r>
      <w:r>
        <w:rPr>
          <w:color w:val="000000"/>
          <w:spacing w:val="0"/>
          <w:w w:val="100"/>
          <w:position w:val="0"/>
        </w:rPr>
        <w:t>日所表 现的市场价值作出了公允反映。现将森林资源资产评估情况及评估结果报告如下：”</w:t>
      </w:r>
    </w:p>
    <w:p>
      <w:pPr>
        <w:pStyle w:val="Bodytext10"/>
        <w:keepNext w:val="0"/>
        <w:keepLines w:val="0"/>
        <w:widowControl w:val="0"/>
        <w:shd w:val="clear" w:color="auto" w:fill="auto"/>
        <w:bidi w:val="0"/>
        <w:spacing w:before="0" w:after="0" w:line="406" w:lineRule="exact"/>
        <w:ind w:left="0" w:right="0" w:firstLine="0"/>
        <w:jc w:val="both"/>
      </w:pPr>
      <w:r>
        <w:rPr>
          <w:rFonts w:ascii="Times New Roman" w:eastAsia="Times New Roman" w:hAnsi="Times New Roman" w:cs="Times New Roman"/>
          <w:color w:val="000000"/>
          <w:spacing w:val="0"/>
          <w:w w:val="100"/>
          <w:position w:val="0"/>
          <w:sz w:val="20"/>
          <w:szCs w:val="20"/>
          <w:lang w:val="en-US" w:eastAsia="en-US" w:bidi="en-US"/>
        </w:rPr>
        <w:t>4.3.3</w:t>
      </w:r>
      <w:r>
        <w:rPr>
          <w:color w:val="000000"/>
          <w:spacing w:val="0"/>
          <w:w w:val="100"/>
          <w:position w:val="0"/>
        </w:rPr>
        <w:t>基本情况</w:t>
      </w:r>
    </w:p>
    <w:p>
      <w:pPr>
        <w:pStyle w:val="Bodytext10"/>
        <w:keepNext w:val="0"/>
        <w:keepLines w:val="0"/>
        <w:widowControl w:val="0"/>
        <w:shd w:val="clear" w:color="auto" w:fill="auto"/>
        <w:tabs>
          <w:tab w:val="left" w:pos="771"/>
        </w:tabs>
        <w:bidi w:val="0"/>
        <w:spacing w:before="0" w:after="0" w:line="406" w:lineRule="exact"/>
        <w:ind w:left="0" w:right="0" w:firstLine="420"/>
        <w:jc w:val="both"/>
      </w:pPr>
      <w:bookmarkStart w:id="33" w:name="bookmark33"/>
      <w:r>
        <w:rPr>
          <w:rFonts w:ascii="Times New Roman" w:eastAsia="Times New Roman" w:hAnsi="Times New Roman" w:cs="Times New Roman"/>
          <w:color w:val="000000"/>
          <w:spacing w:val="0"/>
          <w:w w:val="100"/>
          <w:position w:val="0"/>
          <w:sz w:val="20"/>
          <w:szCs w:val="20"/>
          <w:lang w:val="en-US" w:eastAsia="en-US" w:bidi="en-US"/>
        </w:rPr>
        <w:t>a</w:t>
      </w:r>
      <w:bookmarkEnd w:id="3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详细地分别介绍委托方、资产占有方的情况，两者合一的可作为资产占有方介绍，如委托 方、资产占有方为法人，应说明其名称、注册地址及主要经营场所地址、法定代表人、经营状况简 介；如委托方、资产占有方为自然人，应说明其姓名、住址、身份证号码及简要状况；</w:t>
      </w:r>
    </w:p>
    <w:p>
      <w:pPr>
        <w:pStyle w:val="Bodytext10"/>
        <w:keepNext w:val="0"/>
        <w:keepLines w:val="0"/>
        <w:widowControl w:val="0"/>
        <w:shd w:val="clear" w:color="auto" w:fill="auto"/>
        <w:tabs>
          <w:tab w:val="left" w:pos="783"/>
        </w:tabs>
        <w:bidi w:val="0"/>
        <w:spacing w:before="0" w:after="0" w:line="406" w:lineRule="exact"/>
        <w:ind w:left="0" w:right="0" w:firstLine="420"/>
        <w:jc w:val="both"/>
      </w:pPr>
      <w:bookmarkStart w:id="34" w:name="bookmark34"/>
      <w:r>
        <w:rPr>
          <w:rFonts w:ascii="Times New Roman" w:eastAsia="Times New Roman" w:hAnsi="Times New Roman" w:cs="Times New Roman"/>
          <w:color w:val="000000"/>
          <w:spacing w:val="0"/>
          <w:w w:val="100"/>
          <w:position w:val="0"/>
          <w:sz w:val="20"/>
          <w:szCs w:val="20"/>
          <w:lang w:val="en-US" w:eastAsia="en-US" w:bidi="en-US"/>
        </w:rPr>
        <w:t>b</w:t>
      </w:r>
      <w:bookmarkEnd w:id="3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资产占有方为多家，应逐一介绍；</w:t>
      </w:r>
    </w:p>
    <w:p>
      <w:pPr>
        <w:pStyle w:val="Bodytext10"/>
        <w:keepNext w:val="0"/>
        <w:keepLines w:val="0"/>
        <w:widowControl w:val="0"/>
        <w:shd w:val="clear" w:color="auto" w:fill="auto"/>
        <w:tabs>
          <w:tab w:val="left" w:pos="771"/>
        </w:tabs>
        <w:bidi w:val="0"/>
        <w:spacing w:before="0" w:after="0" w:line="406" w:lineRule="exact"/>
        <w:ind w:left="0" w:right="0" w:firstLine="420"/>
        <w:jc w:val="both"/>
      </w:pPr>
      <w:bookmarkStart w:id="35" w:name="bookmark35"/>
      <w:r>
        <w:rPr>
          <w:rFonts w:ascii="Times New Roman" w:eastAsia="Times New Roman" w:hAnsi="Times New Roman" w:cs="Times New Roman"/>
          <w:color w:val="000000"/>
          <w:spacing w:val="0"/>
          <w:w w:val="100"/>
          <w:position w:val="0"/>
          <w:sz w:val="20"/>
          <w:szCs w:val="20"/>
          <w:lang w:val="en-US" w:eastAsia="en-US" w:bidi="en-US"/>
        </w:rPr>
        <w:t>c</w:t>
      </w:r>
      <w:bookmarkEnd w:id="3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写明委托方和资产占有方之间的隶属关系或经济关系，无隶属或经济关系，则写明发生评 估的原因。</w:t>
      </w:r>
    </w:p>
    <w:p>
      <w:pPr>
        <w:pStyle w:val="Bodytext20"/>
        <w:keepNext w:val="0"/>
        <w:keepLines w:val="0"/>
        <w:widowControl w:val="0"/>
        <w:shd w:val="clear" w:color="auto" w:fill="auto"/>
        <w:bidi w:val="0"/>
        <w:spacing w:before="0" w:after="0" w:line="406" w:lineRule="exact"/>
        <w:ind w:left="0" w:right="0" w:firstLine="0"/>
        <w:jc w:val="both"/>
        <w:rPr>
          <w:sz w:val="19"/>
          <w:szCs w:val="19"/>
        </w:rPr>
      </w:pPr>
      <w:r>
        <w:rPr>
          <w:rFonts w:ascii="Times New Roman" w:eastAsia="Times New Roman" w:hAnsi="Times New Roman" w:cs="Times New Roman"/>
          <w:color w:val="000000"/>
          <w:spacing w:val="0"/>
          <w:w w:val="100"/>
          <w:position w:val="0"/>
          <w:sz w:val="20"/>
          <w:szCs w:val="20"/>
          <w:lang w:val="en-US" w:eastAsia="en-US" w:bidi="en-US"/>
        </w:rPr>
        <w:t>4. 3.4</w:t>
      </w:r>
      <w:r>
        <w:rPr>
          <w:rFonts w:ascii="SimSun" w:eastAsia="SimSun" w:hAnsi="SimSun" w:cs="SimSun"/>
          <w:color w:val="000000"/>
          <w:spacing w:val="0"/>
          <w:w w:val="100"/>
          <w:position w:val="0"/>
          <w:sz w:val="19"/>
          <w:szCs w:val="19"/>
          <w:lang w:val="zh-TW" w:eastAsia="zh-TW" w:bidi="zh-TW"/>
        </w:rPr>
        <w:t>评估目的</w:t>
      </w:r>
    </w:p>
    <w:p>
      <w:pPr>
        <w:pStyle w:val="Bodytext10"/>
        <w:keepNext w:val="0"/>
        <w:keepLines w:val="0"/>
        <w:widowControl w:val="0"/>
        <w:shd w:val="clear" w:color="auto" w:fill="auto"/>
        <w:tabs>
          <w:tab w:val="left" w:pos="783"/>
        </w:tabs>
        <w:bidi w:val="0"/>
        <w:spacing w:before="0" w:after="0" w:line="406" w:lineRule="exact"/>
        <w:ind w:left="0" w:right="0" w:firstLine="420"/>
        <w:jc w:val="both"/>
      </w:pPr>
      <w:bookmarkStart w:id="36" w:name="bookmark36"/>
      <w:r>
        <w:rPr>
          <w:rFonts w:ascii="Times New Roman" w:eastAsia="Times New Roman" w:hAnsi="Times New Roman" w:cs="Times New Roman"/>
          <w:color w:val="000000"/>
          <w:spacing w:val="0"/>
          <w:w w:val="100"/>
          <w:position w:val="0"/>
          <w:sz w:val="20"/>
          <w:szCs w:val="20"/>
          <w:lang w:val="en-US" w:eastAsia="en-US" w:bidi="en-US"/>
        </w:rPr>
        <w:t>a</w:t>
      </w:r>
      <w:bookmarkEnd w:id="3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写明本次森林资源资产评估是为了满足委托方的何种需要，及其所对应的经济行为类型；</w:t>
      </w:r>
    </w:p>
    <w:p>
      <w:pPr>
        <w:pStyle w:val="Bodytext10"/>
        <w:keepNext w:val="0"/>
        <w:keepLines w:val="0"/>
        <w:widowControl w:val="0"/>
        <w:shd w:val="clear" w:color="auto" w:fill="auto"/>
        <w:tabs>
          <w:tab w:val="left" w:pos="771"/>
        </w:tabs>
        <w:bidi w:val="0"/>
        <w:spacing w:before="0" w:after="0" w:line="406" w:lineRule="exact"/>
        <w:ind w:left="0" w:right="0" w:firstLine="420"/>
        <w:jc w:val="both"/>
      </w:pPr>
      <w:bookmarkStart w:id="37" w:name="bookmark37"/>
      <w:r>
        <w:rPr>
          <w:rFonts w:ascii="Times New Roman" w:eastAsia="Times New Roman" w:hAnsi="Times New Roman" w:cs="Times New Roman"/>
          <w:color w:val="000000"/>
          <w:spacing w:val="0"/>
          <w:w w:val="100"/>
          <w:position w:val="0"/>
          <w:sz w:val="20"/>
          <w:szCs w:val="20"/>
          <w:lang w:val="en-US" w:eastAsia="en-US" w:bidi="en-US"/>
        </w:rPr>
        <w:t>b</w:t>
      </w:r>
      <w:bookmarkEnd w:id="3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简要、准确说明该经济行为的发生是否经过批准，如已获批准，则应写明已获得的相关经 济行为批准文件，含批件名称、批准单位名称、批准日期及文号。</w:t>
      </w:r>
    </w:p>
    <w:p>
      <w:pPr>
        <w:pStyle w:val="Bodytext10"/>
        <w:keepNext w:val="0"/>
        <w:keepLines w:val="0"/>
        <w:widowControl w:val="0"/>
        <w:shd w:val="clear" w:color="auto" w:fill="auto"/>
        <w:bidi w:val="0"/>
        <w:spacing w:before="0" w:after="0" w:line="370" w:lineRule="exact"/>
        <w:ind w:left="0" w:right="0" w:firstLine="0"/>
        <w:jc w:val="both"/>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rPr>
        <w:t>5</w:t>
      </w:r>
      <w:r>
        <w:rPr>
          <w:color w:val="000000"/>
          <w:spacing w:val="0"/>
          <w:w w:val="100"/>
          <w:position w:val="0"/>
        </w:rPr>
        <w:t>评估范围和对象</w:t>
      </w:r>
    </w:p>
    <w:p>
      <w:pPr>
        <w:pStyle w:val="Bodytext10"/>
        <w:keepNext w:val="0"/>
        <w:keepLines w:val="0"/>
        <w:widowControl w:val="0"/>
        <w:shd w:val="clear" w:color="auto" w:fill="auto"/>
        <w:tabs>
          <w:tab w:val="left" w:pos="763"/>
        </w:tabs>
        <w:bidi w:val="0"/>
        <w:spacing w:before="0" w:after="0" w:line="370" w:lineRule="exact"/>
        <w:ind w:left="0" w:right="0"/>
        <w:jc w:val="both"/>
      </w:pPr>
      <w:bookmarkStart w:id="38" w:name="bookmark38"/>
      <w:r>
        <w:rPr>
          <w:rFonts w:ascii="Times New Roman" w:eastAsia="Times New Roman" w:hAnsi="Times New Roman" w:cs="Times New Roman"/>
          <w:color w:val="000000"/>
          <w:spacing w:val="0"/>
          <w:w w:val="100"/>
          <w:position w:val="0"/>
          <w:sz w:val="20"/>
          <w:szCs w:val="20"/>
          <w:lang w:val="en-US" w:eastAsia="en-US" w:bidi="en-US"/>
        </w:rPr>
        <w:t>a</w:t>
      </w:r>
      <w:bookmarkEnd w:id="3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简要介绍森林资源资产分布地点、地利条件、林木生长状况等概况；</w:t>
      </w:r>
    </w:p>
    <w:p>
      <w:pPr>
        <w:pStyle w:val="Bodytext10"/>
        <w:keepNext w:val="0"/>
        <w:keepLines w:val="0"/>
        <w:widowControl w:val="0"/>
        <w:shd w:val="clear" w:color="auto" w:fill="auto"/>
        <w:tabs>
          <w:tab w:val="left" w:pos="763"/>
        </w:tabs>
        <w:bidi w:val="0"/>
        <w:spacing w:before="0" w:after="0" w:line="370" w:lineRule="exact"/>
        <w:ind w:left="0" w:right="0"/>
        <w:jc w:val="both"/>
      </w:pPr>
      <w:bookmarkStart w:id="39" w:name="bookmark39"/>
      <w:r>
        <w:rPr>
          <w:rFonts w:ascii="Times New Roman" w:eastAsia="Times New Roman" w:hAnsi="Times New Roman" w:cs="Times New Roman"/>
          <w:color w:val="000000"/>
          <w:spacing w:val="0"/>
          <w:w w:val="100"/>
          <w:position w:val="0"/>
          <w:sz w:val="20"/>
          <w:szCs w:val="20"/>
          <w:lang w:val="en-US" w:eastAsia="en-US" w:bidi="en-US"/>
        </w:rPr>
        <w:t>b</w:t>
      </w:r>
      <w:bookmarkEnd w:id="3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当纳入评估的资产为多家占有，应说明份额及对应的森林资源资产：</w:t>
      </w:r>
    </w:p>
    <w:p>
      <w:pPr>
        <w:pStyle w:val="Bodytext10"/>
        <w:keepNext w:val="0"/>
        <w:keepLines w:val="0"/>
        <w:widowControl w:val="0"/>
        <w:shd w:val="clear" w:color="auto" w:fill="auto"/>
        <w:tabs>
          <w:tab w:val="left" w:pos="763"/>
        </w:tabs>
        <w:bidi w:val="0"/>
        <w:spacing w:before="0" w:after="0" w:line="370" w:lineRule="exact"/>
        <w:ind w:left="0" w:right="0"/>
        <w:jc w:val="left"/>
      </w:pPr>
      <w:bookmarkStart w:id="40" w:name="bookmark40"/>
      <w:r>
        <w:rPr>
          <w:rFonts w:ascii="Times New Roman" w:eastAsia="Times New Roman" w:hAnsi="Times New Roman" w:cs="Times New Roman"/>
          <w:color w:val="000000"/>
          <w:spacing w:val="0"/>
          <w:w w:val="100"/>
          <w:position w:val="0"/>
          <w:sz w:val="20"/>
          <w:szCs w:val="20"/>
          <w:lang w:val="en-US" w:eastAsia="en-US" w:bidi="en-US"/>
        </w:rPr>
        <w:t>c</w:t>
      </w:r>
      <w:bookmarkEnd w:id="4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写明纳入评估范围的资产是否与妾托评估确定的资产范围一致，如不一致则应说明原因。</w:t>
      </w:r>
    </w:p>
    <w:p>
      <w:pPr>
        <w:pStyle w:val="Bodytext10"/>
        <w:keepNext w:val="0"/>
        <w:keepLines w:val="0"/>
        <w:widowControl w:val="0"/>
        <w:shd w:val="clear" w:color="auto" w:fill="auto"/>
        <w:tabs>
          <w:tab w:val="left" w:pos="8093"/>
        </w:tabs>
        <w:bidi w:val="0"/>
        <w:spacing w:before="0" w:after="0" w:line="370"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rPr>
        <w:t>6</w:t>
      </w:r>
      <w:r>
        <w:rPr>
          <w:color w:val="000000"/>
          <w:spacing w:val="0"/>
          <w:w w:val="100"/>
          <w:position w:val="0"/>
        </w:rPr>
        <w:t>评估基准日</w:t>
        <w:tab/>
      </w:r>
      <w:r>
        <w:rPr>
          <w:color w:val="000000"/>
          <w:spacing w:val="0"/>
          <w:w w:val="100"/>
          <w:position w:val="0"/>
          <w:lang w:val="en-US" w:eastAsia="en-US" w:bidi="en-US"/>
        </w:rPr>
        <w:t>'</w:t>
      </w:r>
    </w:p>
    <w:p>
      <w:pPr>
        <w:pStyle w:val="Bodytext10"/>
        <w:keepNext w:val="0"/>
        <w:keepLines w:val="0"/>
        <w:widowControl w:val="0"/>
        <w:shd w:val="clear" w:color="auto" w:fill="auto"/>
        <w:tabs>
          <w:tab w:val="left" w:pos="742"/>
        </w:tabs>
        <w:bidi w:val="0"/>
        <w:spacing w:before="0" w:after="0" w:line="370" w:lineRule="exact"/>
        <w:ind w:left="0" w:right="0" w:firstLine="420"/>
        <w:jc w:val="both"/>
      </w:pPr>
      <w:bookmarkStart w:id="41" w:name="bookmark41"/>
      <w:r>
        <w:rPr>
          <w:rFonts w:ascii="Times New Roman" w:eastAsia="Times New Roman" w:hAnsi="Times New Roman" w:cs="Times New Roman"/>
          <w:color w:val="000000"/>
          <w:spacing w:val="0"/>
          <w:w w:val="100"/>
          <w:position w:val="0"/>
          <w:sz w:val="20"/>
          <w:szCs w:val="20"/>
          <w:lang w:val="en-US" w:eastAsia="en-US" w:bidi="en-US"/>
        </w:rPr>
        <w:t>a</w:t>
      </w:r>
      <w:bookmarkEnd w:id="4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用阿拉伯数字写明评估基准日的具体日期，式样为：本项目资产评估基准日是</w:t>
      </w:r>
      <w:r>
        <w:rPr>
          <w:rFonts w:ascii="Times New Roman" w:eastAsia="Times New Roman" w:hAnsi="Times New Roman" w:cs="Times New Roman"/>
          <w:color w:val="000000"/>
          <w:spacing w:val="0"/>
          <w:w w:val="100"/>
          <w:position w:val="0"/>
          <w:sz w:val="20"/>
          <w:szCs w:val="20"/>
        </w:rPr>
        <w:t>XX XX</w:t>
      </w:r>
      <w:r>
        <w:rPr>
          <w:color w:val="000000"/>
          <w:spacing w:val="0"/>
          <w:w w:val="100"/>
          <w:position w:val="0"/>
        </w:rPr>
        <w:t xml:space="preserve">年 </w:t>
      </w:r>
      <w:r>
        <w:rPr>
          <w:rFonts w:ascii="Times New Roman" w:eastAsia="Times New Roman" w:hAnsi="Times New Roman" w:cs="Times New Roman"/>
          <w:color w:val="000000"/>
          <w:spacing w:val="0"/>
          <w:w w:val="100"/>
          <w:position w:val="0"/>
          <w:sz w:val="20"/>
          <w:szCs w:val="20"/>
        </w:rPr>
        <w:t>XX</w:t>
      </w:r>
      <w:r>
        <w:rPr>
          <w:color w:val="000000"/>
          <w:spacing w:val="0"/>
          <w:w w:val="100"/>
          <w:position w:val="0"/>
        </w:rPr>
        <w:t>月</w:t>
      </w:r>
      <w:r>
        <w:rPr>
          <w:rFonts w:ascii="Times New Roman" w:eastAsia="Times New Roman" w:hAnsi="Times New Roman" w:cs="Times New Roman"/>
          <w:color w:val="000000"/>
          <w:spacing w:val="0"/>
          <w:w w:val="100"/>
          <w:position w:val="0"/>
          <w:sz w:val="20"/>
          <w:szCs w:val="20"/>
        </w:rPr>
        <w:t>XX</w:t>
      </w:r>
      <w:r>
        <w:rPr>
          <w:color w:val="000000"/>
          <w:spacing w:val="0"/>
          <w:w w:val="100"/>
          <w:position w:val="0"/>
        </w:rPr>
        <w:t>日；</w:t>
      </w:r>
    </w:p>
    <w:p>
      <w:pPr>
        <w:pStyle w:val="Bodytext10"/>
        <w:keepNext w:val="0"/>
        <w:keepLines w:val="0"/>
        <w:widowControl w:val="0"/>
        <w:shd w:val="clear" w:color="auto" w:fill="auto"/>
        <w:tabs>
          <w:tab w:val="left" w:pos="788"/>
        </w:tabs>
        <w:bidi w:val="0"/>
        <w:spacing w:before="0" w:after="0" w:line="389" w:lineRule="exact"/>
        <w:ind w:left="0" w:right="0" w:firstLine="420"/>
        <w:jc w:val="both"/>
      </w:pPr>
      <w:bookmarkStart w:id="42" w:name="bookmark42"/>
      <w:r>
        <w:rPr>
          <w:rFonts w:ascii="Times New Roman" w:eastAsia="Times New Roman" w:hAnsi="Times New Roman" w:cs="Times New Roman"/>
          <w:color w:val="000000"/>
          <w:spacing w:val="0"/>
          <w:w w:val="100"/>
          <w:position w:val="0"/>
          <w:sz w:val="20"/>
          <w:szCs w:val="20"/>
          <w:lang w:val="en-US" w:eastAsia="en-US" w:bidi="en-US"/>
        </w:rPr>
        <w:t>b</w:t>
      </w:r>
      <w:bookmarkEnd w:id="4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写明确定评估基准日的理由或成立的条件，并尽可能与评估目的的实现日接近。</w:t>
      </w:r>
    </w:p>
    <w:p>
      <w:pPr>
        <w:pStyle w:val="Bodytext20"/>
        <w:keepNext w:val="0"/>
        <w:keepLines w:val="0"/>
        <w:widowControl w:val="0"/>
        <w:shd w:val="clear" w:color="auto" w:fill="auto"/>
        <w:bidi w:val="0"/>
        <w:spacing w:before="0" w:after="0" w:line="389" w:lineRule="exact"/>
        <w:ind w:left="0" w:right="0" w:firstLine="0"/>
        <w:jc w:val="both"/>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lang w:val="zh-TW" w:eastAsia="zh-TW" w:bidi="zh-TW"/>
        </w:rPr>
        <w:t>7</w:t>
      </w:r>
      <w:r>
        <w:rPr>
          <w:rFonts w:ascii="SimSun" w:eastAsia="SimSun" w:hAnsi="SimSun" w:cs="SimSun"/>
          <w:color w:val="000000"/>
          <w:spacing w:val="0"/>
          <w:w w:val="100"/>
          <w:position w:val="0"/>
          <w:sz w:val="19"/>
          <w:szCs w:val="19"/>
          <w:lang w:val="zh-TW" w:eastAsia="zh-TW" w:bidi="zh-TW"/>
        </w:rPr>
        <w:t>评估原则</w:t>
      </w:r>
    </w:p>
    <w:p>
      <w:pPr>
        <w:pStyle w:val="Bodytext10"/>
        <w:keepNext w:val="0"/>
        <w:keepLines w:val="0"/>
        <w:widowControl w:val="0"/>
        <w:shd w:val="clear" w:color="auto" w:fill="auto"/>
        <w:tabs>
          <w:tab w:val="left" w:pos="758"/>
        </w:tabs>
        <w:bidi w:val="0"/>
        <w:spacing w:before="0" w:after="0" w:line="389" w:lineRule="exact"/>
        <w:ind w:left="0" w:right="0"/>
        <w:jc w:val="both"/>
      </w:pPr>
      <w:bookmarkStart w:id="43" w:name="bookmark43"/>
      <w:r>
        <w:rPr>
          <w:rFonts w:ascii="Times New Roman" w:eastAsia="Times New Roman" w:hAnsi="Times New Roman" w:cs="Times New Roman"/>
          <w:color w:val="000000"/>
          <w:spacing w:val="0"/>
          <w:w w:val="100"/>
          <w:position w:val="0"/>
          <w:sz w:val="20"/>
          <w:szCs w:val="20"/>
          <w:lang w:val="en-US" w:eastAsia="en-US" w:bidi="en-US"/>
        </w:rPr>
        <w:t>a</w:t>
      </w:r>
      <w:bookmarkEnd w:id="4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写明评估工作过程中遵循的各类原则；</w:t>
      </w:r>
    </w:p>
    <w:p>
      <w:pPr>
        <w:pStyle w:val="Bodytext10"/>
        <w:keepNext w:val="0"/>
        <w:keepLines w:val="0"/>
        <w:widowControl w:val="0"/>
        <w:shd w:val="clear" w:color="auto" w:fill="auto"/>
        <w:tabs>
          <w:tab w:val="left" w:pos="758"/>
        </w:tabs>
        <w:bidi w:val="0"/>
        <w:spacing w:before="0" w:after="0" w:line="389" w:lineRule="exact"/>
        <w:ind w:left="0" w:right="0"/>
        <w:jc w:val="both"/>
      </w:pPr>
      <w:bookmarkStart w:id="44" w:name="bookmark44"/>
      <w:r>
        <w:rPr>
          <w:rFonts w:ascii="Times New Roman" w:eastAsia="Times New Roman" w:hAnsi="Times New Roman" w:cs="Times New Roman"/>
          <w:color w:val="000000"/>
          <w:spacing w:val="0"/>
          <w:w w:val="100"/>
          <w:position w:val="0"/>
          <w:sz w:val="20"/>
          <w:szCs w:val="20"/>
          <w:lang w:val="en-US" w:eastAsia="en-US" w:bidi="en-US"/>
        </w:rPr>
        <w:t>b</w:t>
      </w:r>
      <w:bookmarkEnd w:id="4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写明本次森林资源资产评估遵循国家及行业规定的公认原则；</w:t>
      </w:r>
    </w:p>
    <w:p>
      <w:pPr>
        <w:pStyle w:val="Bodytext10"/>
        <w:keepNext w:val="0"/>
        <w:keepLines w:val="0"/>
        <w:widowControl w:val="0"/>
        <w:shd w:val="clear" w:color="auto" w:fill="auto"/>
        <w:tabs>
          <w:tab w:val="left" w:pos="758"/>
        </w:tabs>
        <w:bidi w:val="0"/>
        <w:spacing w:before="0" w:after="0" w:line="389" w:lineRule="exact"/>
        <w:ind w:left="0" w:right="0"/>
        <w:jc w:val="both"/>
      </w:pPr>
      <w:bookmarkStart w:id="45" w:name="bookmark45"/>
      <w:r>
        <w:rPr>
          <w:rFonts w:ascii="Times New Roman" w:eastAsia="Times New Roman" w:hAnsi="Times New Roman" w:cs="Times New Roman"/>
          <w:color w:val="000000"/>
          <w:spacing w:val="0"/>
          <w:w w:val="100"/>
          <w:position w:val="0"/>
          <w:sz w:val="20"/>
          <w:szCs w:val="20"/>
          <w:lang w:val="en-US" w:eastAsia="en-US" w:bidi="en-US"/>
        </w:rPr>
        <w:t>c</w:t>
      </w:r>
      <w:bookmarkEnd w:id="4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对于所遵循的特殊原则，应作适当阐述。</w:t>
      </w:r>
    </w:p>
    <w:p>
      <w:pPr>
        <w:pStyle w:val="Bodytext20"/>
        <w:keepNext w:val="0"/>
        <w:keepLines w:val="0"/>
        <w:widowControl w:val="0"/>
        <w:shd w:val="clear" w:color="auto" w:fill="auto"/>
        <w:bidi w:val="0"/>
        <w:spacing w:before="0" w:after="0" w:line="389" w:lineRule="exact"/>
        <w:ind w:left="0" w:right="0" w:firstLine="0"/>
        <w:jc w:val="both"/>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lang w:val="zh-TW" w:eastAsia="zh-TW" w:bidi="zh-TW"/>
        </w:rPr>
        <w:t>8</w:t>
      </w:r>
      <w:r>
        <w:rPr>
          <w:rFonts w:ascii="SimSun" w:eastAsia="SimSun" w:hAnsi="SimSun" w:cs="SimSun"/>
          <w:color w:val="000000"/>
          <w:spacing w:val="0"/>
          <w:w w:val="100"/>
          <w:position w:val="0"/>
          <w:sz w:val="19"/>
          <w:szCs w:val="19"/>
          <w:lang w:val="zh-TW" w:eastAsia="zh-TW" w:bidi="zh-TW"/>
        </w:rPr>
        <w:t>评估依据</w:t>
      </w:r>
    </w:p>
    <w:p>
      <w:pPr>
        <w:pStyle w:val="Bodytext10"/>
        <w:keepNext w:val="0"/>
        <w:keepLines w:val="0"/>
        <w:widowControl w:val="0"/>
        <w:shd w:val="clear" w:color="auto" w:fill="auto"/>
        <w:tabs>
          <w:tab w:val="left" w:pos="758"/>
        </w:tabs>
        <w:bidi w:val="0"/>
        <w:spacing w:before="0" w:after="0" w:line="389" w:lineRule="exact"/>
        <w:ind w:left="0" w:right="0"/>
        <w:jc w:val="both"/>
      </w:pPr>
      <w:bookmarkStart w:id="46" w:name="bookmark46"/>
      <w:r>
        <w:rPr>
          <w:rFonts w:ascii="Times New Roman" w:eastAsia="Times New Roman" w:hAnsi="Times New Roman" w:cs="Times New Roman"/>
          <w:color w:val="000000"/>
          <w:spacing w:val="0"/>
          <w:w w:val="100"/>
          <w:position w:val="0"/>
          <w:sz w:val="20"/>
          <w:szCs w:val="20"/>
          <w:lang w:val="en-US" w:eastAsia="en-US" w:bidi="en-US"/>
        </w:rPr>
        <w:t>a</w:t>
      </w:r>
      <w:bookmarkEnd w:id="4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评估依据一般可划分为法规依据、行为依据、产权依据和取价依据等；</w:t>
      </w:r>
    </w:p>
    <w:p>
      <w:pPr>
        <w:pStyle w:val="Bodytext10"/>
        <w:keepNext w:val="0"/>
        <w:keepLines w:val="0"/>
        <w:widowControl w:val="0"/>
        <w:shd w:val="clear" w:color="auto" w:fill="auto"/>
        <w:tabs>
          <w:tab w:val="left" w:pos="763"/>
        </w:tabs>
        <w:bidi w:val="0"/>
        <w:spacing w:before="0" w:after="0" w:line="389" w:lineRule="exact"/>
        <w:ind w:left="0" w:right="0"/>
        <w:jc w:val="both"/>
      </w:pPr>
      <w:bookmarkStart w:id="47" w:name="bookmark47"/>
      <w:r>
        <w:rPr>
          <w:rFonts w:ascii="Times New Roman" w:eastAsia="Times New Roman" w:hAnsi="Times New Roman" w:cs="Times New Roman"/>
          <w:color w:val="000000"/>
          <w:spacing w:val="0"/>
          <w:w w:val="100"/>
          <w:position w:val="0"/>
          <w:sz w:val="20"/>
          <w:szCs w:val="20"/>
          <w:lang w:val="en-US" w:eastAsia="en-US" w:bidi="en-US"/>
        </w:rPr>
        <w:t>b</w:t>
      </w:r>
      <w:bookmarkEnd w:id="4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法规依据应包括涉及森林资源资产评估的有关法律、法规和政策等；</w:t>
      </w:r>
    </w:p>
    <w:p>
      <w:pPr>
        <w:pStyle w:val="Bodytext10"/>
        <w:keepNext w:val="0"/>
        <w:keepLines w:val="0"/>
        <w:widowControl w:val="0"/>
        <w:shd w:val="clear" w:color="auto" w:fill="auto"/>
        <w:tabs>
          <w:tab w:val="left" w:pos="783"/>
        </w:tabs>
        <w:bidi w:val="0"/>
        <w:spacing w:before="0" w:after="0" w:line="389" w:lineRule="exact"/>
        <w:ind w:left="0" w:right="0" w:firstLine="420"/>
        <w:jc w:val="both"/>
      </w:pPr>
      <w:bookmarkStart w:id="48" w:name="bookmark48"/>
      <w:r>
        <w:rPr>
          <w:rFonts w:ascii="Times New Roman" w:eastAsia="Times New Roman" w:hAnsi="Times New Roman" w:cs="Times New Roman"/>
          <w:color w:val="000000"/>
          <w:spacing w:val="0"/>
          <w:w w:val="100"/>
          <w:position w:val="0"/>
          <w:sz w:val="20"/>
          <w:szCs w:val="20"/>
          <w:lang w:val="en-US" w:eastAsia="en-US" w:bidi="en-US"/>
        </w:rPr>
        <w:t>c</w:t>
      </w:r>
      <w:bookmarkEnd w:id="4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行为依据为森林资源资产评估的项目委托书等；</w:t>
      </w:r>
    </w:p>
    <w:p>
      <w:pPr>
        <w:pStyle w:val="Bodytext10"/>
        <w:keepNext w:val="0"/>
        <w:keepLines w:val="0"/>
        <w:widowControl w:val="0"/>
        <w:shd w:val="clear" w:color="auto" w:fill="auto"/>
        <w:tabs>
          <w:tab w:val="left" w:pos="783"/>
        </w:tabs>
        <w:bidi w:val="0"/>
        <w:spacing w:before="0" w:after="0" w:line="389" w:lineRule="exact"/>
        <w:ind w:left="0" w:right="0" w:firstLine="420"/>
        <w:jc w:val="both"/>
      </w:pPr>
      <w:bookmarkStart w:id="49" w:name="bookmark49"/>
      <w:r>
        <w:rPr>
          <w:rFonts w:ascii="Times New Roman" w:eastAsia="Times New Roman" w:hAnsi="Times New Roman" w:cs="Times New Roman"/>
          <w:color w:val="000000"/>
          <w:spacing w:val="0"/>
          <w:w w:val="100"/>
          <w:position w:val="0"/>
          <w:sz w:val="20"/>
          <w:szCs w:val="20"/>
          <w:lang w:val="en-US" w:eastAsia="en-US" w:bidi="en-US"/>
        </w:rPr>
        <w:t>d</w:t>
      </w:r>
      <w:bookmarkEnd w:id="4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产权依据应包括森林资源资产的山林权属凭证等;</w:t>
      </w:r>
    </w:p>
    <w:p>
      <w:pPr>
        <w:pStyle w:val="Bodytext10"/>
        <w:keepNext w:val="0"/>
        <w:keepLines w:val="0"/>
        <w:widowControl w:val="0"/>
        <w:shd w:val="clear" w:color="auto" w:fill="auto"/>
        <w:tabs>
          <w:tab w:val="left" w:pos="776"/>
        </w:tabs>
        <w:bidi w:val="0"/>
        <w:spacing w:before="0" w:after="0" w:line="389" w:lineRule="exact"/>
        <w:ind w:left="0" w:right="0" w:firstLine="420"/>
        <w:jc w:val="both"/>
      </w:pPr>
      <w:bookmarkStart w:id="50" w:name="bookmark50"/>
      <w:r>
        <w:rPr>
          <w:rFonts w:ascii="Times New Roman" w:eastAsia="Times New Roman" w:hAnsi="Times New Roman" w:cs="Times New Roman"/>
          <w:color w:val="000000"/>
          <w:spacing w:val="0"/>
          <w:w w:val="100"/>
          <w:position w:val="0"/>
          <w:sz w:val="20"/>
          <w:szCs w:val="20"/>
          <w:lang w:val="en-US" w:eastAsia="en-US" w:bidi="en-US"/>
        </w:rPr>
        <w:t>e</w:t>
      </w:r>
      <w:bookmarkEnd w:id="5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取价依据应包括资产评估中直接或间接使用的、企业提供的财务会计经营方面的资料和评 估机构收集的国家有关部门发布的统计资料和技术标准资料，以及评估机构收集的有关询价资料和 参数资料等；</w:t>
      </w:r>
    </w:p>
    <w:p>
      <w:pPr>
        <w:pStyle w:val="Bodytext10"/>
        <w:keepNext w:val="0"/>
        <w:keepLines w:val="0"/>
        <w:widowControl w:val="0"/>
        <w:shd w:val="clear" w:color="auto" w:fill="auto"/>
        <w:tabs>
          <w:tab w:val="left" w:pos="783"/>
        </w:tabs>
        <w:bidi w:val="0"/>
        <w:spacing w:before="0" w:after="0" w:line="389" w:lineRule="exact"/>
        <w:ind w:left="0" w:right="0" w:firstLine="420"/>
        <w:jc w:val="both"/>
      </w:pPr>
      <w:bookmarkStart w:id="51" w:name="bookmark51"/>
      <w:r>
        <w:rPr>
          <w:rFonts w:ascii="Times New Roman" w:eastAsia="Times New Roman" w:hAnsi="Times New Roman" w:cs="Times New Roman"/>
          <w:color w:val="000000"/>
          <w:spacing w:val="0"/>
          <w:w w:val="100"/>
          <w:position w:val="0"/>
          <w:sz w:val="20"/>
          <w:szCs w:val="20"/>
          <w:lang w:val="en-US" w:eastAsia="en-US" w:bidi="en-US"/>
        </w:rPr>
        <w:t>f</w:t>
      </w:r>
      <w:bookmarkEnd w:id="5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对评估项目中所采用的特殊依据应在本节内容中披露。</w:t>
      </w:r>
    </w:p>
    <w:p>
      <w:pPr>
        <w:pStyle w:val="Bodytext20"/>
        <w:keepNext w:val="0"/>
        <w:keepLines w:val="0"/>
        <w:widowControl w:val="0"/>
        <w:shd w:val="clear" w:color="auto" w:fill="auto"/>
        <w:bidi w:val="0"/>
        <w:spacing w:before="0" w:after="0" w:line="389" w:lineRule="exact"/>
        <w:ind w:left="0" w:right="0" w:firstLine="0"/>
        <w:jc w:val="both"/>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lang w:val="zh-TW" w:eastAsia="zh-TW" w:bidi="zh-TW"/>
        </w:rPr>
        <w:t>9</w:t>
      </w:r>
      <w:r>
        <w:rPr>
          <w:rFonts w:ascii="SimSun" w:eastAsia="SimSun" w:hAnsi="SimSun" w:cs="SimSun"/>
          <w:color w:val="000000"/>
          <w:spacing w:val="0"/>
          <w:w w:val="100"/>
          <w:position w:val="0"/>
          <w:sz w:val="19"/>
          <w:szCs w:val="19"/>
          <w:lang w:val="zh-TW" w:eastAsia="zh-TW" w:bidi="zh-TW"/>
        </w:rPr>
        <w:t>评估方法</w:t>
      </w:r>
    </w:p>
    <w:p>
      <w:pPr>
        <w:pStyle w:val="Bodytext10"/>
        <w:keepNext w:val="0"/>
        <w:keepLines w:val="0"/>
        <w:widowControl w:val="0"/>
        <w:shd w:val="clear" w:color="auto" w:fill="auto"/>
        <w:tabs>
          <w:tab w:val="left" w:pos="763"/>
        </w:tabs>
        <w:bidi w:val="0"/>
        <w:spacing w:before="0" w:after="0" w:line="389" w:lineRule="exact"/>
        <w:ind w:left="0" w:right="0"/>
        <w:jc w:val="both"/>
      </w:pPr>
      <w:bookmarkStart w:id="52" w:name="bookmark52"/>
      <w:r>
        <w:rPr>
          <w:rFonts w:ascii="Times New Roman" w:eastAsia="Times New Roman" w:hAnsi="Times New Roman" w:cs="Times New Roman"/>
          <w:color w:val="000000"/>
          <w:spacing w:val="0"/>
          <w:w w:val="100"/>
          <w:position w:val="0"/>
          <w:sz w:val="20"/>
          <w:szCs w:val="20"/>
          <w:lang w:val="en-US" w:eastAsia="en-US" w:bidi="en-US"/>
        </w:rPr>
        <w:t>a</w:t>
      </w:r>
      <w:bookmarkEnd w:id="5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简要说明评估人员在评估过程中所选择并使用的评估方法其适用范围；</w:t>
      </w:r>
    </w:p>
    <w:p>
      <w:pPr>
        <w:pStyle w:val="Bodytext10"/>
        <w:keepNext w:val="0"/>
        <w:keepLines w:val="0"/>
        <w:widowControl w:val="0"/>
        <w:shd w:val="clear" w:color="auto" w:fill="auto"/>
        <w:tabs>
          <w:tab w:val="left" w:pos="763"/>
        </w:tabs>
        <w:bidi w:val="0"/>
        <w:spacing w:before="0" w:after="0" w:line="389" w:lineRule="exact"/>
        <w:ind w:left="0" w:right="0"/>
        <w:jc w:val="both"/>
        <w:sectPr>
          <w:headerReference w:type="even" r:id="rId40"/>
          <w:headerReference w:type="default" r:id="rId41"/>
          <w:footerReference w:type="even" r:id="rId42"/>
          <w:footerReference w:type="default" r:id="rId43"/>
          <w:headerReference w:type="first" r:id="rId44"/>
          <w:footerReference w:type="first" r:id="rId45"/>
          <w:pgSz w:w="11900" w:h="16840"/>
          <w:pgMar w:top="1270" w:right="1460" w:bottom="1937" w:left="1446" w:header="0" w:footer="1509" w:gutter="0"/>
          <w:pgNumType w:start="6"/>
          <w:cols w:space="720"/>
          <w:noEndnote/>
          <w:rtlGutter w:val="0"/>
          <w:docGrid w:linePitch="360"/>
        </w:sectPr>
      </w:pPr>
      <w:bookmarkStart w:id="53" w:name="bookmark53"/>
      <w:r>
        <w:rPr>
          <w:rFonts w:ascii="Times New Roman" w:eastAsia="Times New Roman" w:hAnsi="Times New Roman" w:cs="Times New Roman"/>
          <w:color w:val="000000"/>
          <w:spacing w:val="0"/>
          <w:w w:val="100"/>
          <w:position w:val="0"/>
          <w:sz w:val="20"/>
          <w:szCs w:val="20"/>
          <w:lang w:val="en-US" w:eastAsia="en-US" w:bidi="en-US"/>
        </w:rPr>
        <w:t>b</w:t>
      </w:r>
      <w:bookmarkEnd w:id="5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简要说明选择评估方法的依据或原因；</w:t>
      </w:r>
    </w:p>
    <w:p>
      <w:pPr>
        <w:pStyle w:val="Bodytext20"/>
        <w:keepNext w:val="0"/>
        <w:keepLines w:val="0"/>
        <w:widowControl w:val="0"/>
        <w:shd w:val="clear" w:color="auto" w:fill="auto"/>
        <w:bidi w:val="0"/>
        <w:spacing w:before="0" w:after="0" w:line="386" w:lineRule="exact"/>
        <w:ind w:left="0" w:right="0" w:firstLine="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4. 3.</w:t>
      </w:r>
      <w:r>
        <w:rPr>
          <w:rFonts w:ascii="Times New Roman" w:eastAsia="Times New Roman" w:hAnsi="Times New Roman" w:cs="Times New Roman"/>
          <w:color w:val="000000"/>
          <w:spacing w:val="0"/>
          <w:w w:val="100"/>
          <w:position w:val="0"/>
          <w:sz w:val="20"/>
          <w:szCs w:val="20"/>
          <w:lang w:val="zh-CN" w:eastAsia="zh-CN" w:bidi="zh-CN"/>
        </w:rPr>
        <w:t>10</w:t>
      </w:r>
      <w:r>
        <w:rPr>
          <w:rFonts w:ascii="SimSun" w:eastAsia="SimSun" w:hAnsi="SimSun" w:cs="SimSun"/>
          <w:color w:val="000000"/>
          <w:spacing w:val="0"/>
          <w:w w:val="100"/>
          <w:position w:val="0"/>
          <w:sz w:val="19"/>
          <w:szCs w:val="19"/>
          <w:lang w:val="zh-TW" w:eastAsia="zh-TW" w:bidi="zh-TW"/>
        </w:rPr>
        <w:t>评估过程</w:t>
      </w:r>
    </w:p>
    <w:p>
      <w:pPr>
        <w:pStyle w:val="Bodytext10"/>
        <w:keepNext w:val="0"/>
        <w:keepLines w:val="0"/>
        <w:widowControl w:val="0"/>
        <w:shd w:val="clear" w:color="auto" w:fill="auto"/>
        <w:tabs>
          <w:tab w:val="left" w:pos="771"/>
        </w:tabs>
        <w:bidi w:val="0"/>
        <w:spacing w:before="0" w:after="0" w:line="386" w:lineRule="exact"/>
        <w:ind w:left="0" w:right="0" w:firstLine="420"/>
        <w:jc w:val="both"/>
      </w:pPr>
      <w:bookmarkStart w:id="54" w:name="bookmark54"/>
      <w:r>
        <w:rPr>
          <w:rFonts w:ascii="Times New Roman" w:eastAsia="Times New Roman" w:hAnsi="Times New Roman" w:cs="Times New Roman"/>
          <w:color w:val="000000"/>
          <w:spacing w:val="0"/>
          <w:w w:val="100"/>
          <w:position w:val="0"/>
          <w:sz w:val="20"/>
          <w:szCs w:val="20"/>
          <w:lang w:val="en-US" w:eastAsia="en-US" w:bidi="en-US"/>
        </w:rPr>
        <w:t>a</w:t>
      </w:r>
      <w:bookmarkEnd w:id="5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评估过程应反映评估机构自接受评估项目委托起至提交评估报告的工作过程，包括接受委 托、资产清查、评定估算、评估汇总、提交报告等过程；</w:t>
      </w:r>
    </w:p>
    <w:p>
      <w:pPr>
        <w:pStyle w:val="Bodytext10"/>
        <w:keepNext w:val="0"/>
        <w:keepLines w:val="0"/>
        <w:widowControl w:val="0"/>
        <w:shd w:val="clear" w:color="auto" w:fill="auto"/>
        <w:tabs>
          <w:tab w:val="left" w:pos="776"/>
        </w:tabs>
        <w:bidi w:val="0"/>
        <w:spacing w:before="0" w:after="0" w:line="386" w:lineRule="exact"/>
        <w:ind w:left="0" w:right="0" w:firstLine="420"/>
        <w:jc w:val="both"/>
      </w:pPr>
      <w:bookmarkStart w:id="55" w:name="bookmark55"/>
      <w:r>
        <w:rPr>
          <w:rFonts w:ascii="Times New Roman" w:eastAsia="Times New Roman" w:hAnsi="Times New Roman" w:cs="Times New Roman"/>
          <w:color w:val="000000"/>
          <w:spacing w:val="0"/>
          <w:w w:val="100"/>
          <w:position w:val="0"/>
          <w:sz w:val="20"/>
          <w:szCs w:val="20"/>
          <w:lang w:val="en-US" w:eastAsia="en-US" w:bidi="en-US"/>
        </w:rPr>
        <w:t>b</w:t>
      </w:r>
      <w:bookmarkEnd w:id="5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接受委托中应明确反映接受项目委托、确定评估目的和评估对象及范围、选定评估基准日、 拟定评估方案的过程；</w:t>
      </w:r>
    </w:p>
    <w:p>
      <w:pPr>
        <w:pStyle w:val="Bodytext10"/>
        <w:keepNext w:val="0"/>
        <w:keepLines w:val="0"/>
        <w:widowControl w:val="0"/>
        <w:shd w:val="clear" w:color="auto" w:fill="auto"/>
        <w:tabs>
          <w:tab w:val="left" w:pos="788"/>
        </w:tabs>
        <w:bidi w:val="0"/>
        <w:spacing w:before="0" w:after="0" w:line="384" w:lineRule="exact"/>
        <w:ind w:left="0" w:right="0" w:firstLine="420"/>
        <w:jc w:val="both"/>
      </w:pPr>
      <w:bookmarkStart w:id="56" w:name="bookmark56"/>
      <w:r>
        <w:rPr>
          <w:rFonts w:ascii="Times New Roman" w:eastAsia="Times New Roman" w:hAnsi="Times New Roman" w:cs="Times New Roman"/>
          <w:color w:val="000000"/>
          <w:spacing w:val="0"/>
          <w:w w:val="100"/>
          <w:position w:val="0"/>
          <w:sz w:val="20"/>
          <w:szCs w:val="20"/>
          <w:lang w:val="en-US" w:eastAsia="en-US" w:bidi="en-US"/>
        </w:rPr>
        <w:t>c</w:t>
      </w:r>
      <w:bookmarkEnd w:id="5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资产清查中应反映指导资产占有方清査资产与收集准备资料、资产核查与验证资料的过程;</w:t>
      </w:r>
    </w:p>
    <w:p>
      <w:pPr>
        <w:pStyle w:val="Bodytext10"/>
        <w:keepNext w:val="0"/>
        <w:keepLines w:val="0"/>
        <w:widowControl w:val="0"/>
        <w:shd w:val="clear" w:color="auto" w:fill="auto"/>
        <w:tabs>
          <w:tab w:val="left" w:pos="781"/>
        </w:tabs>
        <w:bidi w:val="0"/>
        <w:spacing w:before="0" w:after="0" w:line="384" w:lineRule="exact"/>
        <w:ind w:left="0" w:right="0" w:firstLine="420"/>
        <w:jc w:val="both"/>
      </w:pPr>
      <w:bookmarkStart w:id="57" w:name="bookmark57"/>
      <w:r>
        <w:rPr>
          <w:rFonts w:ascii="Times New Roman" w:eastAsia="Times New Roman" w:hAnsi="Times New Roman" w:cs="Times New Roman"/>
          <w:color w:val="000000"/>
          <w:spacing w:val="0"/>
          <w:w w:val="100"/>
          <w:position w:val="0"/>
          <w:sz w:val="20"/>
          <w:szCs w:val="20"/>
          <w:lang w:val="en-US" w:eastAsia="en-US" w:bidi="en-US"/>
        </w:rPr>
        <w:t>d</w:t>
      </w:r>
      <w:bookmarkEnd w:id="5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评定估算中应反映现场核查、选择评估方法、收集市场信息、具体计算过程，在该部分应 针对评估方法反映评估过程的特点；</w:t>
      </w:r>
    </w:p>
    <w:p>
      <w:pPr>
        <w:pStyle w:val="Bodytext10"/>
        <w:keepNext w:val="0"/>
        <w:keepLines w:val="0"/>
        <w:widowControl w:val="0"/>
        <w:shd w:val="clear" w:color="auto" w:fill="auto"/>
        <w:tabs>
          <w:tab w:val="left" w:pos="786"/>
        </w:tabs>
        <w:bidi w:val="0"/>
        <w:spacing w:before="0" w:after="0" w:line="384" w:lineRule="exact"/>
        <w:ind w:left="0" w:right="0" w:firstLine="420"/>
        <w:jc w:val="left"/>
      </w:pPr>
      <w:bookmarkStart w:id="58" w:name="bookmark58"/>
      <w:r>
        <w:rPr>
          <w:rFonts w:ascii="Times New Roman" w:eastAsia="Times New Roman" w:hAnsi="Times New Roman" w:cs="Times New Roman"/>
          <w:color w:val="000000"/>
          <w:spacing w:val="0"/>
          <w:w w:val="100"/>
          <w:position w:val="0"/>
          <w:sz w:val="20"/>
          <w:szCs w:val="20"/>
          <w:lang w:val="en-US" w:eastAsia="en-US" w:bidi="en-US"/>
        </w:rPr>
        <w:t>e</w:t>
      </w:r>
      <w:bookmarkEnd w:id="5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 xml:space="preserve">评估汇总中应反映评估结果汇总、评估结论分析、撰写说明与报告、内部＞:核的过程。 </w:t>
      </w:r>
      <w:r>
        <w:rPr>
          <w:rFonts w:ascii="Times New Roman" w:eastAsia="Times New Roman" w:hAnsi="Times New Roman" w:cs="Times New Roman"/>
          <w:color w:val="000000"/>
          <w:spacing w:val="0"/>
          <w:w w:val="100"/>
          <w:position w:val="0"/>
          <w:sz w:val="20"/>
          <w:szCs w:val="20"/>
          <w:lang w:val="en-US" w:eastAsia="en-US" w:bidi="en-US"/>
        </w:rPr>
        <w:t xml:space="preserve">4.3. </w:t>
      </w:r>
      <w:r>
        <w:rPr>
          <w:rFonts w:ascii="Times New Roman" w:eastAsia="Times New Roman" w:hAnsi="Times New Roman" w:cs="Times New Roman"/>
          <w:color w:val="000000"/>
          <w:spacing w:val="0"/>
          <w:w w:val="100"/>
          <w:position w:val="0"/>
          <w:sz w:val="20"/>
          <w:szCs w:val="20"/>
        </w:rPr>
        <w:t>11</w:t>
      </w:r>
      <w:r>
        <w:rPr>
          <w:color w:val="000000"/>
          <w:spacing w:val="0"/>
          <w:w w:val="100"/>
          <w:position w:val="0"/>
        </w:rPr>
        <w:t>评估结论</w:t>
      </w:r>
    </w:p>
    <w:p>
      <w:pPr>
        <w:pStyle w:val="Bodytext10"/>
        <w:keepNext w:val="0"/>
        <w:keepLines w:val="0"/>
        <w:widowControl w:val="0"/>
        <w:shd w:val="clear" w:color="auto" w:fill="auto"/>
        <w:tabs>
          <w:tab w:val="left" w:pos="762"/>
        </w:tabs>
        <w:bidi w:val="0"/>
        <w:spacing w:before="0" w:after="0" w:line="384" w:lineRule="exact"/>
        <w:ind w:left="0" w:right="0" w:firstLine="420"/>
        <w:jc w:val="both"/>
      </w:pPr>
      <w:bookmarkStart w:id="59" w:name="bookmark59"/>
      <w:r>
        <w:rPr>
          <w:rFonts w:ascii="Times New Roman" w:eastAsia="Times New Roman" w:hAnsi="Times New Roman" w:cs="Times New Roman"/>
          <w:color w:val="000000"/>
          <w:spacing w:val="0"/>
          <w:w w:val="100"/>
          <w:position w:val="0"/>
          <w:sz w:val="20"/>
          <w:szCs w:val="20"/>
          <w:lang w:val="en-US" w:eastAsia="en-US" w:bidi="en-US"/>
        </w:rPr>
        <w:t>a</w:t>
      </w:r>
      <w:bookmarkEnd w:id="5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评估结论应包括评估结果汇总表、评估后各资产占有方的份额和评估机构对评估结果发表 的结论；</w:t>
      </w:r>
    </w:p>
    <w:p>
      <w:pPr>
        <w:pStyle w:val="Bodytext10"/>
        <w:keepNext w:val="0"/>
        <w:keepLines w:val="0"/>
        <w:widowControl w:val="0"/>
        <w:shd w:val="clear" w:color="auto" w:fill="auto"/>
        <w:tabs>
          <w:tab w:val="left" w:pos="762"/>
        </w:tabs>
        <w:bidi w:val="0"/>
        <w:spacing w:before="0" w:after="0" w:line="384" w:lineRule="exact"/>
        <w:ind w:left="0" w:right="0" w:firstLine="420"/>
        <w:jc w:val="both"/>
      </w:pPr>
      <w:bookmarkStart w:id="60" w:name="bookmark60"/>
      <w:r>
        <w:rPr>
          <w:rFonts w:ascii="Times New Roman" w:eastAsia="Times New Roman" w:hAnsi="Times New Roman" w:cs="Times New Roman"/>
          <w:color w:val="000000"/>
          <w:spacing w:val="0"/>
          <w:w w:val="100"/>
          <w:position w:val="0"/>
          <w:sz w:val="20"/>
          <w:szCs w:val="20"/>
          <w:lang w:val="en-US" w:eastAsia="en-US" w:bidi="en-US"/>
        </w:rPr>
        <w:t>b</w:t>
      </w:r>
      <w:bookmarkEnd w:id="6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应使用表述性文字完整地叙述森林资源资产评估价值，并含有</w:t>
      </w:r>
      <w:r>
        <w:rPr>
          <w:color w:val="000000"/>
          <w:spacing w:val="0"/>
          <w:w w:val="100"/>
          <w:position w:val="0"/>
          <w:lang w:val="zh-CN" w:eastAsia="zh-CN" w:bidi="zh-CN"/>
        </w:rPr>
        <w:t>“评估</w:t>
      </w:r>
      <w:r>
        <w:rPr>
          <w:color w:val="000000"/>
          <w:spacing w:val="0"/>
          <w:w w:val="100"/>
          <w:position w:val="0"/>
        </w:rPr>
        <w:t>结论详细情况见森林 资源资产评估表”的提示；</w:t>
      </w:r>
    </w:p>
    <w:p>
      <w:pPr>
        <w:pStyle w:val="Bodytext10"/>
        <w:keepNext w:val="0"/>
        <w:keepLines w:val="0"/>
        <w:widowControl w:val="0"/>
        <w:shd w:val="clear" w:color="auto" w:fill="auto"/>
        <w:tabs>
          <w:tab w:val="left" w:pos="766"/>
        </w:tabs>
        <w:bidi w:val="0"/>
        <w:spacing w:before="0" w:after="0" w:line="384" w:lineRule="exact"/>
        <w:ind w:left="0" w:right="0" w:firstLine="420"/>
        <w:jc w:val="both"/>
        <w:rPr>
          <w:sz w:val="20"/>
          <w:szCs w:val="20"/>
        </w:rPr>
      </w:pPr>
      <w:bookmarkStart w:id="61" w:name="bookmark61"/>
      <w:r>
        <w:rPr>
          <w:rFonts w:ascii="Times New Roman" w:eastAsia="Times New Roman" w:hAnsi="Times New Roman" w:cs="Times New Roman"/>
          <w:color w:val="000000"/>
          <w:spacing w:val="0"/>
          <w:w w:val="100"/>
          <w:position w:val="0"/>
          <w:sz w:val="20"/>
          <w:szCs w:val="20"/>
          <w:lang w:val="en-US" w:eastAsia="en-US" w:bidi="en-US"/>
        </w:rPr>
        <w:t>c</w:t>
      </w:r>
      <w:bookmarkEnd w:id="6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sz w:val="19"/>
          <w:szCs w:val="19"/>
        </w:rPr>
        <w:t>评估结果除文字表述外，评估报告中还应按统一规定的格式列表揭示评估结果，表的格式 见附录</w:t>
      </w:r>
      <w:r>
        <w:rPr>
          <w:rFonts w:ascii="Times New Roman" w:eastAsia="Times New Roman" w:hAnsi="Times New Roman" w:cs="Times New Roman"/>
          <w:color w:val="000000"/>
          <w:spacing w:val="0"/>
          <w:w w:val="100"/>
          <w:position w:val="0"/>
          <w:sz w:val="20"/>
          <w:szCs w:val="20"/>
          <w:lang w:val="en-US" w:eastAsia="en-US" w:bidi="en-US"/>
        </w:rPr>
        <w:t>C</w:t>
      </w:r>
      <w:r>
        <w:rPr>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20"/>
          <w:szCs w:val="20"/>
          <w:lang w:val="en-US" w:eastAsia="en-US" w:bidi="en-US"/>
        </w:rPr>
        <w:t>.</w:t>
      </w:r>
    </w:p>
    <w:p>
      <w:pPr>
        <w:pStyle w:val="Bodytext10"/>
        <w:keepNext w:val="0"/>
        <w:keepLines w:val="0"/>
        <w:widowControl w:val="0"/>
        <w:shd w:val="clear" w:color="auto" w:fill="auto"/>
        <w:tabs>
          <w:tab w:val="left" w:pos="758"/>
        </w:tabs>
        <w:bidi w:val="0"/>
        <w:spacing w:before="0" w:after="0" w:line="384" w:lineRule="exact"/>
        <w:ind w:left="0" w:right="0"/>
        <w:jc w:val="left"/>
      </w:pPr>
      <w:bookmarkStart w:id="62" w:name="bookmark62"/>
      <w:r>
        <w:rPr>
          <w:rFonts w:ascii="Times New Roman" w:eastAsia="Times New Roman" w:hAnsi="Times New Roman" w:cs="Times New Roman"/>
          <w:color w:val="000000"/>
          <w:spacing w:val="0"/>
          <w:w w:val="100"/>
          <w:position w:val="0"/>
          <w:sz w:val="20"/>
          <w:szCs w:val="20"/>
          <w:lang w:val="en-US" w:eastAsia="en-US" w:bidi="en-US"/>
        </w:rPr>
        <w:t>d</w:t>
      </w:r>
      <w:bookmarkEnd w:id="6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存在多家资产占有方的项目，应分别说明评估结果；</w:t>
      </w:r>
    </w:p>
    <w:p>
      <w:pPr>
        <w:pStyle w:val="Bodytext10"/>
        <w:keepNext w:val="0"/>
        <w:keepLines w:val="0"/>
        <w:widowControl w:val="0"/>
        <w:shd w:val="clear" w:color="auto" w:fill="auto"/>
        <w:tabs>
          <w:tab w:val="left" w:pos="758"/>
        </w:tabs>
        <w:bidi w:val="0"/>
        <w:spacing w:before="0" w:after="0" w:line="384" w:lineRule="exact"/>
        <w:ind w:left="0" w:right="0"/>
        <w:jc w:val="left"/>
      </w:pPr>
      <w:bookmarkStart w:id="63" w:name="bookmark63"/>
      <w:r>
        <w:rPr>
          <w:rFonts w:ascii="Times New Roman" w:eastAsia="Times New Roman" w:hAnsi="Times New Roman" w:cs="Times New Roman"/>
          <w:color w:val="000000"/>
          <w:spacing w:val="0"/>
          <w:w w:val="100"/>
          <w:position w:val="0"/>
          <w:sz w:val="20"/>
          <w:szCs w:val="20"/>
          <w:lang w:val="en-US" w:eastAsia="en-US" w:bidi="en-US"/>
        </w:rPr>
        <w:t>e</w:t>
      </w:r>
      <w:bookmarkEnd w:id="6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对于不纳入评估汇总表的评估结果，应单独列示；</w:t>
      </w:r>
    </w:p>
    <w:p>
      <w:pPr>
        <w:pStyle w:val="Bodytext10"/>
        <w:keepNext w:val="0"/>
        <w:keepLines w:val="0"/>
        <w:widowControl w:val="0"/>
        <w:shd w:val="clear" w:color="auto" w:fill="auto"/>
        <w:tabs>
          <w:tab w:val="left" w:pos="771"/>
        </w:tabs>
        <w:bidi w:val="0"/>
        <w:spacing w:before="0" w:after="0" w:line="384" w:lineRule="exact"/>
        <w:ind w:left="0" w:right="0" w:firstLine="420"/>
        <w:jc w:val="both"/>
      </w:pPr>
      <w:bookmarkStart w:id="64" w:name="bookmark64"/>
      <w:r>
        <w:rPr>
          <w:rFonts w:ascii="Times New Roman" w:eastAsia="Times New Roman" w:hAnsi="Times New Roman" w:cs="Times New Roman"/>
          <w:color w:val="000000"/>
          <w:spacing w:val="0"/>
          <w:w w:val="100"/>
          <w:position w:val="0"/>
          <w:sz w:val="20"/>
          <w:szCs w:val="20"/>
          <w:lang w:val="en-US" w:eastAsia="en-US" w:bidi="en-US"/>
        </w:rPr>
        <w:t>f</w:t>
      </w:r>
      <w:bookmarkEnd w:id="6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评估机构如对所揭示的评估结果认为应该揭示并在评估报告中发表自己的看法，以提示森 林资源资产评估报告使用者注意。</w:t>
      </w:r>
    </w:p>
    <w:p>
      <w:pPr>
        <w:pStyle w:val="Bodytext10"/>
        <w:keepNext w:val="0"/>
        <w:keepLines w:val="0"/>
        <w:widowControl w:val="0"/>
        <w:shd w:val="clear" w:color="auto" w:fill="auto"/>
        <w:bidi w:val="0"/>
        <w:spacing w:before="0" w:after="0" w:line="389"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4. 3.12</w:t>
      </w:r>
      <w:r>
        <w:rPr>
          <w:color w:val="000000"/>
          <w:spacing w:val="0"/>
          <w:w w:val="100"/>
          <w:position w:val="0"/>
        </w:rPr>
        <w:t>特别事项说明</w:t>
      </w:r>
    </w:p>
    <w:p>
      <w:pPr>
        <w:pStyle w:val="Bodytext10"/>
        <w:keepNext w:val="0"/>
        <w:keepLines w:val="0"/>
        <w:widowControl w:val="0"/>
        <w:shd w:val="clear" w:color="auto" w:fill="auto"/>
        <w:tabs>
          <w:tab w:val="left" w:pos="747"/>
        </w:tabs>
        <w:bidi w:val="0"/>
        <w:spacing w:before="0" w:after="0" w:line="389" w:lineRule="exact"/>
        <w:ind w:left="0" w:right="0" w:firstLine="420"/>
        <w:jc w:val="both"/>
      </w:pPr>
      <w:bookmarkStart w:id="65" w:name="bookmark65"/>
      <w:r>
        <w:rPr>
          <w:rFonts w:ascii="Times New Roman" w:eastAsia="Times New Roman" w:hAnsi="Times New Roman" w:cs="Times New Roman"/>
          <w:color w:val="000000"/>
          <w:spacing w:val="0"/>
          <w:w w:val="100"/>
          <w:position w:val="0"/>
          <w:sz w:val="20"/>
          <w:szCs w:val="20"/>
          <w:lang w:val="en-US" w:eastAsia="en-US" w:bidi="en-US"/>
        </w:rPr>
        <w:t>a</w:t>
      </w:r>
      <w:bookmarkEnd w:id="6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评估报告中陈述的特别事项是指在己确定评估结果的前提下，评估人员掲示在评估过程中 已发现可能影响评估结论，但非评估人员执业水平和能力所能评定估算的有关事项；</w:t>
      </w:r>
    </w:p>
    <w:p>
      <w:pPr>
        <w:pStyle w:val="Bodytext10"/>
        <w:keepNext w:val="0"/>
        <w:keepLines w:val="0"/>
        <w:widowControl w:val="0"/>
        <w:shd w:val="clear" w:color="auto" w:fill="auto"/>
        <w:tabs>
          <w:tab w:val="left" w:pos="763"/>
        </w:tabs>
        <w:bidi w:val="0"/>
        <w:spacing w:before="0" w:after="0" w:line="384" w:lineRule="exact"/>
        <w:ind w:left="0" w:right="0"/>
        <w:jc w:val="left"/>
      </w:pPr>
      <w:bookmarkStart w:id="66" w:name="bookmark66"/>
      <w:r>
        <w:rPr>
          <w:rFonts w:ascii="Times New Roman" w:eastAsia="Times New Roman" w:hAnsi="Times New Roman" w:cs="Times New Roman"/>
          <w:color w:val="000000"/>
          <w:spacing w:val="0"/>
          <w:w w:val="100"/>
          <w:position w:val="0"/>
          <w:sz w:val="20"/>
          <w:szCs w:val="20"/>
          <w:lang w:val="en-US" w:eastAsia="en-US" w:bidi="en-US"/>
        </w:rPr>
        <w:t>b</w:t>
      </w:r>
      <w:bookmarkEnd w:id="6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提示评估报告使用者应注意特别事项对评估结论的影响；</w:t>
      </w:r>
    </w:p>
    <w:p>
      <w:pPr>
        <w:pStyle w:val="Bodytext10"/>
        <w:keepNext w:val="0"/>
        <w:keepLines w:val="0"/>
        <w:widowControl w:val="0"/>
        <w:shd w:val="clear" w:color="auto" w:fill="auto"/>
        <w:bidi w:val="0"/>
        <w:spacing w:before="0" w:after="0" w:line="384" w:lineRule="exact"/>
        <w:ind w:left="0" w:right="0"/>
        <w:jc w:val="left"/>
      </w:pPr>
      <w:r>
        <w:rPr>
          <w:rFonts w:ascii="Times New Roman" w:eastAsia="Times New Roman" w:hAnsi="Times New Roman" w:cs="Times New Roman"/>
          <w:color w:val="000000"/>
          <w:spacing w:val="0"/>
          <w:w w:val="100"/>
          <w:position w:val="0"/>
          <w:sz w:val="20"/>
          <w:szCs w:val="20"/>
          <w:lang w:val="en-US" w:eastAsia="en-US" w:bidi="en-US"/>
        </w:rPr>
        <w:t>C</w:t>
      </w:r>
      <w:r>
        <w:rPr>
          <w:color w:val="000000"/>
          <w:spacing w:val="0"/>
          <w:w w:val="100"/>
          <w:position w:val="0"/>
          <w:sz w:val="20"/>
          <w:szCs w:val="20"/>
          <w:lang w:val="en-US" w:eastAsia="en-US" w:bidi="en-US"/>
        </w:rPr>
        <w:t>）</w:t>
      </w:r>
      <w:r>
        <w:rPr>
          <w:color w:val="000000"/>
          <w:spacing w:val="0"/>
          <w:w w:val="100"/>
          <w:position w:val="0"/>
        </w:rPr>
        <w:t>揭示评估人员认为需要说明的其他问题。</w:t>
      </w:r>
    </w:p>
    <w:p>
      <w:pPr>
        <w:pStyle w:val="Bodytext10"/>
        <w:keepNext w:val="0"/>
        <w:keepLines w:val="0"/>
        <w:widowControl w:val="0"/>
        <w:shd w:val="clear" w:color="auto" w:fill="auto"/>
        <w:bidi w:val="0"/>
        <w:spacing w:before="0" w:after="0" w:line="384"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rPr>
        <w:t>13</w:t>
      </w:r>
      <w:r>
        <w:rPr>
          <w:color w:val="000000"/>
          <w:spacing w:val="0"/>
          <w:w w:val="100"/>
          <w:position w:val="0"/>
        </w:rPr>
        <w:t>评估基准日期后重大事项</w:t>
      </w:r>
    </w:p>
    <w:p>
      <w:pPr>
        <w:pStyle w:val="Bodytext10"/>
        <w:keepNext w:val="0"/>
        <w:keepLines w:val="0"/>
        <w:widowControl w:val="0"/>
        <w:shd w:val="clear" w:color="auto" w:fill="auto"/>
        <w:tabs>
          <w:tab w:val="left" w:pos="758"/>
        </w:tabs>
        <w:bidi w:val="0"/>
        <w:spacing w:before="0" w:after="0" w:line="384" w:lineRule="exact"/>
        <w:ind w:left="0" w:right="0"/>
        <w:jc w:val="left"/>
      </w:pPr>
      <w:bookmarkStart w:id="67" w:name="bookmark67"/>
      <w:r>
        <w:rPr>
          <w:rFonts w:ascii="Times New Roman" w:eastAsia="Times New Roman" w:hAnsi="Times New Roman" w:cs="Times New Roman"/>
          <w:color w:val="000000"/>
          <w:spacing w:val="0"/>
          <w:w w:val="100"/>
          <w:position w:val="0"/>
          <w:sz w:val="20"/>
          <w:szCs w:val="20"/>
          <w:lang w:val="en-US" w:eastAsia="en-US" w:bidi="en-US"/>
        </w:rPr>
        <w:t>a</w:t>
      </w:r>
      <w:bookmarkEnd w:id="6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揭示评估基准日之后发生的重要事项；</w:t>
      </w:r>
    </w:p>
    <w:p>
      <w:pPr>
        <w:pStyle w:val="Bodytext10"/>
        <w:keepNext w:val="0"/>
        <w:keepLines w:val="0"/>
        <w:widowControl w:val="0"/>
        <w:shd w:val="clear" w:color="auto" w:fill="auto"/>
        <w:tabs>
          <w:tab w:val="left" w:pos="763"/>
        </w:tabs>
        <w:bidi w:val="0"/>
        <w:spacing w:before="0" w:after="0" w:line="384" w:lineRule="exact"/>
        <w:ind w:left="0" w:right="0"/>
        <w:jc w:val="left"/>
      </w:pPr>
      <w:bookmarkStart w:id="68" w:name="bookmark68"/>
      <w:r>
        <w:rPr>
          <w:rFonts w:ascii="Times New Roman" w:eastAsia="Times New Roman" w:hAnsi="Times New Roman" w:cs="Times New Roman"/>
          <w:color w:val="000000"/>
          <w:spacing w:val="0"/>
          <w:w w:val="100"/>
          <w:position w:val="0"/>
          <w:sz w:val="20"/>
          <w:szCs w:val="20"/>
          <w:lang w:val="en-US" w:eastAsia="en-US" w:bidi="en-US"/>
        </w:rPr>
        <w:t>b</w:t>
      </w:r>
      <w:bookmarkEnd w:id="6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特别提示评估基准日的期后事项对评估结论的影响；</w:t>
      </w:r>
    </w:p>
    <w:p>
      <w:pPr>
        <w:pStyle w:val="Bodytext10"/>
        <w:keepNext w:val="0"/>
        <w:keepLines w:val="0"/>
        <w:widowControl w:val="0"/>
        <w:shd w:val="clear" w:color="auto" w:fill="auto"/>
        <w:tabs>
          <w:tab w:val="left" w:pos="763"/>
        </w:tabs>
        <w:bidi w:val="0"/>
        <w:spacing w:before="0" w:after="0" w:line="384" w:lineRule="exact"/>
        <w:ind w:left="0" w:right="0"/>
        <w:jc w:val="left"/>
      </w:pPr>
      <w:bookmarkStart w:id="69" w:name="bookmark69"/>
      <w:r>
        <w:rPr>
          <w:rFonts w:ascii="Times New Roman" w:eastAsia="Times New Roman" w:hAnsi="Times New Roman" w:cs="Times New Roman"/>
          <w:color w:val="000000"/>
          <w:spacing w:val="0"/>
          <w:w w:val="100"/>
          <w:position w:val="0"/>
          <w:sz w:val="20"/>
          <w:szCs w:val="20"/>
          <w:lang w:val="en-US" w:eastAsia="en-US" w:bidi="en-US"/>
        </w:rPr>
        <w:t>c</w:t>
      </w:r>
      <w:bookmarkEnd w:id="6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说明所揭示的期后事项系评估基准日至评估报告提出日期之间发生的重大事项；</w:t>
      </w:r>
    </w:p>
    <w:p>
      <w:pPr>
        <w:pStyle w:val="Bodytext10"/>
        <w:keepNext w:val="0"/>
        <w:keepLines w:val="0"/>
        <w:widowControl w:val="0"/>
        <w:shd w:val="clear" w:color="auto" w:fill="auto"/>
        <w:tabs>
          <w:tab w:val="left" w:pos="763"/>
        </w:tabs>
        <w:bidi w:val="0"/>
        <w:spacing w:before="0" w:after="0" w:line="384" w:lineRule="exact"/>
        <w:ind w:left="0" w:right="0"/>
        <w:jc w:val="left"/>
      </w:pPr>
      <w:bookmarkStart w:id="70" w:name="bookmark70"/>
      <w:r>
        <w:rPr>
          <w:rFonts w:ascii="Times New Roman" w:eastAsia="Times New Roman" w:hAnsi="Times New Roman" w:cs="Times New Roman"/>
          <w:color w:val="000000"/>
          <w:spacing w:val="0"/>
          <w:w w:val="100"/>
          <w:position w:val="0"/>
          <w:sz w:val="20"/>
          <w:szCs w:val="20"/>
          <w:lang w:val="en-US" w:eastAsia="en-US" w:bidi="en-US"/>
        </w:rPr>
        <w:t>d</w:t>
      </w:r>
      <w:bookmarkEnd w:id="7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说明发生在评估基准日期后不能直接使用评估结论的事项。</w:t>
      </w:r>
    </w:p>
    <w:p>
      <w:pPr>
        <w:pStyle w:val="Bodytext10"/>
        <w:keepNext w:val="0"/>
        <w:keepLines w:val="0"/>
        <w:widowControl w:val="0"/>
        <w:shd w:val="clear" w:color="auto" w:fill="auto"/>
        <w:bidi w:val="0"/>
        <w:spacing w:before="0" w:after="0" w:line="384"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rPr>
        <w:t>14</w:t>
      </w:r>
      <w:r>
        <w:rPr>
          <w:color w:val="000000"/>
          <w:spacing w:val="0"/>
          <w:w w:val="100"/>
          <w:position w:val="0"/>
        </w:rPr>
        <w:t>评估报告法律效力</w:t>
      </w:r>
    </w:p>
    <w:p>
      <w:pPr>
        <w:pStyle w:val="Bodytext10"/>
        <w:keepNext w:val="0"/>
        <w:keepLines w:val="0"/>
        <w:widowControl w:val="0"/>
        <w:shd w:val="clear" w:color="auto" w:fill="auto"/>
        <w:tabs>
          <w:tab w:val="left" w:pos="758"/>
        </w:tabs>
        <w:bidi w:val="0"/>
        <w:spacing w:before="0" w:after="0" w:line="384" w:lineRule="exact"/>
        <w:ind w:left="0" w:right="0"/>
        <w:jc w:val="left"/>
      </w:pPr>
      <w:bookmarkStart w:id="71" w:name="bookmark71"/>
      <w:r>
        <w:rPr>
          <w:rFonts w:ascii="Times New Roman" w:eastAsia="Times New Roman" w:hAnsi="Times New Roman" w:cs="Times New Roman"/>
          <w:color w:val="000000"/>
          <w:spacing w:val="0"/>
          <w:w w:val="100"/>
          <w:position w:val="0"/>
          <w:sz w:val="20"/>
          <w:szCs w:val="20"/>
          <w:lang w:val="en-US" w:eastAsia="en-US" w:bidi="en-US"/>
        </w:rPr>
        <w:t>a</w:t>
      </w:r>
      <w:bookmarkEnd w:id="7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具体写明评估报告成立的前提条件和假设条件；</w:t>
      </w:r>
    </w:p>
    <w:p>
      <w:pPr>
        <w:pStyle w:val="Bodytext10"/>
        <w:keepNext w:val="0"/>
        <w:keepLines w:val="0"/>
        <w:widowControl w:val="0"/>
        <w:shd w:val="clear" w:color="auto" w:fill="auto"/>
        <w:tabs>
          <w:tab w:val="left" w:pos="763"/>
        </w:tabs>
        <w:bidi w:val="0"/>
        <w:spacing w:before="0" w:after="0" w:line="384" w:lineRule="exact"/>
        <w:ind w:left="0" w:right="0"/>
        <w:jc w:val="left"/>
      </w:pPr>
      <w:bookmarkStart w:id="72" w:name="bookmark72"/>
      <w:r>
        <w:rPr>
          <w:rFonts w:ascii="Times New Roman" w:eastAsia="Times New Roman" w:hAnsi="Times New Roman" w:cs="Times New Roman"/>
          <w:color w:val="000000"/>
          <w:spacing w:val="0"/>
          <w:w w:val="100"/>
          <w:position w:val="0"/>
          <w:sz w:val="20"/>
          <w:szCs w:val="20"/>
          <w:lang w:val="en-US" w:eastAsia="en-US" w:bidi="en-US"/>
        </w:rPr>
        <w:t>b</w:t>
      </w:r>
      <w:bookmarkEnd w:id="7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写明评估报告的作用依照法律法规的有关规定发生法律效力；</w:t>
      </w:r>
    </w:p>
    <w:p>
      <w:pPr>
        <w:pStyle w:val="Bodytext10"/>
        <w:keepNext w:val="0"/>
        <w:keepLines w:val="0"/>
        <w:widowControl w:val="0"/>
        <w:shd w:val="clear" w:color="auto" w:fill="auto"/>
        <w:tabs>
          <w:tab w:val="left" w:pos="763"/>
        </w:tabs>
        <w:bidi w:val="0"/>
        <w:spacing w:before="0" w:after="0" w:line="384" w:lineRule="exact"/>
        <w:ind w:left="0" w:right="0"/>
        <w:jc w:val="left"/>
      </w:pPr>
      <w:bookmarkStart w:id="73" w:name="bookmark73"/>
      <w:r>
        <w:rPr>
          <w:rFonts w:ascii="Times New Roman" w:eastAsia="Times New Roman" w:hAnsi="Times New Roman" w:cs="Times New Roman"/>
          <w:color w:val="000000"/>
          <w:spacing w:val="0"/>
          <w:w w:val="100"/>
          <w:position w:val="0"/>
          <w:sz w:val="20"/>
          <w:szCs w:val="20"/>
          <w:lang w:val="en-US" w:eastAsia="en-US" w:bidi="en-US"/>
        </w:rPr>
        <w:t>c</w:t>
      </w:r>
      <w:bookmarkEnd w:id="7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写明评估结论的有效使用期限；</w:t>
      </w:r>
    </w:p>
    <w:p>
      <w:pPr>
        <w:pStyle w:val="Bodytext10"/>
        <w:keepNext w:val="0"/>
        <w:keepLines w:val="0"/>
        <w:widowControl w:val="0"/>
        <w:shd w:val="clear" w:color="auto" w:fill="auto"/>
        <w:tabs>
          <w:tab w:val="left" w:pos="766"/>
        </w:tabs>
        <w:bidi w:val="0"/>
        <w:spacing w:before="0" w:after="0" w:line="384" w:lineRule="exact"/>
        <w:ind w:left="0" w:right="0" w:firstLine="420"/>
        <w:jc w:val="both"/>
        <w:sectPr>
          <w:headerReference w:type="even" r:id="rId46"/>
          <w:headerReference w:type="default" r:id="rId47"/>
          <w:footerReference w:type="even" r:id="rId48"/>
          <w:footerReference w:type="default" r:id="rId49"/>
          <w:headerReference w:type="first" r:id="rId50"/>
          <w:footerReference w:type="first" r:id="rId51"/>
          <w:pgSz w:w="11900" w:h="16840"/>
          <w:pgMar w:top="1270" w:right="1460" w:bottom="1937" w:left="1446" w:header="0" w:footer="3" w:gutter="0"/>
          <w:pgNumType w:start="4"/>
          <w:cols w:space="720"/>
          <w:noEndnote/>
          <w:rtlGutter w:val="0"/>
          <w:docGrid w:linePitch="360"/>
        </w:sectPr>
      </w:pPr>
      <w:bookmarkStart w:id="74" w:name="bookmark74"/>
      <w:r>
        <w:rPr>
          <w:rFonts w:ascii="Times New Roman" w:eastAsia="Times New Roman" w:hAnsi="Times New Roman" w:cs="Times New Roman"/>
          <w:color w:val="000000"/>
          <w:spacing w:val="0"/>
          <w:w w:val="100"/>
          <w:position w:val="0"/>
          <w:sz w:val="20"/>
          <w:szCs w:val="20"/>
          <w:lang w:val="en-US" w:eastAsia="en-US" w:bidi="en-US"/>
        </w:rPr>
        <w:t>d</w:t>
      </w:r>
      <w:bookmarkEnd w:id="7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写明评估结论仅供委托方为评估目的使用和送交财产评估主管机关审查使用，申明评估报 告书的使用权归委托方所有，未经委托方许可评估机构不得随意向他人提供或公开。</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4. 3. </w:t>
      </w:r>
      <w:r>
        <w:rPr>
          <w:rFonts w:ascii="Times New Roman" w:eastAsia="Times New Roman" w:hAnsi="Times New Roman" w:cs="Times New Roman"/>
          <w:color w:val="000000"/>
          <w:spacing w:val="0"/>
          <w:w w:val="100"/>
          <w:position w:val="0"/>
          <w:sz w:val="20"/>
          <w:szCs w:val="20"/>
          <w:lang w:val="zh-CN" w:eastAsia="zh-CN" w:bidi="zh-CN"/>
        </w:rPr>
        <w:t>15</w:t>
      </w:r>
      <w:r>
        <w:rPr>
          <w:color w:val="000000"/>
          <w:spacing w:val="0"/>
          <w:w w:val="100"/>
          <w:position w:val="0"/>
        </w:rPr>
        <w:t>评估报告提出日期</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75" w:name="bookmark75"/>
      <w:r>
        <w:rPr>
          <w:rFonts w:ascii="Times New Roman" w:eastAsia="Times New Roman" w:hAnsi="Times New Roman" w:cs="Times New Roman"/>
          <w:color w:val="000000"/>
          <w:spacing w:val="0"/>
          <w:w w:val="100"/>
          <w:position w:val="0"/>
          <w:sz w:val="20"/>
          <w:szCs w:val="20"/>
          <w:lang w:val="en-US" w:eastAsia="en-US" w:bidi="en-US"/>
        </w:rPr>
        <w:t>a</w:t>
      </w:r>
      <w:bookmarkEnd w:id="7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用阿拉伯数字写明评估报告提交委托方的具体时间；</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76" w:name="bookmark76"/>
      <w:r>
        <w:rPr>
          <w:rFonts w:ascii="Times New Roman" w:eastAsia="Times New Roman" w:hAnsi="Times New Roman" w:cs="Times New Roman"/>
          <w:color w:val="000000"/>
          <w:spacing w:val="0"/>
          <w:w w:val="100"/>
          <w:position w:val="0"/>
          <w:sz w:val="20"/>
          <w:szCs w:val="20"/>
          <w:lang w:val="en-US" w:eastAsia="en-US" w:bidi="en-US"/>
        </w:rPr>
        <w:t>b</w:t>
      </w:r>
      <w:bookmarkEnd w:id="7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评估报告原则上应在确定的评估基准日后</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个月内提出。</w:t>
      </w:r>
    </w:p>
    <w:p>
      <w:pPr>
        <w:pStyle w:val="Bodytext20"/>
        <w:keepNext w:val="0"/>
        <w:keepLines w:val="0"/>
        <w:widowControl w:val="0"/>
        <w:numPr>
          <w:ilvl w:val="0"/>
          <w:numId w:val="7"/>
        </w:numPr>
        <w:shd w:val="clear" w:color="auto" w:fill="auto"/>
        <w:tabs>
          <w:tab w:val="left" w:pos="334"/>
        </w:tabs>
        <w:bidi w:val="0"/>
        <w:spacing w:before="0" w:after="140" w:line="240" w:lineRule="auto"/>
        <w:ind w:left="0" w:right="0" w:firstLine="0"/>
        <w:jc w:val="left"/>
        <w:rPr>
          <w:sz w:val="19"/>
          <w:szCs w:val="19"/>
        </w:rPr>
      </w:pPr>
      <w:bookmarkStart w:id="77" w:name="bookmark77"/>
      <w:bookmarkEnd w:id="77"/>
      <w:r>
        <w:rPr>
          <w:rFonts w:ascii="Times New Roman" w:eastAsia="Times New Roman" w:hAnsi="Times New Roman" w:cs="Times New Roman"/>
          <w:color w:val="000000"/>
          <w:spacing w:val="0"/>
          <w:w w:val="100"/>
          <w:position w:val="0"/>
          <w:sz w:val="20"/>
          <w:szCs w:val="20"/>
          <w:lang w:val="en-US" w:eastAsia="en-US" w:bidi="en-US"/>
        </w:rPr>
        <w:t xml:space="preserve">3. </w:t>
      </w:r>
      <w:r>
        <w:rPr>
          <w:rFonts w:ascii="Times New Roman" w:eastAsia="Times New Roman" w:hAnsi="Times New Roman" w:cs="Times New Roman"/>
          <w:color w:val="000000"/>
          <w:spacing w:val="0"/>
          <w:w w:val="100"/>
          <w:position w:val="0"/>
          <w:sz w:val="20"/>
          <w:szCs w:val="20"/>
          <w:lang w:val="zh-TW" w:eastAsia="zh-TW" w:bidi="zh-TW"/>
        </w:rPr>
        <w:t>16</w:t>
      </w:r>
      <w:r>
        <w:rPr>
          <w:rFonts w:ascii="SimSun" w:eastAsia="SimSun" w:hAnsi="SimSun" w:cs="SimSun"/>
          <w:color w:val="000000"/>
          <w:spacing w:val="0"/>
          <w:w w:val="100"/>
          <w:position w:val="0"/>
          <w:sz w:val="19"/>
          <w:szCs w:val="19"/>
          <w:lang w:val="zh-TW" w:eastAsia="zh-TW" w:bidi="zh-TW"/>
        </w:rPr>
        <w:t>尾部</w:t>
      </w:r>
    </w:p>
    <w:p>
      <w:pPr>
        <w:pStyle w:val="Bodytext10"/>
        <w:keepNext w:val="0"/>
        <w:keepLines w:val="0"/>
        <w:widowControl w:val="0"/>
        <w:shd w:val="clear" w:color="auto" w:fill="auto"/>
        <w:tabs>
          <w:tab w:val="left" w:pos="769"/>
        </w:tabs>
        <w:bidi w:val="0"/>
        <w:spacing w:before="0" w:after="140" w:line="240" w:lineRule="auto"/>
        <w:ind w:left="0" w:right="0"/>
        <w:jc w:val="left"/>
      </w:pPr>
      <w:bookmarkStart w:id="78" w:name="bookmark78"/>
      <w:r>
        <w:rPr>
          <w:rFonts w:ascii="Times New Roman" w:eastAsia="Times New Roman" w:hAnsi="Times New Roman" w:cs="Times New Roman"/>
          <w:color w:val="000000"/>
          <w:spacing w:val="0"/>
          <w:w w:val="100"/>
          <w:position w:val="0"/>
          <w:sz w:val="20"/>
          <w:szCs w:val="20"/>
          <w:lang w:val="en-US" w:eastAsia="en-US" w:bidi="en-US"/>
        </w:rPr>
        <w:t>a</w:t>
      </w:r>
      <w:bookmarkEnd w:id="7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评估机构法定代表人签名；</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79" w:name="bookmark79"/>
      <w:r>
        <w:rPr>
          <w:rFonts w:ascii="Times New Roman" w:eastAsia="Times New Roman" w:hAnsi="Times New Roman" w:cs="Times New Roman"/>
          <w:color w:val="000000"/>
          <w:spacing w:val="0"/>
          <w:w w:val="100"/>
          <w:position w:val="0"/>
          <w:sz w:val="20"/>
          <w:szCs w:val="20"/>
          <w:lang w:val="en-US" w:eastAsia="en-US" w:bidi="en-US"/>
        </w:rPr>
        <w:t>b</w:t>
      </w:r>
      <w:bookmarkEnd w:id="7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评估报告审核人签名；</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80" w:name="bookmark80"/>
      <w:r>
        <w:rPr>
          <w:rFonts w:ascii="Times New Roman" w:eastAsia="Times New Roman" w:hAnsi="Times New Roman" w:cs="Times New Roman"/>
          <w:color w:val="000000"/>
          <w:spacing w:val="0"/>
          <w:w w:val="100"/>
          <w:position w:val="0"/>
          <w:sz w:val="20"/>
          <w:szCs w:val="20"/>
          <w:lang w:val="en-US" w:eastAsia="en-US" w:bidi="en-US"/>
        </w:rPr>
        <w:t>c</w:t>
      </w:r>
      <w:bookmarkEnd w:id="8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由</w:t>
      </w:r>
      <w:r>
        <w:rPr>
          <w:rFonts w:ascii="Times New Roman" w:eastAsia="Times New Roman" w:hAnsi="Times New Roman" w:cs="Times New Roman"/>
          <w:color w:val="000000"/>
          <w:spacing w:val="0"/>
          <w:w w:val="100"/>
          <w:position w:val="0"/>
          <w:sz w:val="20"/>
          <w:szCs w:val="20"/>
        </w:rPr>
        <w:t>2</w:t>
      </w:r>
      <w:r>
        <w:rPr>
          <w:color w:val="000000"/>
          <w:spacing w:val="0"/>
          <w:w w:val="100"/>
          <w:position w:val="0"/>
        </w:rPr>
        <w:t>名以上具有森林资源资产评估资格人员签名；.</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81" w:name="bookmark81"/>
      <w:r>
        <w:rPr>
          <w:rFonts w:ascii="Times New Roman" w:eastAsia="Times New Roman" w:hAnsi="Times New Roman" w:cs="Times New Roman"/>
          <w:color w:val="000000"/>
          <w:spacing w:val="0"/>
          <w:w w:val="100"/>
          <w:position w:val="0"/>
          <w:sz w:val="20"/>
          <w:szCs w:val="20"/>
          <w:lang w:val="en-US" w:eastAsia="en-US" w:bidi="en-US"/>
        </w:rPr>
        <w:t>d</w:t>
      </w:r>
      <w:bookmarkEnd w:id="81"/>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评估机构盖章；</w:t>
      </w:r>
    </w:p>
    <w:p>
      <w:pPr>
        <w:pStyle w:val="Bodytext10"/>
        <w:keepNext w:val="0"/>
        <w:keepLines w:val="0"/>
        <w:widowControl w:val="0"/>
        <w:shd w:val="clear" w:color="auto" w:fill="auto"/>
        <w:tabs>
          <w:tab w:val="left" w:pos="769"/>
        </w:tabs>
        <w:bidi w:val="0"/>
        <w:spacing w:before="0" w:after="260" w:line="240" w:lineRule="auto"/>
        <w:ind w:left="0" w:right="0"/>
        <w:jc w:val="both"/>
      </w:pPr>
      <w:bookmarkStart w:id="82" w:name="bookmark82"/>
      <w:r>
        <w:rPr>
          <w:rFonts w:ascii="Times New Roman" w:eastAsia="Times New Roman" w:hAnsi="Times New Roman" w:cs="Times New Roman"/>
          <w:color w:val="000000"/>
          <w:spacing w:val="0"/>
          <w:w w:val="100"/>
          <w:position w:val="0"/>
          <w:sz w:val="20"/>
          <w:szCs w:val="20"/>
          <w:lang w:val="en-US" w:eastAsia="en-US" w:bidi="en-US"/>
        </w:rPr>
        <w:t>e</w:t>
      </w:r>
      <w:bookmarkEnd w:id="82"/>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盖骑缝章。</w:t>
      </w:r>
    </w:p>
    <w:p>
      <w:pPr>
        <w:pStyle w:val="Bodytext10"/>
        <w:keepNext w:val="0"/>
        <w:keepLines w:val="0"/>
        <w:widowControl w:val="0"/>
        <w:shd w:val="clear" w:color="auto" w:fill="auto"/>
        <w:bidi w:val="0"/>
        <w:spacing w:before="0" w:after="26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4.4</w:t>
      </w:r>
      <w:r>
        <w:rPr>
          <w:color w:val="000000"/>
          <w:spacing w:val="0"/>
          <w:w w:val="100"/>
          <w:position w:val="0"/>
        </w:rPr>
        <w:t>备查文件</w:t>
      </w:r>
    </w:p>
    <w:p>
      <w:pPr>
        <w:pStyle w:val="Bodytext10"/>
        <w:keepNext w:val="0"/>
        <w:keepLines w:val="0"/>
        <w:widowControl w:val="0"/>
        <w:shd w:val="clear" w:color="auto" w:fill="auto"/>
        <w:bidi w:val="0"/>
        <w:spacing w:before="0" w:after="140" w:line="240" w:lineRule="auto"/>
        <w:ind w:left="0" w:right="0" w:firstLine="540"/>
        <w:jc w:val="both"/>
      </w:pPr>
      <w:r>
        <w:rPr>
          <w:color w:val="000000"/>
          <w:spacing w:val="0"/>
          <w:w w:val="100"/>
          <w:position w:val="0"/>
        </w:rPr>
        <w:t>森林资源资产评估报告书应附以下文件：</w:t>
      </w:r>
    </w:p>
    <w:p>
      <w:pPr>
        <w:pStyle w:val="Bodytext10"/>
        <w:keepNext w:val="0"/>
        <w:keepLines w:val="0"/>
        <w:widowControl w:val="0"/>
        <w:shd w:val="clear" w:color="auto" w:fill="auto"/>
        <w:tabs>
          <w:tab w:val="left" w:pos="903"/>
        </w:tabs>
        <w:bidi w:val="0"/>
        <w:spacing w:before="0" w:after="140" w:line="240" w:lineRule="auto"/>
        <w:ind w:left="0" w:right="0" w:firstLine="540"/>
        <w:jc w:val="both"/>
      </w:pPr>
      <w:bookmarkStart w:id="83" w:name="bookmark83"/>
      <w:r>
        <w:rPr>
          <w:rFonts w:ascii="Times New Roman" w:eastAsia="Times New Roman" w:hAnsi="Times New Roman" w:cs="Times New Roman"/>
          <w:color w:val="000000"/>
          <w:spacing w:val="0"/>
          <w:w w:val="100"/>
          <w:position w:val="0"/>
          <w:sz w:val="20"/>
          <w:szCs w:val="20"/>
          <w:lang w:val="en-US" w:eastAsia="en-US" w:bidi="en-US"/>
        </w:rPr>
        <w:t>a</w:t>
      </w:r>
      <w:bookmarkEnd w:id="83"/>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有关经济行为文件；</w:t>
      </w:r>
    </w:p>
    <w:p>
      <w:pPr>
        <w:pStyle w:val="Bodytext10"/>
        <w:keepNext w:val="0"/>
        <w:keepLines w:val="0"/>
        <w:widowControl w:val="0"/>
        <w:shd w:val="clear" w:color="auto" w:fill="auto"/>
        <w:tabs>
          <w:tab w:val="left" w:pos="903"/>
        </w:tabs>
        <w:bidi w:val="0"/>
        <w:spacing w:before="0" w:after="140" w:line="240" w:lineRule="auto"/>
        <w:ind w:left="0" w:right="0" w:firstLine="540"/>
        <w:jc w:val="both"/>
      </w:pPr>
      <w:bookmarkStart w:id="84" w:name="bookmark84"/>
      <w:r>
        <w:rPr>
          <w:rFonts w:ascii="Times New Roman" w:eastAsia="Times New Roman" w:hAnsi="Times New Roman" w:cs="Times New Roman"/>
          <w:color w:val="000000"/>
          <w:spacing w:val="0"/>
          <w:w w:val="100"/>
          <w:position w:val="0"/>
          <w:sz w:val="20"/>
          <w:szCs w:val="20"/>
          <w:lang w:val="en-US" w:eastAsia="en-US" w:bidi="en-US"/>
        </w:rPr>
        <w:t>b</w:t>
      </w:r>
      <w:bookmarkEnd w:id="8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森林资源资产评估立项批准文件；</w:t>
      </w:r>
    </w:p>
    <w:p>
      <w:pPr>
        <w:pStyle w:val="Bodytext10"/>
        <w:keepNext w:val="0"/>
        <w:keepLines w:val="0"/>
        <w:widowControl w:val="0"/>
        <w:shd w:val="clear" w:color="auto" w:fill="auto"/>
        <w:bidi w:val="0"/>
        <w:spacing w:before="0" w:after="140" w:line="240" w:lineRule="auto"/>
        <w:ind w:left="0" w:right="0" w:firstLine="540"/>
        <w:jc w:val="both"/>
      </w:pPr>
      <w:r>
        <w:rPr>
          <w:rFonts w:ascii="Times New Roman" w:eastAsia="Times New Roman" w:hAnsi="Times New Roman" w:cs="Times New Roman"/>
          <w:color w:val="000000"/>
          <w:spacing w:val="0"/>
          <w:w w:val="100"/>
          <w:position w:val="0"/>
          <w:sz w:val="20"/>
          <w:szCs w:val="20"/>
        </w:rPr>
        <w:t>0</w:t>
      </w:r>
      <w:r>
        <w:rPr>
          <w:color w:val="000000"/>
          <w:spacing w:val="0"/>
          <w:w w:val="100"/>
          <w:position w:val="0"/>
        </w:rPr>
        <w:t>权属证明文件复印件；</w:t>
      </w:r>
    </w:p>
    <w:p>
      <w:pPr>
        <w:pStyle w:val="Bodytext10"/>
        <w:keepNext w:val="0"/>
        <w:keepLines w:val="0"/>
        <w:widowControl w:val="0"/>
        <w:shd w:val="clear" w:color="auto" w:fill="auto"/>
        <w:tabs>
          <w:tab w:val="left" w:pos="898"/>
        </w:tabs>
        <w:bidi w:val="0"/>
        <w:spacing w:before="0" w:after="140" w:line="240" w:lineRule="auto"/>
        <w:ind w:left="0" w:right="0" w:firstLine="540"/>
        <w:jc w:val="both"/>
      </w:pPr>
      <w:bookmarkStart w:id="85" w:name="bookmark85"/>
      <w:r>
        <w:rPr>
          <w:rFonts w:ascii="Times New Roman" w:eastAsia="Times New Roman" w:hAnsi="Times New Roman" w:cs="Times New Roman"/>
          <w:color w:val="000000"/>
          <w:spacing w:val="0"/>
          <w:w w:val="100"/>
          <w:position w:val="0"/>
          <w:sz w:val="20"/>
          <w:szCs w:val="20"/>
          <w:lang w:val="en-US" w:eastAsia="en-US" w:bidi="en-US"/>
        </w:rPr>
        <w:t>d</w:t>
      </w:r>
      <w:bookmarkEnd w:id="8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委托方、资产占有方的承诺函；</w:t>
      </w:r>
    </w:p>
    <w:p>
      <w:pPr>
        <w:pStyle w:val="Bodytext10"/>
        <w:keepNext w:val="0"/>
        <w:keepLines w:val="0"/>
        <w:widowControl w:val="0"/>
        <w:shd w:val="clear" w:color="auto" w:fill="auto"/>
        <w:tabs>
          <w:tab w:val="left" w:pos="898"/>
        </w:tabs>
        <w:bidi w:val="0"/>
        <w:spacing w:before="0" w:after="140" w:line="240" w:lineRule="auto"/>
        <w:ind w:left="0" w:right="0" w:firstLine="540"/>
        <w:jc w:val="both"/>
      </w:pPr>
      <w:bookmarkStart w:id="86" w:name="bookmark86"/>
      <w:r>
        <w:rPr>
          <w:rFonts w:ascii="Times New Roman" w:eastAsia="Times New Roman" w:hAnsi="Times New Roman" w:cs="Times New Roman"/>
          <w:color w:val="000000"/>
          <w:spacing w:val="0"/>
          <w:w w:val="100"/>
          <w:position w:val="0"/>
          <w:sz w:val="20"/>
          <w:szCs w:val="20"/>
          <w:lang w:val="en-US" w:eastAsia="en-US" w:bidi="en-US"/>
        </w:rPr>
        <w:t>e</w:t>
      </w:r>
      <w:bookmarkEnd w:id="8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森林资源资产评估人员和评估机构的承诺函；</w:t>
      </w:r>
    </w:p>
    <w:p>
      <w:pPr>
        <w:pStyle w:val="Bodytext10"/>
        <w:keepNext w:val="0"/>
        <w:keepLines w:val="0"/>
        <w:widowControl w:val="0"/>
        <w:shd w:val="clear" w:color="auto" w:fill="auto"/>
        <w:tabs>
          <w:tab w:val="left" w:pos="903"/>
        </w:tabs>
        <w:bidi w:val="0"/>
        <w:spacing w:before="0" w:after="140" w:line="240" w:lineRule="auto"/>
        <w:ind w:left="0" w:right="0" w:firstLine="540"/>
        <w:jc w:val="both"/>
      </w:pPr>
      <w:bookmarkStart w:id="87" w:name="bookmark87"/>
      <w:r>
        <w:rPr>
          <w:rFonts w:ascii="Times New Roman" w:eastAsia="Times New Roman" w:hAnsi="Times New Roman" w:cs="Times New Roman"/>
          <w:color w:val="000000"/>
          <w:spacing w:val="0"/>
          <w:w w:val="100"/>
          <w:position w:val="0"/>
          <w:sz w:val="20"/>
          <w:szCs w:val="20"/>
          <w:lang w:val="en-US" w:eastAsia="en-US" w:bidi="en-US"/>
        </w:rPr>
        <w:t>f</w:t>
      </w:r>
      <w:bookmarkEnd w:id="8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资产评估机构资格证书复印件；</w:t>
      </w:r>
    </w:p>
    <w:p>
      <w:pPr>
        <w:pStyle w:val="Bodytext10"/>
        <w:keepNext w:val="0"/>
        <w:keepLines w:val="0"/>
        <w:widowControl w:val="0"/>
        <w:shd w:val="clear" w:color="auto" w:fill="auto"/>
        <w:tabs>
          <w:tab w:val="left" w:pos="903"/>
        </w:tabs>
        <w:bidi w:val="0"/>
        <w:spacing w:before="0" w:after="140" w:line="240" w:lineRule="auto"/>
        <w:ind w:left="0" w:right="0" w:firstLine="540"/>
        <w:jc w:val="both"/>
      </w:pPr>
      <w:bookmarkStart w:id="88" w:name="bookmark88"/>
      <w:r>
        <w:rPr>
          <w:rFonts w:ascii="Times New Roman" w:eastAsia="Times New Roman" w:hAnsi="Times New Roman" w:cs="Times New Roman"/>
          <w:color w:val="000000"/>
          <w:spacing w:val="0"/>
          <w:w w:val="100"/>
          <w:position w:val="0"/>
          <w:sz w:val="20"/>
          <w:szCs w:val="20"/>
          <w:lang w:val="en-US" w:eastAsia="en-US" w:bidi="en-US"/>
        </w:rPr>
        <w:t>g</w:t>
      </w:r>
      <w:bookmarkEnd w:id="8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参加本评估项目的人员名单及其森林资源资产评估资格证书复印件;</w:t>
      </w:r>
    </w:p>
    <w:p>
      <w:pPr>
        <w:pStyle w:val="Bodytext10"/>
        <w:keepNext w:val="0"/>
        <w:keepLines w:val="0"/>
        <w:widowControl w:val="0"/>
        <w:shd w:val="clear" w:color="auto" w:fill="auto"/>
        <w:tabs>
          <w:tab w:val="left" w:pos="903"/>
        </w:tabs>
        <w:bidi w:val="0"/>
        <w:spacing w:before="0" w:after="140" w:line="240" w:lineRule="auto"/>
        <w:ind w:left="0" w:right="0" w:firstLine="540"/>
        <w:jc w:val="both"/>
      </w:pPr>
      <w:bookmarkStart w:id="89" w:name="bookmark89"/>
      <w:r>
        <w:rPr>
          <w:rFonts w:ascii="Times New Roman" w:eastAsia="Times New Roman" w:hAnsi="Times New Roman" w:cs="Times New Roman"/>
          <w:color w:val="000000"/>
          <w:spacing w:val="0"/>
          <w:w w:val="100"/>
          <w:position w:val="0"/>
          <w:sz w:val="20"/>
          <w:szCs w:val="20"/>
          <w:lang w:val="en-US" w:eastAsia="en-US" w:bidi="en-US"/>
        </w:rPr>
        <w:t>h</w:t>
      </w:r>
      <w:bookmarkEnd w:id="8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重要合同；</w:t>
      </w:r>
    </w:p>
    <w:p>
      <w:pPr>
        <w:pStyle w:val="Bodytext10"/>
        <w:keepNext w:val="0"/>
        <w:keepLines w:val="0"/>
        <w:widowControl w:val="0"/>
        <w:shd w:val="clear" w:color="auto" w:fill="auto"/>
        <w:tabs>
          <w:tab w:val="left" w:pos="903"/>
        </w:tabs>
        <w:bidi w:val="0"/>
        <w:spacing w:before="0" w:after="260" w:line="240" w:lineRule="auto"/>
        <w:ind w:left="0" w:right="0" w:firstLine="540"/>
        <w:jc w:val="both"/>
      </w:pPr>
      <w:bookmarkStart w:id="90" w:name="bookmark90"/>
      <w:r>
        <w:rPr>
          <w:rFonts w:ascii="Times New Roman" w:eastAsia="Times New Roman" w:hAnsi="Times New Roman" w:cs="Times New Roman"/>
          <w:color w:val="000000"/>
          <w:spacing w:val="0"/>
          <w:w w:val="100"/>
          <w:position w:val="0"/>
          <w:sz w:val="20"/>
          <w:szCs w:val="20"/>
          <w:lang w:val="en-US" w:eastAsia="en-US" w:bidi="en-US"/>
        </w:rPr>
        <w:t>i</w:t>
      </w:r>
      <w:bookmarkEnd w:id="90"/>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其他文件。</w:t>
      </w:r>
    </w:p>
    <w:p>
      <w:pPr>
        <w:pStyle w:val="Bodytext10"/>
        <w:keepNext w:val="0"/>
        <w:keepLines w:val="0"/>
        <w:widowControl w:val="0"/>
        <w:shd w:val="clear" w:color="auto" w:fill="auto"/>
        <w:bidi w:val="0"/>
        <w:spacing w:before="0" w:after="260" w:line="240" w:lineRule="auto"/>
        <w:ind w:left="0" w:right="0" w:firstLine="0"/>
        <w:jc w:val="left"/>
      </w:pPr>
      <w:r>
        <w:rPr>
          <w:rFonts w:ascii="Times New Roman" w:eastAsia="Times New Roman" w:hAnsi="Times New Roman" w:cs="Times New Roman"/>
          <w:color w:val="000000"/>
          <w:spacing w:val="0"/>
          <w:w w:val="100"/>
          <w:position w:val="0"/>
          <w:sz w:val="20"/>
          <w:szCs w:val="20"/>
        </w:rPr>
        <w:t>5</w:t>
      </w:r>
      <w:r>
        <w:rPr>
          <w:color w:val="000000"/>
          <w:spacing w:val="0"/>
          <w:w w:val="100"/>
          <w:position w:val="0"/>
        </w:rPr>
        <w:t>评估说明</w:t>
      </w:r>
    </w:p>
    <w:p>
      <w:pPr>
        <w:pStyle w:val="Bodytext10"/>
        <w:keepNext w:val="0"/>
        <w:keepLines w:val="0"/>
        <w:widowControl w:val="0"/>
        <w:numPr>
          <w:ilvl w:val="0"/>
          <w:numId w:val="7"/>
        </w:numPr>
        <w:shd w:val="clear" w:color="auto" w:fill="auto"/>
        <w:tabs>
          <w:tab w:val="left" w:pos="339"/>
        </w:tabs>
        <w:bidi w:val="0"/>
        <w:spacing w:before="0" w:after="260" w:line="240" w:lineRule="auto"/>
        <w:ind w:left="0" w:right="0" w:firstLine="0"/>
        <w:jc w:val="left"/>
      </w:pPr>
      <w:bookmarkStart w:id="91" w:name="bookmark91"/>
      <w:bookmarkEnd w:id="91"/>
      <w:r>
        <w:rPr>
          <w:rFonts w:ascii="Times New Roman" w:eastAsia="Times New Roman" w:hAnsi="Times New Roman" w:cs="Times New Roman"/>
          <w:color w:val="000000"/>
          <w:spacing w:val="0"/>
          <w:w w:val="100"/>
          <w:position w:val="0"/>
          <w:sz w:val="20"/>
          <w:szCs w:val="20"/>
          <w:lang w:val="en-US" w:eastAsia="en-US" w:bidi="en-US"/>
        </w:rPr>
        <w:t>j</w:t>
      </w:r>
      <w:r>
        <w:rPr>
          <w:color w:val="000000"/>
          <w:spacing w:val="0"/>
          <w:w w:val="100"/>
          <w:position w:val="0"/>
        </w:rPr>
        <w:t>评估说明封面及目录</w:t>
      </w:r>
    </w:p>
    <w:p>
      <w:pPr>
        <w:pStyle w:val="Bodytext10"/>
        <w:keepNext w:val="0"/>
        <w:keepLines w:val="0"/>
        <w:widowControl w:val="0"/>
        <w:numPr>
          <w:ilvl w:val="0"/>
          <w:numId w:val="6"/>
        </w:numPr>
        <w:shd w:val="clear" w:color="auto" w:fill="auto"/>
        <w:tabs>
          <w:tab w:val="left" w:pos="339"/>
        </w:tabs>
        <w:bidi w:val="0"/>
        <w:spacing w:before="0" w:after="140" w:line="240" w:lineRule="auto"/>
        <w:ind w:left="0" w:right="0" w:firstLine="0"/>
        <w:jc w:val="left"/>
      </w:pPr>
      <w:bookmarkStart w:id="92" w:name="bookmark92"/>
      <w:bookmarkEnd w:id="92"/>
      <w:r>
        <w:rPr>
          <w:rFonts w:ascii="Times New Roman" w:eastAsia="Times New Roman" w:hAnsi="Times New Roman" w:cs="Times New Roman"/>
          <w:color w:val="000000"/>
          <w:spacing w:val="0"/>
          <w:w w:val="100"/>
          <w:position w:val="0"/>
          <w:sz w:val="20"/>
          <w:szCs w:val="20"/>
          <w:lang w:val="en-US" w:eastAsia="en-US" w:bidi="en-US"/>
        </w:rPr>
        <w:t xml:space="preserve">1. </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评估说明封面应载明下列内容：</w:t>
      </w:r>
    </w:p>
    <w:p>
      <w:pPr>
        <w:pStyle w:val="Bodytext10"/>
        <w:keepNext w:val="0"/>
        <w:keepLines w:val="0"/>
        <w:widowControl w:val="0"/>
        <w:shd w:val="clear" w:color="auto" w:fill="auto"/>
        <w:tabs>
          <w:tab w:val="left" w:pos="769"/>
        </w:tabs>
        <w:bidi w:val="0"/>
        <w:spacing w:before="0" w:after="140" w:line="240" w:lineRule="auto"/>
        <w:ind w:left="0" w:right="0"/>
        <w:jc w:val="left"/>
      </w:pPr>
      <w:bookmarkStart w:id="93" w:name="bookmark93"/>
      <w:r>
        <w:rPr>
          <w:rFonts w:ascii="Times New Roman" w:eastAsia="Times New Roman" w:hAnsi="Times New Roman" w:cs="Times New Roman"/>
          <w:color w:val="000000"/>
          <w:spacing w:val="0"/>
          <w:w w:val="100"/>
          <w:position w:val="0"/>
          <w:sz w:val="20"/>
          <w:szCs w:val="20"/>
          <w:lang w:val="en-US" w:eastAsia="en-US" w:bidi="en-US"/>
        </w:rPr>
        <w:t>a</w:t>
      </w:r>
      <w:bookmarkEnd w:id="93"/>
      <w:r>
        <w:rPr>
          <w:rFonts w:ascii="Times New Roman" w:eastAsia="Times New Roman" w:hAnsi="Times New Roman" w:cs="Times New Roman"/>
          <w:color w:val="000000"/>
          <w:spacing w:val="0"/>
          <w:w w:val="100"/>
          <w:position w:val="0"/>
          <w:sz w:val="20"/>
          <w:szCs w:val="20"/>
          <w:lang w:val="en-US" w:eastAsia="en-US" w:bidi="en-US"/>
        </w:rPr>
        <w:t>）</w:t>
        <w:tab/>
      </w:r>
      <w:r>
        <w:rPr>
          <w:rFonts w:ascii="Times New Roman" w:eastAsia="Times New Roman" w:hAnsi="Times New Roman" w:cs="Times New Roman"/>
          <w:color w:val="000000"/>
          <w:spacing w:val="0"/>
          <w:w w:val="100"/>
          <w:position w:val="0"/>
          <w:sz w:val="20"/>
          <w:szCs w:val="20"/>
        </w:rPr>
        <w:t xml:space="preserve">XXX </w:t>
      </w:r>
      <w:r>
        <w:rPr>
          <w:color w:val="000000"/>
          <w:spacing w:val="0"/>
          <w:w w:val="100"/>
          <w:position w:val="0"/>
        </w:rPr>
        <w:t>（评估项目名称）森林资源资产评估说明；</w:t>
      </w:r>
    </w:p>
    <w:p>
      <w:pPr>
        <w:pStyle w:val="Bodytext10"/>
        <w:keepNext w:val="0"/>
        <w:keepLines w:val="0"/>
        <w:widowControl w:val="0"/>
        <w:shd w:val="clear" w:color="auto" w:fill="auto"/>
        <w:tabs>
          <w:tab w:val="left" w:pos="769"/>
        </w:tabs>
        <w:bidi w:val="0"/>
        <w:spacing w:before="0" w:after="140" w:line="240" w:lineRule="auto"/>
        <w:ind w:left="0" w:right="0"/>
        <w:jc w:val="left"/>
      </w:pPr>
      <w:bookmarkStart w:id="94" w:name="bookmark94"/>
      <w:r>
        <w:rPr>
          <w:rFonts w:ascii="Times New Roman" w:eastAsia="Times New Roman" w:hAnsi="Times New Roman" w:cs="Times New Roman"/>
          <w:color w:val="000000"/>
          <w:spacing w:val="0"/>
          <w:w w:val="100"/>
          <w:position w:val="0"/>
          <w:sz w:val="20"/>
          <w:szCs w:val="20"/>
          <w:lang w:val="en-US" w:eastAsia="en-US" w:bidi="en-US"/>
        </w:rPr>
        <w:t>b</w:t>
      </w:r>
      <w:bookmarkEnd w:id="94"/>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森林资源资产评估报告书编号；</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95" w:name="bookmark95"/>
      <w:r>
        <w:rPr>
          <w:rFonts w:ascii="Times New Roman" w:eastAsia="Times New Roman" w:hAnsi="Times New Roman" w:cs="Times New Roman"/>
          <w:color w:val="000000"/>
          <w:spacing w:val="0"/>
          <w:w w:val="100"/>
          <w:position w:val="0"/>
          <w:sz w:val="20"/>
          <w:szCs w:val="20"/>
          <w:lang w:val="en-US" w:eastAsia="en-US" w:bidi="en-US"/>
        </w:rPr>
        <w:t>c</w:t>
      </w:r>
      <w:bookmarkEnd w:id="95"/>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评估机构名称；</w:t>
      </w:r>
    </w:p>
    <w:p>
      <w:pPr>
        <w:pStyle w:val="Bodytext10"/>
        <w:keepNext w:val="0"/>
        <w:keepLines w:val="0"/>
        <w:widowControl w:val="0"/>
        <w:shd w:val="clear" w:color="auto" w:fill="auto"/>
        <w:tabs>
          <w:tab w:val="left" w:pos="769"/>
        </w:tabs>
        <w:bidi w:val="0"/>
        <w:spacing w:before="0" w:after="140" w:line="240" w:lineRule="auto"/>
        <w:ind w:left="0" w:right="0"/>
        <w:jc w:val="both"/>
      </w:pPr>
      <w:bookmarkStart w:id="96" w:name="bookmark96"/>
      <w:r>
        <w:rPr>
          <w:rFonts w:ascii="Times New Roman" w:eastAsia="Times New Roman" w:hAnsi="Times New Roman" w:cs="Times New Roman"/>
          <w:color w:val="000000"/>
          <w:spacing w:val="0"/>
          <w:w w:val="100"/>
          <w:position w:val="0"/>
          <w:sz w:val="20"/>
          <w:szCs w:val="20"/>
          <w:lang w:val="en-US" w:eastAsia="en-US" w:bidi="en-US"/>
        </w:rPr>
        <w:t>d</w:t>
      </w:r>
      <w:bookmarkEnd w:id="96"/>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评估报告书提出时间；</w:t>
      </w:r>
    </w:p>
    <w:p>
      <w:pPr>
        <w:pStyle w:val="Bodytext10"/>
        <w:keepNext w:val="0"/>
        <w:keepLines w:val="0"/>
        <w:widowControl w:val="0"/>
        <w:shd w:val="clear" w:color="auto" w:fill="auto"/>
        <w:tabs>
          <w:tab w:val="left" w:pos="769"/>
        </w:tabs>
        <w:bidi w:val="0"/>
        <w:spacing w:before="0" w:after="140" w:line="240" w:lineRule="auto"/>
        <w:ind w:left="0" w:right="0"/>
        <w:jc w:val="left"/>
      </w:pPr>
      <w:bookmarkStart w:id="97" w:name="bookmark97"/>
      <w:r>
        <w:rPr>
          <w:rFonts w:ascii="Times New Roman" w:eastAsia="Times New Roman" w:hAnsi="Times New Roman" w:cs="Times New Roman"/>
          <w:color w:val="000000"/>
          <w:spacing w:val="0"/>
          <w:w w:val="100"/>
          <w:position w:val="0"/>
          <w:sz w:val="20"/>
          <w:szCs w:val="20"/>
          <w:lang w:val="en-US" w:eastAsia="en-US" w:bidi="en-US"/>
        </w:rPr>
        <w:t>e</w:t>
      </w:r>
      <w:bookmarkEnd w:id="97"/>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评估说明如分册装订，应在封面上用阿拉伯数字注明共几册，此册为第几册。</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5.1.2</w:t>
      </w:r>
      <w:r>
        <w:rPr>
          <w:color w:val="000000"/>
          <w:spacing w:val="0"/>
          <w:w w:val="100"/>
          <w:position w:val="0"/>
        </w:rPr>
        <w:t>评估说明目录</w:t>
      </w:r>
      <w:r>
        <w:rPr>
          <w:color w:val="000000"/>
          <w:spacing w:val="0"/>
          <w:w w:val="100"/>
          <w:position w:val="0"/>
          <w:lang w:val="en-US" w:eastAsia="en-US" w:bidi="en-US"/>
        </w:rPr>
        <w:t>.</w:t>
      </w:r>
    </w:p>
    <w:p>
      <w:pPr>
        <w:pStyle w:val="Bodytext10"/>
        <w:keepNext w:val="0"/>
        <w:keepLines w:val="0"/>
        <w:widowControl w:val="0"/>
        <w:shd w:val="clear" w:color="auto" w:fill="auto"/>
        <w:tabs>
          <w:tab w:val="left" w:pos="769"/>
        </w:tabs>
        <w:bidi w:val="0"/>
        <w:spacing w:before="0" w:after="140" w:line="240" w:lineRule="auto"/>
        <w:ind w:left="0" w:right="0"/>
        <w:jc w:val="left"/>
      </w:pPr>
      <w:bookmarkStart w:id="98" w:name="bookmark98"/>
      <w:r>
        <w:rPr>
          <w:rFonts w:ascii="Times New Roman" w:eastAsia="Times New Roman" w:hAnsi="Times New Roman" w:cs="Times New Roman"/>
          <w:color w:val="000000"/>
          <w:spacing w:val="0"/>
          <w:w w:val="100"/>
          <w:position w:val="0"/>
          <w:sz w:val="20"/>
          <w:szCs w:val="20"/>
          <w:lang w:val="en-US" w:eastAsia="en-US" w:bidi="en-US"/>
        </w:rPr>
        <w:t>a</w:t>
      </w:r>
      <w:bookmarkEnd w:id="98"/>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目录应在封面的下一页排印，包括每一部分的标题和相应的起止页号，评估说明每一页页</w:t>
      </w:r>
    </w:p>
    <w:p>
      <w:pPr>
        <w:pStyle w:val="Bodytext10"/>
        <w:keepNext w:val="0"/>
        <w:keepLines w:val="0"/>
        <w:widowControl w:val="0"/>
        <w:shd w:val="clear" w:color="auto" w:fill="auto"/>
        <w:bidi w:val="0"/>
        <w:spacing w:before="0" w:after="140" w:line="240" w:lineRule="auto"/>
        <w:ind w:left="0" w:right="0" w:firstLine="0"/>
        <w:jc w:val="left"/>
      </w:pPr>
      <w:r>
        <w:rPr>
          <w:color w:val="000000"/>
          <w:spacing w:val="0"/>
          <w:w w:val="100"/>
          <w:position w:val="0"/>
        </w:rPr>
        <w:t>码标注应与目录相符；</w:t>
      </w:r>
    </w:p>
    <w:p>
      <w:pPr>
        <w:pStyle w:val="Bodytext10"/>
        <w:keepNext w:val="0"/>
        <w:keepLines w:val="0"/>
        <w:widowControl w:val="0"/>
        <w:shd w:val="clear" w:color="auto" w:fill="auto"/>
        <w:tabs>
          <w:tab w:val="left" w:pos="769"/>
        </w:tabs>
        <w:bidi w:val="0"/>
        <w:spacing w:before="0" w:after="140" w:line="240" w:lineRule="auto"/>
        <w:ind w:left="0" w:right="0"/>
        <w:jc w:val="left"/>
      </w:pPr>
      <w:bookmarkStart w:id="99" w:name="bookmark99"/>
      <w:r>
        <w:rPr>
          <w:rFonts w:ascii="Times New Roman" w:eastAsia="Times New Roman" w:hAnsi="Times New Roman" w:cs="Times New Roman"/>
          <w:color w:val="000000"/>
          <w:spacing w:val="0"/>
          <w:w w:val="100"/>
          <w:position w:val="0"/>
          <w:sz w:val="20"/>
          <w:szCs w:val="20"/>
          <w:lang w:val="en-US" w:eastAsia="en-US" w:bidi="en-US"/>
        </w:rPr>
        <w:t>b</w:t>
      </w:r>
      <w:bookmarkEnd w:id="9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rPr>
        <w:t>评估说明中收录的备查文件或资料的复印件，,须统一标注页码（原文件或资料的页码可以</w:t>
      </w:r>
    </w:p>
    <w:p>
      <w:pPr>
        <w:pStyle w:val="Bodytext10"/>
        <w:keepNext w:val="0"/>
        <w:keepLines w:val="0"/>
        <w:widowControl w:val="0"/>
        <w:shd w:val="clear" w:color="auto" w:fill="auto"/>
        <w:bidi w:val="0"/>
        <w:spacing w:before="0" w:after="80" w:line="370" w:lineRule="exact"/>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5.2</w:t>
      </w:r>
      <w:r>
        <w:rPr>
          <w:color w:val="000000"/>
          <w:spacing w:val="0"/>
          <w:w w:val="100"/>
          <w:position w:val="0"/>
        </w:rPr>
        <w:t>评估说明使用范围声明</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2" w:history="1">
        <w:r>
          <w:rPr>
            <w:rFonts w:ascii="SimSun" w:eastAsia="SimSun" w:hAnsi="SimSun" w:cs="SimSun"/>
            <w:b/>
            <w:bCs/>
            <w:color w:val="0000EE"/>
            <w:spacing w:val="0"/>
            <w:w w:val="100"/>
            <w:position w:val="0"/>
            <w:sz w:val="30"/>
            <w:szCs w:val="30"/>
            <w:u w:val="single" w:color="0000EE"/>
            <w:shd w:val="clear" w:color="auto" w:fill="auto"/>
          </w:rPr>
          <w:t>https://d.book118.com/158105110076006035</w:t>
        </w:r>
      </w:hyperlink>
    </w:p>
    <w:p>
      <w:pPr>
        <w:pStyle w:val="Bodytext10"/>
        <w:keepNext w:val="0"/>
        <w:keepLines w:val="0"/>
        <w:widowControl w:val="0"/>
        <w:shd w:val="clear" w:color="auto" w:fill="auto"/>
        <w:bidi w:val="0"/>
        <w:spacing w:before="0" w:after="80" w:line="370" w:lineRule="exact"/>
        <w:ind w:left="0" w:right="0" w:firstLine="0"/>
        <w:jc w:val="left"/>
      </w:pPr>
    </w:p>
    <w:sectPr>
      <w:headerReference w:type="even" r:id="rId53"/>
      <w:headerReference w:type="default" r:id="rId54"/>
      <w:footerReference w:type="even" r:id="rId55"/>
      <w:footerReference w:type="default" r:id="rId56"/>
      <w:headerReference w:type="first" r:id="rId57"/>
      <w:footerReference w:type="first" r:id="rId58"/>
      <w:type w:val="nextPage"/>
      <w:pgSz w:w="11900" w:h="16840"/>
      <w:pgMar w:top="1270" w:right="1460" w:bottom="1937" w:left="1446" w:header="0" w:footer="3" w:gutter="0"/>
      <w:pgNumType w:start="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6730365</wp:posOffset>
              </wp:positionH>
              <wp:positionV relativeFrom="page">
                <wp:posOffset>9922510</wp:posOffset>
              </wp:positionV>
              <wp:extent cx="27305" cy="8255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0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2" type="#_x0000_t202" style="width:2.15pt;height:6.5pt;margin-top:781.3pt;margin-left:529.9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6730365</wp:posOffset>
              </wp:positionH>
              <wp:positionV relativeFrom="page">
                <wp:posOffset>9922510</wp:posOffset>
              </wp:positionV>
              <wp:extent cx="27305" cy="8255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0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0" type="#_x0000_t202" style="width:2.15pt;height:6.5pt;margin-top:781.3pt;margin-left:529.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6730365</wp:posOffset>
              </wp:positionH>
              <wp:positionV relativeFrom="page">
                <wp:posOffset>9922510</wp:posOffset>
              </wp:positionV>
              <wp:extent cx="27305" cy="82550"/>
              <wp:wrapNone/>
              <wp:docPr id="1782067258"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0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6" type="#_x0000_t202" style="width:2.15pt;height:6.5pt;margin-top:781.3pt;margin-left:529.9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6730365</wp:posOffset>
              </wp:positionH>
              <wp:positionV relativeFrom="page">
                <wp:posOffset>9922510</wp:posOffset>
              </wp:positionV>
              <wp:extent cx="27305" cy="82550"/>
              <wp:wrapNone/>
              <wp:docPr id="83800604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0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4" type="#_x0000_t202" style="width:2.15pt;height:6.5pt;margin-top:781.3pt;margin-left:529.9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6737985</wp:posOffset>
              </wp:positionH>
              <wp:positionV relativeFrom="page">
                <wp:posOffset>9925050</wp:posOffset>
              </wp:positionV>
              <wp:extent cx="64135" cy="8255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6413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0" type="#_x0000_t202" style="width:5.05pt;height:6.5pt;margin-top:781.5pt;margin-left:530.5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6737985</wp:posOffset>
              </wp:positionH>
              <wp:positionV relativeFrom="page">
                <wp:posOffset>9925050</wp:posOffset>
              </wp:positionV>
              <wp:extent cx="64135" cy="8255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6413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8" type="#_x0000_t202" style="width:5.05pt;height:6.5pt;margin-top:781.5pt;margin-left:530.5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6737985</wp:posOffset>
              </wp:positionH>
              <wp:positionV relativeFrom="page">
                <wp:posOffset>9925050</wp:posOffset>
              </wp:positionV>
              <wp:extent cx="64135" cy="82550"/>
              <wp:wrapNone/>
              <wp:docPr id="1111225271"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6413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4" type="#_x0000_t202" style="width:5.05pt;height:6.5pt;margin-top:781.5pt;margin-left:530.5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6737985</wp:posOffset>
              </wp:positionH>
              <wp:positionV relativeFrom="page">
                <wp:posOffset>9925050</wp:posOffset>
              </wp:positionV>
              <wp:extent cx="64135" cy="82550"/>
              <wp:wrapNone/>
              <wp:docPr id="2048847242"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6413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2" type="#_x0000_t202" style="width:5.05pt;height:6.5pt;margin-top:781.5pt;margin-left:530.5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6663055</wp:posOffset>
              </wp:positionH>
              <wp:positionV relativeFrom="page">
                <wp:posOffset>9690100</wp:posOffset>
              </wp:positionV>
              <wp:extent cx="27305" cy="8255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0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68" type="#_x0000_t202" style="width:2.15pt;height:6.5pt;margin-top:763pt;margin-left:524.6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6663055</wp:posOffset>
              </wp:positionH>
              <wp:positionV relativeFrom="page">
                <wp:posOffset>9690100</wp:posOffset>
              </wp:positionV>
              <wp:extent cx="27305" cy="8255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05" cy="8255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66" type="#_x0000_t202" style="width:2.15pt;height:6.5pt;margin-top:763pt;margin-left:524.6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976630</wp:posOffset>
              </wp:positionH>
              <wp:positionV relativeFrom="page">
                <wp:posOffset>9798685</wp:posOffset>
              </wp:positionV>
              <wp:extent cx="48895" cy="79375"/>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4889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72" type="#_x0000_t202" style="width:3.85pt;height:6.25pt;margin-top:771.55pt;margin-left:76.9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976630</wp:posOffset>
              </wp:positionH>
              <wp:positionV relativeFrom="page">
                <wp:posOffset>9798685</wp:posOffset>
              </wp:positionV>
              <wp:extent cx="48895" cy="79375"/>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4889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70" type="#_x0000_t202" style="width:3.85pt;height:6.25pt;margin-top:771.55pt;margin-left:76.9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976630</wp:posOffset>
              </wp:positionH>
              <wp:positionV relativeFrom="page">
                <wp:posOffset>9798685</wp:posOffset>
              </wp:positionV>
              <wp:extent cx="48895" cy="79375"/>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4889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78" type="#_x0000_t202" style="width:3.85pt;height:6.25pt;margin-top:771.55pt;margin-left:76.9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6654800</wp:posOffset>
              </wp:positionH>
              <wp:positionV relativeFrom="page">
                <wp:posOffset>9780905</wp:posOffset>
              </wp:positionV>
              <wp:extent cx="45720" cy="85090"/>
              <wp:wrapNone/>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850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76" type="#_x0000_t202" style="width:3.6pt;height:6.7pt;margin-top:770.15pt;margin-left:524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976630</wp:posOffset>
              </wp:positionH>
              <wp:positionV relativeFrom="page">
                <wp:posOffset>9798685</wp:posOffset>
              </wp:positionV>
              <wp:extent cx="48895" cy="79375"/>
              <wp:wrapNone/>
              <wp:docPr id="2145447736"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4889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82" type="#_x0000_t202" style="width:3.85pt;height:6.25pt;margin-top:771.55pt;margin-left:76.9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6654800</wp:posOffset>
              </wp:positionH>
              <wp:positionV relativeFrom="page">
                <wp:posOffset>9780905</wp:posOffset>
              </wp:positionV>
              <wp:extent cx="45720" cy="85090"/>
              <wp:wrapNone/>
              <wp:docPr id="820265413"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8509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80" type="#_x0000_t202" style="width:3.6pt;height:6.7pt;margin-top:770.15pt;margin-left:524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5815965</wp:posOffset>
              </wp:positionH>
              <wp:positionV relativeFrom="page">
                <wp:posOffset>549910</wp:posOffset>
              </wp:positionV>
              <wp:extent cx="938530" cy="10350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10350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1" type="#_x0000_t202" style="width:73.9pt;height:8.15pt;margin-top:43.3pt;margin-left:457.9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5815965</wp:posOffset>
              </wp:positionH>
              <wp:positionV relativeFrom="page">
                <wp:posOffset>549910</wp:posOffset>
              </wp:positionV>
              <wp:extent cx="938530" cy="103505"/>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10350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49" type="#_x0000_t202" style="width:73.9pt;height:8.15pt;margin-top:43.3pt;margin-left:457.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5815965</wp:posOffset>
              </wp:positionH>
              <wp:positionV relativeFrom="page">
                <wp:posOffset>549910</wp:posOffset>
              </wp:positionV>
              <wp:extent cx="938530" cy="103505"/>
              <wp:wrapNone/>
              <wp:docPr id="1145093475"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10350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5" type="#_x0000_t202" style="width:73.9pt;height:8.15pt;margin-top:43.3pt;margin-left:457.9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5815965</wp:posOffset>
              </wp:positionH>
              <wp:positionV relativeFrom="page">
                <wp:posOffset>549910</wp:posOffset>
              </wp:positionV>
              <wp:extent cx="938530" cy="103505"/>
              <wp:wrapNone/>
              <wp:docPr id="743815254"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10350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3" type="#_x0000_t202" style="width:73.9pt;height:8.15pt;margin-top:43.3pt;margin-left:457.9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5869305</wp:posOffset>
              </wp:positionH>
              <wp:positionV relativeFrom="page">
                <wp:posOffset>543560</wp:posOffset>
              </wp:positionV>
              <wp:extent cx="935990" cy="10668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935990" cy="10668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59" type="#_x0000_t202" style="width:73.7pt;height:8.4pt;margin-top:42.8pt;margin-left:462.1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5869305</wp:posOffset>
              </wp:positionH>
              <wp:positionV relativeFrom="page">
                <wp:posOffset>543560</wp:posOffset>
              </wp:positionV>
              <wp:extent cx="935990" cy="10668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35990" cy="10668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7" type="#_x0000_t202" style="width:73.7pt;height:8.4pt;margin-top:42.8pt;margin-left:462.1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5869305</wp:posOffset>
              </wp:positionH>
              <wp:positionV relativeFrom="page">
                <wp:posOffset>543560</wp:posOffset>
              </wp:positionV>
              <wp:extent cx="935990" cy="106680"/>
              <wp:wrapNone/>
              <wp:docPr id="1582760807"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935990" cy="10668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3" type="#_x0000_t202" style="width:73.7pt;height:8.4pt;margin-top:42.8pt;margin-left:462.1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5869305</wp:posOffset>
              </wp:positionH>
              <wp:positionV relativeFrom="page">
                <wp:posOffset>543560</wp:posOffset>
              </wp:positionV>
              <wp:extent cx="935990" cy="106680"/>
              <wp:wrapNone/>
              <wp:docPr id="1328286094"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35990" cy="10668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1" type="#_x0000_t202" style="width:73.7pt;height:8.4pt;margin-top:42.8pt;margin-left:462.1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5669280</wp:posOffset>
              </wp:positionH>
              <wp:positionV relativeFrom="page">
                <wp:posOffset>405765</wp:posOffset>
              </wp:positionV>
              <wp:extent cx="1005840" cy="106680"/>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5840" cy="10668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67" type="#_x0000_t202" style="width:79.2pt;height:8.4pt;margin-top:31.95pt;margin-left:446.4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5669280</wp:posOffset>
              </wp:positionH>
              <wp:positionV relativeFrom="page">
                <wp:posOffset>405765</wp:posOffset>
              </wp:positionV>
              <wp:extent cx="1005840" cy="10668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5840" cy="10668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5" type="#_x0000_t202" style="width:79.2pt;height:8.4pt;margin-top:31.95pt;margin-left:446.4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988695</wp:posOffset>
              </wp:positionH>
              <wp:positionV relativeFrom="page">
                <wp:posOffset>508635</wp:posOffset>
              </wp:positionV>
              <wp:extent cx="1024255" cy="103505"/>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4255" cy="10350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71" type="#_x0000_t202" style="width:80.65pt;height:8.15pt;margin-top:40.05pt;margin-left:77.8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988695</wp:posOffset>
              </wp:positionH>
              <wp:positionV relativeFrom="page">
                <wp:posOffset>508635</wp:posOffset>
              </wp:positionV>
              <wp:extent cx="1024255" cy="103505"/>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4255" cy="10350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69" type="#_x0000_t202" style="width:80.65pt;height:8.15pt;margin-top:40.05pt;margin-left:77.8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5815965</wp:posOffset>
              </wp:positionH>
              <wp:positionV relativeFrom="page">
                <wp:posOffset>549910</wp:posOffset>
              </wp:positionV>
              <wp:extent cx="938530" cy="103505"/>
              <wp:wrapNone/>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10350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7" o:spid="_x0000_s2074" type="#_x0000_t202" style="width:73.9pt;height:8.15pt;margin-top:43.3pt;margin-left:457.9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5815965</wp:posOffset>
              </wp:positionH>
              <wp:positionV relativeFrom="page">
                <wp:posOffset>549910</wp:posOffset>
              </wp:positionV>
              <wp:extent cx="938530" cy="103505"/>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10350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73" type="#_x0000_t202" style="width:73.9pt;height:8.15pt;margin-top:43.3pt;margin-left:457.9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DB35/T544-2004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988695</wp:posOffset>
              </wp:positionH>
              <wp:positionV relativeFrom="page">
                <wp:posOffset>508635</wp:posOffset>
              </wp:positionV>
              <wp:extent cx="1024255" cy="103505"/>
              <wp:wrapNone/>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4255" cy="10350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77" type="#_x0000_t202" style="width:80.65pt;height:8.15pt;margin-top:40.05pt;margin-left:77.8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5688965</wp:posOffset>
              </wp:positionH>
              <wp:positionV relativeFrom="page">
                <wp:posOffset>508635</wp:posOffset>
              </wp:positionV>
              <wp:extent cx="1002665" cy="103505"/>
              <wp:wrapNone/>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2665" cy="10350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075" type="#_x0000_t202" style="width:78.95pt;height:8.15pt;margin-top:40.05pt;margin-left:447.9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988695</wp:posOffset>
              </wp:positionH>
              <wp:positionV relativeFrom="page">
                <wp:posOffset>508635</wp:posOffset>
              </wp:positionV>
              <wp:extent cx="1024255" cy="103505"/>
              <wp:wrapNone/>
              <wp:docPr id="1008407409"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4255" cy="10350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81" type="#_x0000_t202" style="width:80.65pt;height:8.15pt;margin-top:40.05pt;margin-left:77.8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lang w:val="en-US" w:eastAsia="en-US" w:bidi="en-US"/>
                      </w:rPr>
                      <w:t>DB35/T544—</w:t>
                    </w:r>
                    <w:r>
                      <w:rPr>
                        <w:rFonts w:ascii="Times New Roman" w:eastAsia="Times New Roman" w:hAnsi="Times New Roman" w:cs="Times New Roman"/>
                        <w:b/>
                        <w:bCs/>
                        <w:color w:val="000000"/>
                        <w:spacing w:val="0"/>
                        <w:w w:val="100"/>
                        <w:position w:val="0"/>
                        <w:lang w:val="zh-CN" w:eastAsia="zh-CN" w:bidi="zh-CN"/>
                      </w:rPr>
                      <w:t>2004</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5688965</wp:posOffset>
              </wp:positionH>
              <wp:positionV relativeFrom="page">
                <wp:posOffset>508635</wp:posOffset>
              </wp:positionV>
              <wp:extent cx="1002665" cy="103505"/>
              <wp:wrapNone/>
              <wp:docPr id="584122234"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2665" cy="10350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079" type="#_x0000_t202" style="width:78.95pt;height:8.15pt;margin-top:40.05pt;margin-left:447.9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DB35/T544—</w:t>
                    </w:r>
                    <w:r>
                      <w:rPr>
                        <w:rFonts w:ascii="Times New Roman" w:eastAsia="Times New Roman" w:hAnsi="Times New Roman" w:cs="Times New Roman"/>
                        <w:color w:val="000000"/>
                        <w:spacing w:val="0"/>
                        <w:w w:val="100"/>
                        <w:position w:val="0"/>
                        <w:lang w:val="zh-CN" w:eastAsia="zh-CN" w:bidi="zh-CN"/>
                      </w:rPr>
                      <w:t>2004</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194968"/>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B92C0CE"/>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DF9C726"/>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0526065"/>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2A1419E"/>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4AB6E5B"/>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BC62251"/>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C6D3981"/>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57F2E07"/>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D61F8CD"/>
    <w:multiLevelType w:val="multilevel"/>
    <w:tmpl w:val="00000000"/>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FFC6303"/>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21352F8"/>
    <w:multiLevelType w:val="multilevel"/>
    <w:tmpl w:val="00000000"/>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655B84DA"/>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67918A29"/>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FE57351"/>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7AF1ACDB"/>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B2BEAA7"/>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10"/>
  </w:num>
  <w:num w:numId="3">
    <w:abstractNumId w:val="2"/>
  </w:num>
  <w:num w:numId="4">
    <w:abstractNumId w:val="5"/>
  </w:num>
  <w:num w:numId="5">
    <w:abstractNumId w:val="0"/>
  </w:num>
  <w:num w:numId="6">
    <w:abstractNumId w:val="6"/>
  </w:num>
  <w:num w:numId="7">
    <w:abstractNumId w:val="12"/>
  </w:num>
  <w:num w:numId="8">
    <w:abstractNumId w:val="13"/>
  </w:num>
  <w:num w:numId="9">
    <w:abstractNumId w:val="11"/>
  </w:num>
  <w:num w:numId="10">
    <w:abstractNumId w:val="15"/>
  </w:num>
  <w:num w:numId="11">
    <w:abstractNumId w:val="14"/>
  </w:num>
  <w:num w:numId="12">
    <w:abstractNumId w:val="8"/>
  </w:num>
  <w:num w:numId="13">
    <w:abstractNumId w:val="16"/>
  </w:num>
  <w:num w:numId="14">
    <w:abstractNumId w:val="4"/>
  </w:num>
  <w:num w:numId="15">
    <w:abstractNumId w:val="3"/>
  </w:num>
  <w:num w:numId="16">
    <w:abstractNumId w:val="1"/>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4">
    <w:name w:val="Body text|4_"/>
    <w:basedOn w:val="DefaultParagraphFont"/>
    <w:link w:val="Bodytext40"/>
    <w:rPr>
      <w:b/>
      <w:bCs/>
      <w:i w:val="0"/>
      <w:iCs w:val="0"/>
      <w:smallCaps w:val="0"/>
      <w:strike w:val="0"/>
      <w:sz w:val="28"/>
      <w:szCs w:val="28"/>
      <w:u w:val="none"/>
      <w:shd w:val="clear" w:color="auto" w:fill="auto"/>
      <w:lang w:val="zh-TW" w:eastAsia="zh-TW" w:bidi="zh-TW"/>
    </w:rPr>
  </w:style>
  <w:style w:type="character" w:customStyle="1" w:styleId="Heading11">
    <w:name w:val="Heading #1|1_"/>
    <w:basedOn w:val="DefaultParagraphFont"/>
    <w:link w:val="Heading110"/>
    <w:rPr>
      <w:b/>
      <w:bCs/>
      <w:i w:val="0"/>
      <w:iCs w:val="0"/>
      <w:smallCaps w:val="0"/>
      <w:strike w:val="0"/>
      <w:sz w:val="70"/>
      <w:szCs w:val="70"/>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4"/>
      <w:szCs w:val="54"/>
      <w:u w:val="none"/>
      <w:shd w:val="clear" w:color="auto" w:fill="auto"/>
      <w:lang w:val="zh-TW" w:eastAsia="zh-TW" w:bidi="zh-TW"/>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40"/>
      <w:szCs w:val="40"/>
      <w:u w:val="none"/>
      <w:shd w:val="clear" w:color="auto" w:fill="auto"/>
      <w:lang w:val="zh-TW" w:eastAsia="zh-TW" w:bidi="zh-TW"/>
    </w:rPr>
  </w:style>
  <w:style w:type="character" w:customStyle="1" w:styleId="Heading51">
    <w:name w:val="Heading #5|1_"/>
    <w:basedOn w:val="DefaultParagraphFont"/>
    <w:link w:val="Heading510"/>
    <w:rPr>
      <w:rFonts w:ascii="SimSun" w:eastAsia="SimSun" w:hAnsi="SimSun" w:cs="SimSun"/>
      <w:b w:val="0"/>
      <w:bCs w:val="0"/>
      <w:i w:val="0"/>
      <w:iCs w:val="0"/>
      <w:smallCaps w:val="0"/>
      <w:strike w:val="0"/>
      <w:sz w:val="30"/>
      <w:szCs w:val="3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Bodytext2">
    <w:name w:val="Body text|2_"/>
    <w:basedOn w:val="DefaultParagraphFont"/>
    <w:link w:val="Bodytext20"/>
    <w:rPr>
      <w:b w:val="0"/>
      <w:bCs w:val="0"/>
      <w:i w:val="0"/>
      <w:iCs w:val="0"/>
      <w:smallCaps w:val="0"/>
      <w:strike w:val="0"/>
      <w:sz w:val="20"/>
      <w:szCs w:val="20"/>
      <w:u w:val="none"/>
      <w:shd w:val="clear" w:color="auto" w:fill="auto"/>
    </w:rPr>
  </w:style>
  <w:style w:type="character" w:customStyle="1" w:styleId="Bodytext5">
    <w:name w:val="Body text|5_"/>
    <w:basedOn w:val="DefaultParagraphFont"/>
    <w:link w:val="Bodytext50"/>
    <w:rPr>
      <w:b w:val="0"/>
      <w:bCs w:val="0"/>
      <w:i w:val="0"/>
      <w:iCs w:val="0"/>
      <w:smallCaps w:val="0"/>
      <w:strike w:val="0"/>
      <w:sz w:val="11"/>
      <w:szCs w:val="11"/>
      <w:u w:val="none"/>
      <w:shd w:val="clear" w:color="auto" w:fill="auto"/>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Other2">
    <w:name w:val="Other|2_"/>
    <w:basedOn w:val="DefaultParagraphFont"/>
    <w:link w:val="Other20"/>
    <w:rPr>
      <w:rFonts w:ascii="SimSun" w:eastAsia="SimSun" w:hAnsi="SimSun" w:cs="SimSun"/>
      <w:b w:val="0"/>
      <w:bCs w:val="0"/>
      <w:i w:val="0"/>
      <w:iCs w:val="0"/>
      <w:smallCaps w:val="0"/>
      <w:strike w:val="0"/>
      <w:sz w:val="22"/>
      <w:szCs w:val="22"/>
      <w:u w:val="none"/>
      <w:shd w:val="clear" w:color="auto" w:fill="auto"/>
      <w:lang w:val="zh-TW" w:eastAsia="zh-TW" w:bidi="zh-TW"/>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rPr>
  </w:style>
  <w:style w:type="character" w:customStyle="1" w:styleId="Bodytext6">
    <w:name w:val="Body text|6_"/>
    <w:basedOn w:val="DefaultParagraphFont"/>
    <w:link w:val="Bodytext60"/>
    <w:rPr>
      <w:b/>
      <w:bCs/>
      <w:i w:val="0"/>
      <w:iCs w:val="0"/>
      <w:smallCaps w:val="0"/>
      <w:strike w:val="0"/>
      <w:sz w:val="8"/>
      <w:szCs w:val="8"/>
      <w:u w:val="none"/>
      <w:shd w:val="clear" w:color="auto" w:fill="auto"/>
    </w:rPr>
  </w:style>
  <w:style w:type="paragraph" w:customStyle="1" w:styleId="Bodytext40">
    <w:name w:val="Body text|4"/>
    <w:basedOn w:val="Normal"/>
    <w:link w:val="Bodytext4"/>
    <w:pPr>
      <w:widowControl w:val="0"/>
      <w:shd w:val="clear" w:color="auto" w:fill="auto"/>
      <w:spacing w:after="540"/>
    </w:pPr>
    <w:rPr>
      <w:b/>
      <w:bCs/>
      <w:i w:val="0"/>
      <w:iCs w:val="0"/>
      <w:smallCaps w:val="0"/>
      <w:strike w:val="0"/>
      <w:sz w:val="28"/>
      <w:szCs w:val="28"/>
      <w:u w:val="none"/>
      <w:shd w:val="clear" w:color="auto" w:fill="auto"/>
      <w:lang w:val="zh-TW" w:eastAsia="zh-TW" w:bidi="zh-TW"/>
    </w:rPr>
  </w:style>
  <w:style w:type="paragraph" w:customStyle="1" w:styleId="Heading110">
    <w:name w:val="Heading #1|1"/>
    <w:basedOn w:val="Normal"/>
    <w:link w:val="Heading11"/>
    <w:pPr>
      <w:widowControl w:val="0"/>
      <w:shd w:val="clear" w:color="auto" w:fill="auto"/>
      <w:spacing w:after="360"/>
      <w:ind w:right="980"/>
      <w:jc w:val="right"/>
      <w:outlineLvl w:val="0"/>
    </w:pPr>
    <w:rPr>
      <w:b/>
      <w:bCs/>
      <w:i w:val="0"/>
      <w:iCs w:val="0"/>
      <w:smallCaps w:val="0"/>
      <w:strike w:val="0"/>
      <w:sz w:val="70"/>
      <w:szCs w:val="70"/>
      <w:u w:val="none"/>
      <w:shd w:val="clear" w:color="auto" w:fill="auto"/>
    </w:rPr>
  </w:style>
  <w:style w:type="paragraph" w:customStyle="1" w:styleId="Heading210">
    <w:name w:val="Heading #2|1"/>
    <w:basedOn w:val="Normal"/>
    <w:link w:val="Heading21"/>
    <w:pPr>
      <w:widowControl w:val="0"/>
      <w:shd w:val="clear" w:color="auto" w:fill="auto"/>
      <w:spacing w:after="460"/>
      <w:outlineLvl w:val="1"/>
    </w:pPr>
    <w:rPr>
      <w:rFonts w:ascii="SimSun" w:eastAsia="SimSun" w:hAnsi="SimSun" w:cs="SimSun"/>
      <w:b w:val="0"/>
      <w:bCs w:val="0"/>
      <w:i w:val="0"/>
      <w:iCs w:val="0"/>
      <w:smallCaps w:val="0"/>
      <w:strike w:val="0"/>
      <w:sz w:val="54"/>
      <w:szCs w:val="54"/>
      <w:u w:val="none"/>
      <w:shd w:val="clear" w:color="auto" w:fill="auto"/>
      <w:lang w:val="zh-TW" w:eastAsia="zh-TW" w:bidi="zh-TW"/>
    </w:rPr>
  </w:style>
  <w:style w:type="paragraph" w:customStyle="1" w:styleId="Heading310">
    <w:name w:val="Heading #3|1"/>
    <w:basedOn w:val="Normal"/>
    <w:link w:val="Heading31"/>
    <w:pPr>
      <w:widowControl w:val="0"/>
      <w:shd w:val="clear" w:color="auto" w:fill="auto"/>
      <w:spacing w:after="7020"/>
      <w:jc w:val="center"/>
      <w:outlineLvl w:val="2"/>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540"/>
      <w:jc w:val="center"/>
      <w:outlineLvl w:val="3"/>
    </w:pPr>
    <w:rPr>
      <w:rFonts w:ascii="SimSun" w:eastAsia="SimSun" w:hAnsi="SimSun" w:cs="SimSun"/>
      <w:b w:val="0"/>
      <w:bCs w:val="0"/>
      <w:i w:val="0"/>
      <w:iCs w:val="0"/>
      <w:smallCaps w:val="0"/>
      <w:strike w:val="0"/>
      <w:sz w:val="40"/>
      <w:szCs w:val="40"/>
      <w:u w:val="none"/>
      <w:shd w:val="clear" w:color="auto" w:fill="auto"/>
      <w:lang w:val="zh-TW" w:eastAsia="zh-TW" w:bidi="zh-TW"/>
    </w:rPr>
  </w:style>
  <w:style w:type="paragraph" w:customStyle="1" w:styleId="Heading510">
    <w:name w:val="Heading #5|1"/>
    <w:basedOn w:val="Normal"/>
    <w:link w:val="Heading51"/>
    <w:pPr>
      <w:widowControl w:val="0"/>
      <w:shd w:val="clear" w:color="auto" w:fill="auto"/>
      <w:spacing w:after="790"/>
      <w:jc w:val="center"/>
      <w:outlineLvl w:val="4"/>
    </w:pPr>
    <w:rPr>
      <w:rFonts w:ascii="SimSun" w:eastAsia="SimSun" w:hAnsi="SimSun" w:cs="SimSun"/>
      <w:b w:val="0"/>
      <w:bCs w:val="0"/>
      <w:i w:val="0"/>
      <w:iCs w:val="0"/>
      <w:smallCaps w:val="0"/>
      <w:strike w:val="0"/>
      <w:sz w:val="30"/>
      <w:szCs w:val="3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10">
    <w:name w:val="Body text|1"/>
    <w:basedOn w:val="Normal"/>
    <w:link w:val="Bodytext1"/>
    <w:pPr>
      <w:widowControl w:val="0"/>
      <w:shd w:val="clear" w:color="auto" w:fill="auto"/>
      <w:spacing w:line="444" w:lineRule="auto"/>
      <w:ind w:firstLine="40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160"/>
      <w:ind w:firstLine="30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Bodytext20">
    <w:name w:val="Body text|2"/>
    <w:basedOn w:val="Normal"/>
    <w:link w:val="Bodytext2"/>
    <w:pPr>
      <w:widowControl w:val="0"/>
      <w:shd w:val="clear" w:color="auto" w:fill="auto"/>
      <w:spacing w:line="388" w:lineRule="exact"/>
    </w:pPr>
    <w:rPr>
      <w:b w:val="0"/>
      <w:bCs w:val="0"/>
      <w:i w:val="0"/>
      <w:iCs w:val="0"/>
      <w:smallCaps w:val="0"/>
      <w:strike w:val="0"/>
      <w:sz w:val="20"/>
      <w:szCs w:val="20"/>
      <w:u w:val="none"/>
      <w:shd w:val="clear" w:color="auto" w:fill="auto"/>
    </w:rPr>
  </w:style>
  <w:style w:type="paragraph" w:customStyle="1" w:styleId="Bodytext50">
    <w:name w:val="Body text|5"/>
    <w:basedOn w:val="Normal"/>
    <w:link w:val="Bodytext5"/>
    <w:pPr>
      <w:widowControl w:val="0"/>
      <w:shd w:val="clear" w:color="auto" w:fill="auto"/>
      <w:spacing w:line="204" w:lineRule="auto"/>
    </w:pPr>
    <w:rPr>
      <w:b w:val="0"/>
      <w:bCs w:val="0"/>
      <w:i w:val="0"/>
      <w:iCs w:val="0"/>
      <w:smallCaps w:val="0"/>
      <w:strike w:val="0"/>
      <w:sz w:val="11"/>
      <w:szCs w:val="11"/>
      <w:u w:val="none"/>
      <w:shd w:val="clear" w:color="auto" w:fill="auto"/>
    </w:rPr>
  </w:style>
  <w:style w:type="paragraph" w:customStyle="1" w:styleId="Tablecaption10">
    <w:name w:val="Table caption|1"/>
    <w:basedOn w:val="Normal"/>
    <w:link w:val="Tablecaption1"/>
    <w:pPr>
      <w:widowControl w:val="0"/>
      <w:shd w:val="clear" w:color="auto" w:fill="auto"/>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Other10">
    <w:name w:val="Other|1"/>
    <w:basedOn w:val="Normal"/>
    <w:link w:val="Other1"/>
    <w:pPr>
      <w:widowControl w:val="0"/>
      <w:shd w:val="clear" w:color="auto" w:fill="auto"/>
      <w:spacing w:line="444" w:lineRule="auto"/>
      <w:ind w:firstLine="40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Other20">
    <w:name w:val="Other|2"/>
    <w:basedOn w:val="Normal"/>
    <w:link w:val="Other2"/>
    <w:pPr>
      <w:widowControl w:val="0"/>
      <w:shd w:val="clear" w:color="auto" w:fill="auto"/>
      <w:jc w:val="center"/>
    </w:pPr>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Bodytext30">
    <w:name w:val="Body text|3"/>
    <w:basedOn w:val="Normal"/>
    <w:link w:val="Bodytext3"/>
    <w:pPr>
      <w:widowControl w:val="0"/>
      <w:shd w:val="clear" w:color="auto" w:fill="auto"/>
    </w:pPr>
    <w:rPr>
      <w:rFonts w:ascii="SimSun" w:eastAsia="SimSun" w:hAnsi="SimSun" w:cs="SimSun"/>
      <w:b w:val="0"/>
      <w:bCs w:val="0"/>
      <w:i w:val="0"/>
      <w:iCs w:val="0"/>
      <w:smallCaps w:val="0"/>
      <w:strike w:val="0"/>
      <w:sz w:val="18"/>
      <w:szCs w:val="18"/>
      <w:u w:val="none"/>
      <w:shd w:val="clear" w:color="auto" w:fill="auto"/>
    </w:rPr>
  </w:style>
  <w:style w:type="paragraph" w:customStyle="1" w:styleId="Bodytext60">
    <w:name w:val="Body text|6"/>
    <w:basedOn w:val="Normal"/>
    <w:link w:val="Bodytext6"/>
    <w:pPr>
      <w:widowControl w:val="0"/>
      <w:shd w:val="clear" w:color="auto" w:fill="auto"/>
      <w:spacing w:after="80"/>
    </w:pPr>
    <w:rPr>
      <w:b/>
      <w:bCs/>
      <w:i w:val="0"/>
      <w:iCs w:val="0"/>
      <w:smallCaps w:val="0"/>
      <w:strike w:val="0"/>
      <w:sz w:val="8"/>
      <w:szCs w:val="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58105110076006035"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