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2018-2023年信阳航空职业学院高职单招（数学／语文／英语）历年常考试题库含答案解析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《宝玉挨打》的根本原因是（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A.宝玉同情投井自杀的丫鬟金钏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B.宝玉与戏剧演员琪官的交往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C.鄙弃仕途经济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D.贾环诬告宝玉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李广将兵的特点是（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A.行军无部伍行阵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B.士吏治军簿至明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C.谨守法度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D.正部曲行伍营阵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朱自清发表的第一部散文集是（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A.《背影》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B.《踪迹》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C.《你我》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D.《欧游杂记》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鲁迅用“史家之绝唱，无韵之《离骚》”赞美（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B.《春秋》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下列各句中，同时采用了对偶、夸张的是（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A.恨相见得迟，怨归去得疾。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B.泪添九曲黄河溢，恨压三峰华岳低。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D.忽如一夜春风来，千树万树梨花开。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下面属于《论学问》一文提出的读书做学问的三种用途之一的是（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A.辩驳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B.信仰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C.体育锻炼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D.增长才识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《张中丞传后叙》最突出的写作特色是（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下列剧本中是曹禺的作品的是（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B.《原野》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C.《南归》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在先秦诸子中，文风以想象丰富、辞藻瑰丽、汪洋恣肆而著称的是（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提出新格律诗“三美”主张的诗人是（）。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A.郭沫若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B.徐志摩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D.艾青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在先秦诸子中，文风以想象丰富、词藻瑰丽、汪洋恣肆著称的是（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“逝者如斯”一语出自（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A.《醉翁亭记》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B.《前赤壁赋》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C.《论语?子罕》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柳永的词集是（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“譬如为山，未成一篑，止，吾止也；譬如平地，虽复一篑，进，吾往也”这段话所用的逻辑论证方法是（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C.类比、归纳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https://d.book118.com/158131013133006040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58131013133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