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氮肥项目规划设计纲要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70" w:history="1">
        <w:r>
          <w:rPr>
            <w:rFonts w:ascii="仿宋" w:eastAsia="仿宋" w:hAnsi="仿宋" w:cs="仿宋" w:hint="eastAsia"/>
            <w:lang w:eastAsia="zh-CN"/>
          </w:rPr>
          <w:t>概论</w:t>
        </w:r>
        <w:r>
          <w:tab/>
        </w:r>
        <w:r>
          <w:fldChar w:fldCharType="begin"/>
        </w:r>
        <w:r>
          <w:instrText xml:space="preserve"> PAGEREF _Toc13470 \h </w:instrText>
        </w:r>
        <w:r>
          <w:fldChar w:fldCharType="separate"/>
        </w:r>
        <w:r>
          <w:t>3</w:t>
        </w:r>
        <w:r>
          <w:fldChar w:fldCharType="end"/>
        </w:r>
      </w:hyperlink>
    </w:p>
    <w:p>
      <w:pPr>
        <w:pStyle w:val="TOC1"/>
        <w:tabs>
          <w:tab w:val="right" w:leader="dot" w:pos="8306"/>
        </w:tabs>
      </w:pPr>
      <w:hyperlink w:anchor="_Toc6895" w:history="1">
        <w:r>
          <w:rPr>
            <w:rFonts w:ascii="仿宋" w:eastAsia="仿宋" w:hAnsi="仿宋" w:cs="仿宋" w:hint="eastAsia"/>
            <w:lang w:eastAsia="zh-CN"/>
          </w:rPr>
          <w:t>一、市场分析、调研</w:t>
        </w:r>
        <w:r>
          <w:tab/>
        </w:r>
        <w:r>
          <w:fldChar w:fldCharType="begin"/>
        </w:r>
        <w:r>
          <w:instrText xml:space="preserve"> PAGEREF _Toc6895 \h </w:instrText>
        </w:r>
        <w:r>
          <w:fldChar w:fldCharType="separate"/>
        </w:r>
        <w:r>
          <w:t>3</w:t>
        </w:r>
        <w:r>
          <w:fldChar w:fldCharType="end"/>
        </w:r>
      </w:hyperlink>
    </w:p>
    <w:p>
      <w:pPr>
        <w:pStyle w:val="TOC2"/>
        <w:tabs>
          <w:tab w:val="right" w:leader="dot" w:pos="8306"/>
        </w:tabs>
      </w:pPr>
      <w:hyperlink w:anchor="_Toc11924" w:history="1">
        <w:r>
          <w:rPr>
            <w:rFonts w:ascii="仿宋" w:eastAsia="仿宋" w:hAnsi="仿宋" w:cs="仿宋" w:hint="eastAsia"/>
            <w:lang w:eastAsia="zh-CN"/>
          </w:rPr>
          <w:t>(一)、氮肥行业分析</w:t>
        </w:r>
        <w:r>
          <w:tab/>
        </w:r>
        <w:r>
          <w:fldChar w:fldCharType="begin"/>
        </w:r>
        <w:r>
          <w:instrText xml:space="preserve"> PAGEREF _Toc11924 \h </w:instrText>
        </w:r>
        <w:r>
          <w:fldChar w:fldCharType="separate"/>
        </w:r>
        <w:r>
          <w:t>3</w:t>
        </w:r>
        <w:r>
          <w:fldChar w:fldCharType="end"/>
        </w:r>
      </w:hyperlink>
    </w:p>
    <w:p>
      <w:pPr>
        <w:pStyle w:val="TOC2"/>
        <w:tabs>
          <w:tab w:val="right" w:leader="dot" w:pos="8306"/>
        </w:tabs>
      </w:pPr>
      <w:hyperlink w:anchor="_Toc8009" w:history="1">
        <w:r>
          <w:rPr>
            <w:rFonts w:ascii="仿宋" w:eastAsia="仿宋" w:hAnsi="仿宋" w:cs="仿宋" w:hint="eastAsia"/>
            <w:lang w:eastAsia="zh-CN"/>
          </w:rPr>
          <w:t>(二)、氮肥市场分析预测</w:t>
        </w:r>
        <w:r>
          <w:tab/>
        </w:r>
        <w:r>
          <w:fldChar w:fldCharType="begin"/>
        </w:r>
        <w:r>
          <w:instrText xml:space="preserve"> PAGEREF _Toc8009 \h </w:instrText>
        </w:r>
        <w:r>
          <w:fldChar w:fldCharType="separate"/>
        </w:r>
        <w:r>
          <w:t>4</w:t>
        </w:r>
        <w:r>
          <w:fldChar w:fldCharType="end"/>
        </w:r>
      </w:hyperlink>
    </w:p>
    <w:p>
      <w:pPr>
        <w:pStyle w:val="TOC1"/>
        <w:tabs>
          <w:tab w:val="right" w:leader="dot" w:pos="8306"/>
        </w:tabs>
      </w:pPr>
      <w:hyperlink w:anchor="_Toc3053" w:history="1">
        <w:r>
          <w:rPr>
            <w:rFonts w:ascii="仿宋" w:eastAsia="仿宋" w:hAnsi="仿宋" w:cs="仿宋" w:hint="eastAsia"/>
            <w:lang w:eastAsia="zh-CN"/>
          </w:rPr>
          <w:t>二、氮肥项目建设背景及必要性分析</w:t>
        </w:r>
        <w:r>
          <w:tab/>
        </w:r>
        <w:r>
          <w:fldChar w:fldCharType="begin"/>
        </w:r>
        <w:r>
          <w:instrText xml:space="preserve"> PAGEREF _Toc3053 \h </w:instrText>
        </w:r>
        <w:r>
          <w:fldChar w:fldCharType="separate"/>
        </w:r>
        <w:r>
          <w:t>4</w:t>
        </w:r>
        <w:r>
          <w:fldChar w:fldCharType="end"/>
        </w:r>
      </w:hyperlink>
    </w:p>
    <w:p>
      <w:pPr>
        <w:pStyle w:val="TOC2"/>
        <w:tabs>
          <w:tab w:val="right" w:leader="dot" w:pos="8306"/>
        </w:tabs>
      </w:pPr>
      <w:hyperlink w:anchor="_Toc1193" w:history="1">
        <w:r>
          <w:rPr>
            <w:rFonts w:ascii="仿宋" w:eastAsia="仿宋" w:hAnsi="仿宋" w:cs="仿宋" w:hint="eastAsia"/>
            <w:lang w:eastAsia="zh-CN"/>
          </w:rPr>
          <w:t>(一)、氮肥项目背景分析</w:t>
        </w:r>
        <w:r>
          <w:tab/>
        </w:r>
        <w:r>
          <w:fldChar w:fldCharType="begin"/>
        </w:r>
        <w:r>
          <w:instrText xml:space="preserve"> PAGEREF _Toc1193 \h </w:instrText>
        </w:r>
        <w:r>
          <w:fldChar w:fldCharType="separate"/>
        </w:r>
        <w:r>
          <w:t>4</w:t>
        </w:r>
        <w:r>
          <w:fldChar w:fldCharType="end"/>
        </w:r>
      </w:hyperlink>
    </w:p>
    <w:p>
      <w:pPr>
        <w:pStyle w:val="TOC2"/>
        <w:tabs>
          <w:tab w:val="right" w:leader="dot" w:pos="8306"/>
        </w:tabs>
      </w:pPr>
      <w:hyperlink w:anchor="_Toc11687" w:history="1">
        <w:r>
          <w:rPr>
            <w:rFonts w:ascii="仿宋" w:eastAsia="仿宋" w:hAnsi="仿宋" w:cs="仿宋" w:hint="eastAsia"/>
            <w:lang w:eastAsia="zh-CN"/>
          </w:rPr>
          <w:t>(二)、氮肥项目建设必要性分析</w:t>
        </w:r>
        <w:r>
          <w:tab/>
        </w:r>
        <w:r>
          <w:fldChar w:fldCharType="begin"/>
        </w:r>
        <w:r>
          <w:instrText xml:space="preserve"> PAGEREF _Toc11687 \h </w:instrText>
        </w:r>
        <w:r>
          <w:fldChar w:fldCharType="separate"/>
        </w:r>
        <w:r>
          <w:t>6</w:t>
        </w:r>
        <w:r>
          <w:fldChar w:fldCharType="end"/>
        </w:r>
      </w:hyperlink>
    </w:p>
    <w:p>
      <w:pPr>
        <w:pStyle w:val="TOC1"/>
        <w:tabs>
          <w:tab w:val="right" w:leader="dot" w:pos="8306"/>
        </w:tabs>
      </w:pPr>
      <w:hyperlink w:anchor="_Toc19336" w:history="1">
        <w:r>
          <w:rPr>
            <w:rFonts w:ascii="仿宋" w:eastAsia="仿宋" w:hAnsi="仿宋" w:cs="仿宋" w:hint="eastAsia"/>
            <w:lang w:eastAsia="zh-CN"/>
          </w:rPr>
          <w:t>三、氮肥项目可持续发展</w:t>
        </w:r>
        <w:r>
          <w:tab/>
        </w:r>
        <w:r>
          <w:fldChar w:fldCharType="begin"/>
        </w:r>
        <w:r>
          <w:instrText xml:space="preserve"> PAGEREF _Toc19336 \h </w:instrText>
        </w:r>
        <w:r>
          <w:fldChar w:fldCharType="separate"/>
        </w:r>
        <w:r>
          <w:t>7</w:t>
        </w:r>
        <w:r>
          <w:fldChar w:fldCharType="end"/>
        </w:r>
      </w:hyperlink>
    </w:p>
    <w:p>
      <w:pPr>
        <w:pStyle w:val="TOC2"/>
        <w:tabs>
          <w:tab w:val="right" w:leader="dot" w:pos="8306"/>
        </w:tabs>
      </w:pPr>
      <w:hyperlink w:anchor="_Toc28677" w:history="1">
        <w:r>
          <w:rPr>
            <w:rFonts w:ascii="仿宋" w:eastAsia="仿宋" w:hAnsi="仿宋" w:cs="仿宋" w:hint="eastAsia"/>
            <w:lang w:eastAsia="zh-CN"/>
          </w:rPr>
          <w:t>(一)、可持续战略与实践</w:t>
        </w:r>
        <w:r>
          <w:tab/>
        </w:r>
        <w:r>
          <w:fldChar w:fldCharType="begin"/>
        </w:r>
        <w:r>
          <w:instrText xml:space="preserve"> PAGEREF _Toc28677 \h </w:instrText>
        </w:r>
        <w:r>
          <w:fldChar w:fldCharType="separate"/>
        </w:r>
        <w:r>
          <w:t>7</w:t>
        </w:r>
        <w:r>
          <w:fldChar w:fldCharType="end"/>
        </w:r>
      </w:hyperlink>
    </w:p>
    <w:p>
      <w:pPr>
        <w:pStyle w:val="TOC2"/>
        <w:tabs>
          <w:tab w:val="right" w:leader="dot" w:pos="8306"/>
        </w:tabs>
      </w:pPr>
      <w:hyperlink w:anchor="_Toc28188" w:history="1">
        <w:r>
          <w:rPr>
            <w:rFonts w:ascii="仿宋" w:eastAsia="仿宋" w:hAnsi="仿宋" w:cs="仿宋" w:hint="eastAsia"/>
            <w:lang w:eastAsia="zh-CN"/>
          </w:rPr>
          <w:t>(二)、环保与社会责任</w:t>
        </w:r>
        <w:r>
          <w:tab/>
        </w:r>
        <w:r>
          <w:fldChar w:fldCharType="begin"/>
        </w:r>
        <w:r>
          <w:instrText xml:space="preserve"> PAGEREF _Toc28188 \h </w:instrText>
        </w:r>
        <w:r>
          <w:fldChar w:fldCharType="separate"/>
        </w:r>
        <w:r>
          <w:t>8</w:t>
        </w:r>
        <w:r>
          <w:fldChar w:fldCharType="end"/>
        </w:r>
      </w:hyperlink>
    </w:p>
    <w:p>
      <w:pPr>
        <w:pStyle w:val="TOC1"/>
        <w:tabs>
          <w:tab w:val="right" w:leader="dot" w:pos="8306"/>
        </w:tabs>
      </w:pPr>
      <w:hyperlink w:anchor="_Toc16223" w:history="1">
        <w:r>
          <w:rPr>
            <w:rFonts w:ascii="仿宋" w:eastAsia="仿宋" w:hAnsi="仿宋" w:cs="仿宋" w:hint="eastAsia"/>
            <w:lang w:eastAsia="zh-CN"/>
          </w:rPr>
          <w:t>四、工艺说明</w:t>
        </w:r>
        <w:r>
          <w:tab/>
        </w:r>
        <w:r>
          <w:fldChar w:fldCharType="begin"/>
        </w:r>
        <w:r>
          <w:instrText xml:space="preserve"> PAGEREF _Toc16223 \h </w:instrText>
        </w:r>
        <w:r>
          <w:fldChar w:fldCharType="separate"/>
        </w:r>
        <w:r>
          <w:t>9</w:t>
        </w:r>
        <w:r>
          <w:fldChar w:fldCharType="end"/>
        </w:r>
      </w:hyperlink>
    </w:p>
    <w:p>
      <w:pPr>
        <w:pStyle w:val="TOC2"/>
        <w:tabs>
          <w:tab w:val="right" w:leader="dot" w:pos="8306"/>
        </w:tabs>
      </w:pPr>
      <w:hyperlink w:anchor="_Toc32371" w:history="1">
        <w:r>
          <w:rPr>
            <w:rFonts w:ascii="仿宋" w:eastAsia="仿宋" w:hAnsi="仿宋" w:cs="仿宋" w:hint="eastAsia"/>
            <w:lang w:eastAsia="zh-CN"/>
          </w:rPr>
          <w:t>(一)、技术管理特点</w:t>
        </w:r>
        <w:r>
          <w:tab/>
        </w:r>
        <w:r>
          <w:fldChar w:fldCharType="begin"/>
        </w:r>
        <w:r>
          <w:instrText xml:space="preserve"> PAGEREF _Toc32371 \h </w:instrText>
        </w:r>
        <w:r>
          <w:fldChar w:fldCharType="separate"/>
        </w:r>
        <w:r>
          <w:t>9</w:t>
        </w:r>
        <w:r>
          <w:fldChar w:fldCharType="end"/>
        </w:r>
      </w:hyperlink>
    </w:p>
    <w:p>
      <w:pPr>
        <w:pStyle w:val="TOC2"/>
        <w:tabs>
          <w:tab w:val="right" w:leader="dot" w:pos="8306"/>
        </w:tabs>
      </w:pPr>
      <w:hyperlink w:anchor="_Toc10323" w:history="1">
        <w:r>
          <w:rPr>
            <w:rFonts w:ascii="仿宋" w:eastAsia="仿宋" w:hAnsi="仿宋" w:cs="仿宋" w:hint="eastAsia"/>
            <w:lang w:eastAsia="zh-CN"/>
          </w:rPr>
          <w:t>(二)、氮肥项目工艺技术设计方案</w:t>
        </w:r>
        <w:r>
          <w:tab/>
        </w:r>
        <w:r>
          <w:fldChar w:fldCharType="begin"/>
        </w:r>
        <w:r>
          <w:instrText xml:space="preserve"> PAGEREF _Toc10323 \h </w:instrText>
        </w:r>
        <w:r>
          <w:fldChar w:fldCharType="separate"/>
        </w:r>
        <w:r>
          <w:t>10</w:t>
        </w:r>
        <w:r>
          <w:fldChar w:fldCharType="end"/>
        </w:r>
      </w:hyperlink>
    </w:p>
    <w:p>
      <w:pPr>
        <w:pStyle w:val="TOC2"/>
        <w:tabs>
          <w:tab w:val="right" w:leader="dot" w:pos="8306"/>
        </w:tabs>
      </w:pPr>
      <w:hyperlink w:anchor="_Toc13903" w:history="1">
        <w:r>
          <w:rPr>
            <w:rFonts w:ascii="仿宋" w:eastAsia="仿宋" w:hAnsi="仿宋" w:cs="仿宋" w:hint="eastAsia"/>
            <w:lang w:eastAsia="zh-CN"/>
          </w:rPr>
          <w:t>(三)、设备选型方案</w:t>
        </w:r>
        <w:r>
          <w:tab/>
        </w:r>
        <w:r>
          <w:fldChar w:fldCharType="begin"/>
        </w:r>
        <w:r>
          <w:instrText xml:space="preserve"> PAGEREF _Toc13903 \h </w:instrText>
        </w:r>
        <w:r>
          <w:fldChar w:fldCharType="separate"/>
        </w:r>
        <w:r>
          <w:t>11</w:t>
        </w:r>
        <w:r>
          <w:fldChar w:fldCharType="end"/>
        </w:r>
      </w:hyperlink>
    </w:p>
    <w:p>
      <w:pPr>
        <w:pStyle w:val="TOC1"/>
        <w:tabs>
          <w:tab w:val="right" w:leader="dot" w:pos="8306"/>
        </w:tabs>
      </w:pPr>
      <w:hyperlink w:anchor="_Toc26289" w:history="1">
        <w:r>
          <w:rPr>
            <w:rFonts w:ascii="仿宋" w:eastAsia="仿宋" w:hAnsi="仿宋" w:cs="仿宋" w:hint="eastAsia"/>
            <w:lang w:eastAsia="zh-CN"/>
          </w:rPr>
          <w:t>五、氮肥项目概论</w:t>
        </w:r>
        <w:r>
          <w:tab/>
        </w:r>
        <w:r>
          <w:fldChar w:fldCharType="begin"/>
        </w:r>
        <w:r>
          <w:instrText xml:space="preserve"> PAGEREF _Toc26289 \h </w:instrText>
        </w:r>
        <w:r>
          <w:fldChar w:fldCharType="separate"/>
        </w:r>
        <w:r>
          <w:t>13</w:t>
        </w:r>
        <w:r>
          <w:fldChar w:fldCharType="end"/>
        </w:r>
      </w:hyperlink>
    </w:p>
    <w:p>
      <w:pPr>
        <w:pStyle w:val="TOC2"/>
        <w:tabs>
          <w:tab w:val="right" w:leader="dot" w:pos="8306"/>
        </w:tabs>
      </w:pPr>
      <w:hyperlink w:anchor="_Toc3830" w:history="1">
        <w:r>
          <w:rPr>
            <w:rFonts w:ascii="仿宋" w:eastAsia="仿宋" w:hAnsi="仿宋" w:cs="仿宋" w:hint="eastAsia"/>
            <w:lang w:eastAsia="zh-CN"/>
          </w:rPr>
          <w:t>(一)、氮肥项目概况</w:t>
        </w:r>
        <w:r>
          <w:tab/>
        </w:r>
        <w:r>
          <w:fldChar w:fldCharType="begin"/>
        </w:r>
        <w:r>
          <w:instrText xml:space="preserve"> PAGEREF _Toc3830 \h </w:instrText>
        </w:r>
        <w:r>
          <w:fldChar w:fldCharType="separate"/>
        </w:r>
        <w:r>
          <w:t>13</w:t>
        </w:r>
        <w:r>
          <w:fldChar w:fldCharType="end"/>
        </w:r>
      </w:hyperlink>
    </w:p>
    <w:p>
      <w:pPr>
        <w:pStyle w:val="TOC2"/>
        <w:tabs>
          <w:tab w:val="right" w:leader="dot" w:pos="8306"/>
        </w:tabs>
      </w:pPr>
      <w:hyperlink w:anchor="_Toc20633" w:history="1">
        <w:r>
          <w:rPr>
            <w:rFonts w:ascii="仿宋" w:eastAsia="仿宋" w:hAnsi="仿宋" w:cs="仿宋" w:hint="eastAsia"/>
            <w:lang w:eastAsia="zh-CN"/>
          </w:rPr>
          <w:t>(二)、氮肥项目目标</w:t>
        </w:r>
        <w:r>
          <w:tab/>
        </w:r>
        <w:r>
          <w:fldChar w:fldCharType="begin"/>
        </w:r>
        <w:r>
          <w:instrText xml:space="preserve"> PAGEREF _Toc20633 \h </w:instrText>
        </w:r>
        <w:r>
          <w:fldChar w:fldCharType="separate"/>
        </w:r>
        <w:r>
          <w:t>15</w:t>
        </w:r>
        <w:r>
          <w:fldChar w:fldCharType="end"/>
        </w:r>
      </w:hyperlink>
    </w:p>
    <w:p>
      <w:pPr>
        <w:pStyle w:val="TOC2"/>
        <w:tabs>
          <w:tab w:val="right" w:leader="dot" w:pos="8306"/>
        </w:tabs>
      </w:pPr>
      <w:hyperlink w:anchor="_Toc26698" w:history="1">
        <w:r>
          <w:rPr>
            <w:rFonts w:ascii="仿宋" w:eastAsia="仿宋" w:hAnsi="仿宋" w:cs="仿宋" w:hint="eastAsia"/>
            <w:lang w:eastAsia="zh-CN"/>
          </w:rPr>
          <w:t>(三)、氮肥项目提出的理由</w:t>
        </w:r>
        <w:r>
          <w:tab/>
        </w:r>
        <w:r>
          <w:fldChar w:fldCharType="begin"/>
        </w:r>
        <w:r>
          <w:instrText xml:space="preserve"> PAGEREF _Toc26698 \h </w:instrText>
        </w:r>
        <w:r>
          <w:fldChar w:fldCharType="separate"/>
        </w:r>
        <w:r>
          <w:t>16</w:t>
        </w:r>
        <w:r>
          <w:fldChar w:fldCharType="end"/>
        </w:r>
      </w:hyperlink>
    </w:p>
    <w:p>
      <w:pPr>
        <w:pStyle w:val="TOC2"/>
        <w:tabs>
          <w:tab w:val="right" w:leader="dot" w:pos="8306"/>
        </w:tabs>
      </w:pPr>
      <w:hyperlink w:anchor="_Toc10140" w:history="1">
        <w:r>
          <w:rPr>
            <w:rFonts w:ascii="仿宋" w:eastAsia="仿宋" w:hAnsi="仿宋" w:cs="仿宋" w:hint="eastAsia"/>
            <w:lang w:eastAsia="zh-CN"/>
          </w:rPr>
          <w:t>(四)、氮肥项目意义</w:t>
        </w:r>
        <w:r>
          <w:tab/>
        </w:r>
        <w:r>
          <w:fldChar w:fldCharType="begin"/>
        </w:r>
        <w:r>
          <w:instrText xml:space="preserve"> PAGEREF _Toc10140 \h </w:instrText>
        </w:r>
        <w:r>
          <w:fldChar w:fldCharType="separate"/>
        </w:r>
        <w:r>
          <w:t>17</w:t>
        </w:r>
        <w:r>
          <w:fldChar w:fldCharType="end"/>
        </w:r>
      </w:hyperlink>
    </w:p>
    <w:p>
      <w:pPr>
        <w:pStyle w:val="TOC2"/>
        <w:tabs>
          <w:tab w:val="right" w:leader="dot" w:pos="8306"/>
        </w:tabs>
      </w:pPr>
      <w:hyperlink w:anchor="_Toc16873" w:history="1">
        <w:r>
          <w:rPr>
            <w:rFonts w:ascii="仿宋" w:eastAsia="仿宋" w:hAnsi="仿宋" w:cs="仿宋" w:hint="eastAsia"/>
            <w:lang w:eastAsia="zh-CN"/>
          </w:rPr>
          <w:t>(五)、氮肥项目背景</w:t>
        </w:r>
        <w:r>
          <w:tab/>
        </w:r>
        <w:r>
          <w:fldChar w:fldCharType="begin"/>
        </w:r>
        <w:r>
          <w:instrText xml:space="preserve"> PAGEREF _Toc16873 \h </w:instrText>
        </w:r>
        <w:r>
          <w:fldChar w:fldCharType="separate"/>
        </w:r>
        <w:r>
          <w:t>18</w:t>
        </w:r>
        <w:r>
          <w:fldChar w:fldCharType="end"/>
        </w:r>
      </w:hyperlink>
    </w:p>
    <w:p>
      <w:pPr>
        <w:pStyle w:val="TOC1"/>
        <w:tabs>
          <w:tab w:val="right" w:leader="dot" w:pos="8306"/>
        </w:tabs>
      </w:pPr>
      <w:hyperlink w:anchor="_Toc26597" w:history="1">
        <w:r>
          <w:rPr>
            <w:rFonts w:ascii="仿宋" w:eastAsia="仿宋" w:hAnsi="仿宋" w:cs="仿宋" w:hint="eastAsia"/>
            <w:lang w:eastAsia="zh-CN"/>
          </w:rPr>
          <w:t>六、氮肥项目建设单位说明</w:t>
        </w:r>
        <w:r>
          <w:tab/>
        </w:r>
        <w:r>
          <w:fldChar w:fldCharType="begin"/>
        </w:r>
        <w:r>
          <w:instrText xml:space="preserve"> PAGEREF _Toc26597 \h </w:instrText>
        </w:r>
        <w:r>
          <w:fldChar w:fldCharType="separate"/>
        </w:r>
        <w:r>
          <w:t>19</w:t>
        </w:r>
        <w:r>
          <w:fldChar w:fldCharType="end"/>
        </w:r>
      </w:hyperlink>
    </w:p>
    <w:p>
      <w:pPr>
        <w:pStyle w:val="TOC2"/>
        <w:tabs>
          <w:tab w:val="right" w:leader="dot" w:pos="8306"/>
        </w:tabs>
      </w:pPr>
      <w:hyperlink w:anchor="_Toc24114" w:history="1">
        <w:r>
          <w:rPr>
            <w:rFonts w:ascii="仿宋" w:eastAsia="仿宋" w:hAnsi="仿宋" w:cs="仿宋" w:hint="eastAsia"/>
            <w:lang w:eastAsia="zh-CN"/>
          </w:rPr>
          <w:t>(一)、氮肥项目承办单位基本情况</w:t>
        </w:r>
        <w:r>
          <w:tab/>
        </w:r>
        <w:r>
          <w:fldChar w:fldCharType="begin"/>
        </w:r>
        <w:r>
          <w:instrText xml:space="preserve"> PAGEREF _Toc24114 \h </w:instrText>
        </w:r>
        <w:r>
          <w:fldChar w:fldCharType="separate"/>
        </w:r>
        <w:r>
          <w:t>19</w:t>
        </w:r>
        <w:r>
          <w:fldChar w:fldCharType="end"/>
        </w:r>
      </w:hyperlink>
    </w:p>
    <w:p>
      <w:pPr>
        <w:pStyle w:val="TOC2"/>
        <w:tabs>
          <w:tab w:val="right" w:leader="dot" w:pos="8306"/>
        </w:tabs>
      </w:pPr>
      <w:hyperlink w:anchor="_Toc11705" w:history="1">
        <w:r>
          <w:rPr>
            <w:rFonts w:ascii="仿宋" w:eastAsia="仿宋" w:hAnsi="仿宋" w:cs="仿宋" w:hint="eastAsia"/>
            <w:lang w:eastAsia="zh-CN"/>
          </w:rPr>
          <w:t>(二)、公司经济效益分析</w:t>
        </w:r>
        <w:r>
          <w:tab/>
        </w:r>
        <w:r>
          <w:fldChar w:fldCharType="begin"/>
        </w:r>
        <w:r>
          <w:instrText xml:space="preserve"> PAGEREF _Toc11705 \h </w:instrText>
        </w:r>
        <w:r>
          <w:fldChar w:fldCharType="separate"/>
        </w:r>
        <w:r>
          <w:t>19</w:t>
        </w:r>
        <w:r>
          <w:fldChar w:fldCharType="end"/>
        </w:r>
      </w:hyperlink>
    </w:p>
    <w:p>
      <w:pPr>
        <w:pStyle w:val="TOC1"/>
        <w:tabs>
          <w:tab w:val="right" w:leader="dot" w:pos="8306"/>
        </w:tabs>
      </w:pPr>
      <w:hyperlink w:anchor="_Toc9806" w:history="1">
        <w:r>
          <w:rPr>
            <w:rFonts w:ascii="仿宋" w:eastAsia="仿宋" w:hAnsi="仿宋" w:cs="仿宋" w:hint="eastAsia"/>
            <w:lang w:eastAsia="zh-CN"/>
          </w:rPr>
          <w:t>七、氮肥项目风险管理</w:t>
        </w:r>
        <w:r>
          <w:tab/>
        </w:r>
        <w:r>
          <w:fldChar w:fldCharType="begin"/>
        </w:r>
        <w:r>
          <w:instrText xml:space="preserve"> PAGEREF _Toc9806 \h </w:instrText>
        </w:r>
        <w:r>
          <w:fldChar w:fldCharType="separate"/>
        </w:r>
        <w:r>
          <w:t>20</w:t>
        </w:r>
        <w:r>
          <w:fldChar w:fldCharType="end"/>
        </w:r>
      </w:hyperlink>
    </w:p>
    <w:p>
      <w:pPr>
        <w:pStyle w:val="TOC2"/>
        <w:tabs>
          <w:tab w:val="right" w:leader="dot" w:pos="8306"/>
        </w:tabs>
      </w:pPr>
      <w:hyperlink w:anchor="_Toc19396" w:history="1">
        <w:r>
          <w:rPr>
            <w:rFonts w:ascii="仿宋" w:eastAsia="仿宋" w:hAnsi="仿宋" w:cs="仿宋" w:hint="eastAsia"/>
            <w:lang w:eastAsia="zh-CN"/>
          </w:rPr>
          <w:t>(一)、风险识别与评估</w:t>
        </w:r>
        <w:r>
          <w:tab/>
        </w:r>
        <w:r>
          <w:fldChar w:fldCharType="begin"/>
        </w:r>
        <w:r>
          <w:instrText xml:space="preserve"> PAGEREF _Toc19396 \h </w:instrText>
        </w:r>
        <w:r>
          <w:fldChar w:fldCharType="separate"/>
        </w:r>
        <w:r>
          <w:t>20</w:t>
        </w:r>
        <w:r>
          <w:fldChar w:fldCharType="end"/>
        </w:r>
      </w:hyperlink>
    </w:p>
    <w:p>
      <w:pPr>
        <w:pStyle w:val="TOC2"/>
        <w:tabs>
          <w:tab w:val="right" w:leader="dot" w:pos="8306"/>
        </w:tabs>
      </w:pPr>
      <w:hyperlink w:anchor="_Toc8117" w:history="1">
        <w:r>
          <w:rPr>
            <w:rFonts w:ascii="仿宋" w:eastAsia="仿宋" w:hAnsi="仿宋" w:cs="仿宋" w:hint="eastAsia"/>
            <w:lang w:eastAsia="zh-CN"/>
          </w:rPr>
          <w:t>(二)、风险应对策略</w:t>
        </w:r>
        <w:r>
          <w:tab/>
        </w:r>
        <w:r>
          <w:fldChar w:fldCharType="begin"/>
        </w:r>
        <w:r>
          <w:instrText xml:space="preserve"> PAGEREF _Toc8117 \h </w:instrText>
        </w:r>
        <w:r>
          <w:fldChar w:fldCharType="separate"/>
        </w:r>
        <w:r>
          <w:t>22</w:t>
        </w:r>
        <w:r>
          <w:fldChar w:fldCharType="end"/>
        </w:r>
      </w:hyperlink>
    </w:p>
    <w:p>
      <w:pPr>
        <w:pStyle w:val="TOC2"/>
        <w:tabs>
          <w:tab w:val="right" w:leader="dot" w:pos="8306"/>
        </w:tabs>
      </w:pPr>
      <w:hyperlink w:anchor="_Toc16660" w:history="1">
        <w:r>
          <w:rPr>
            <w:rFonts w:ascii="仿宋" w:eastAsia="仿宋" w:hAnsi="仿宋" w:cs="仿宋" w:hint="eastAsia"/>
            <w:lang w:eastAsia="zh-CN"/>
          </w:rPr>
          <w:t>(三)、风险监控与控制</w:t>
        </w:r>
        <w:r>
          <w:tab/>
        </w:r>
        <w:r>
          <w:fldChar w:fldCharType="begin"/>
        </w:r>
        <w:r>
          <w:instrText xml:space="preserve"> PAGEREF _Toc16660 \h </w:instrText>
        </w:r>
        <w:r>
          <w:fldChar w:fldCharType="separate"/>
        </w:r>
        <w:r>
          <w:t>23</w:t>
        </w:r>
        <w:r>
          <w:fldChar w:fldCharType="end"/>
        </w:r>
      </w:hyperlink>
    </w:p>
    <w:p>
      <w:pPr>
        <w:pStyle w:val="TOC1"/>
        <w:tabs>
          <w:tab w:val="right" w:leader="dot" w:pos="8306"/>
        </w:tabs>
      </w:pPr>
      <w:hyperlink w:anchor="_Toc1747" w:history="1">
        <w:r>
          <w:rPr>
            <w:rFonts w:ascii="仿宋" w:eastAsia="仿宋" w:hAnsi="仿宋" w:cs="仿宋" w:hint="eastAsia"/>
            <w:lang w:eastAsia="zh-CN"/>
          </w:rPr>
          <w:t>八、氮肥项目经营效益</w:t>
        </w:r>
        <w:r>
          <w:tab/>
        </w:r>
        <w:r>
          <w:fldChar w:fldCharType="begin"/>
        </w:r>
        <w:r>
          <w:instrText xml:space="preserve"> PAGEREF _Toc1747 \h </w:instrText>
        </w:r>
        <w:r>
          <w:fldChar w:fldCharType="separate"/>
        </w:r>
        <w:r>
          <w:t>24</w:t>
        </w:r>
        <w:r>
          <w:fldChar w:fldCharType="end"/>
        </w:r>
      </w:hyperlink>
    </w:p>
    <w:p>
      <w:pPr>
        <w:pStyle w:val="TOC2"/>
        <w:tabs>
          <w:tab w:val="right" w:leader="dot" w:pos="8306"/>
        </w:tabs>
      </w:pPr>
      <w:hyperlink w:anchor="_Toc29619" w:history="1">
        <w:r>
          <w:rPr>
            <w:rFonts w:ascii="仿宋" w:eastAsia="仿宋" w:hAnsi="仿宋" w:cs="仿宋" w:hint="eastAsia"/>
            <w:lang w:eastAsia="zh-CN"/>
          </w:rPr>
          <w:t>(一)、经济评价财务测算</w:t>
        </w:r>
        <w:r>
          <w:tab/>
        </w:r>
        <w:r>
          <w:fldChar w:fldCharType="begin"/>
        </w:r>
        <w:r>
          <w:instrText xml:space="preserve"> PAGEREF _Toc29619 \h </w:instrText>
        </w:r>
        <w:r>
          <w:fldChar w:fldCharType="separate"/>
        </w:r>
        <w:r>
          <w:t>24</w:t>
        </w:r>
        <w:r>
          <w:fldChar w:fldCharType="end"/>
        </w:r>
      </w:hyperlink>
    </w:p>
    <w:p>
      <w:pPr>
        <w:pStyle w:val="TOC2"/>
        <w:tabs>
          <w:tab w:val="right" w:leader="dot" w:pos="8306"/>
        </w:tabs>
      </w:pPr>
      <w:hyperlink w:anchor="_Toc32681" w:history="1">
        <w:r>
          <w:rPr>
            <w:rFonts w:ascii="仿宋" w:eastAsia="仿宋" w:hAnsi="仿宋" w:cs="仿宋" w:hint="eastAsia"/>
            <w:lang w:eastAsia="zh-CN"/>
          </w:rPr>
          <w:t>(二)、氮肥项目盈利能力分析</w:t>
        </w:r>
        <w:r>
          <w:tab/>
        </w:r>
        <w:r>
          <w:fldChar w:fldCharType="begin"/>
        </w:r>
        <w:r>
          <w:instrText xml:space="preserve"> PAGEREF _Toc32681 \h </w:instrText>
        </w:r>
        <w:r>
          <w:fldChar w:fldCharType="separate"/>
        </w:r>
        <w:r>
          <w:t>26</w:t>
        </w:r>
        <w:r>
          <w:fldChar w:fldCharType="end"/>
        </w:r>
      </w:hyperlink>
    </w:p>
    <w:p>
      <w:pPr>
        <w:pStyle w:val="TOC1"/>
        <w:tabs>
          <w:tab w:val="right" w:leader="dot" w:pos="8306"/>
        </w:tabs>
      </w:pPr>
      <w:hyperlink w:anchor="_Toc32058" w:history="1">
        <w:r>
          <w:rPr>
            <w:rFonts w:ascii="仿宋" w:eastAsia="仿宋" w:hAnsi="仿宋" w:cs="仿宋" w:hint="eastAsia"/>
            <w:lang w:eastAsia="zh-CN"/>
          </w:rPr>
          <w:t>九、氮肥项目人力资源培养与发展</w:t>
        </w:r>
        <w:r>
          <w:tab/>
        </w:r>
        <w:r>
          <w:fldChar w:fldCharType="begin"/>
        </w:r>
        <w:r>
          <w:instrText xml:space="preserve"> PAGEREF _Toc32058 \h </w:instrText>
        </w:r>
        <w:r>
          <w:fldChar w:fldCharType="separate"/>
        </w:r>
        <w:r>
          <w:t>26</w:t>
        </w:r>
        <w:r>
          <w:fldChar w:fldCharType="end"/>
        </w:r>
      </w:hyperlink>
    </w:p>
    <w:p>
      <w:pPr>
        <w:pStyle w:val="TOC2"/>
        <w:tabs>
          <w:tab w:val="right" w:leader="dot" w:pos="8306"/>
        </w:tabs>
      </w:pPr>
      <w:hyperlink w:anchor="_Toc5279" w:history="1">
        <w:r>
          <w:rPr>
            <w:rFonts w:ascii="仿宋" w:eastAsia="仿宋" w:hAnsi="仿宋" w:cs="仿宋" w:hint="eastAsia"/>
            <w:lang w:eastAsia="zh-CN"/>
          </w:rPr>
          <w:t>(一)、人才需求与规划</w:t>
        </w:r>
        <w:r>
          <w:tab/>
        </w:r>
        <w:r>
          <w:fldChar w:fldCharType="begin"/>
        </w:r>
        <w:r>
          <w:instrText xml:space="preserve"> PAGEREF _Toc5279 \h </w:instrText>
        </w:r>
        <w:r>
          <w:fldChar w:fldCharType="separate"/>
        </w:r>
        <w:r>
          <w:t>26</w:t>
        </w:r>
        <w:r>
          <w:fldChar w:fldCharType="end"/>
        </w:r>
      </w:hyperlink>
    </w:p>
    <w:p>
      <w:pPr>
        <w:pStyle w:val="TOC2"/>
        <w:tabs>
          <w:tab w:val="right" w:leader="dot" w:pos="8306"/>
        </w:tabs>
      </w:pPr>
      <w:hyperlink w:anchor="_Toc214" w:history="1">
        <w:r>
          <w:rPr>
            <w:rFonts w:ascii="仿宋" w:eastAsia="仿宋" w:hAnsi="仿宋" w:cs="仿宋" w:hint="eastAsia"/>
            <w:lang w:eastAsia="zh-CN"/>
          </w:rPr>
          <w:t>(二)、培训与发展计划</w:t>
        </w:r>
        <w:r>
          <w:tab/>
        </w:r>
        <w:r>
          <w:fldChar w:fldCharType="begin"/>
        </w:r>
        <w:r>
          <w:instrText xml:space="preserve"> PAGEREF _Toc214 \h </w:instrText>
        </w:r>
        <w:r>
          <w:fldChar w:fldCharType="separate"/>
        </w:r>
        <w:r>
          <w:t>27</w:t>
        </w:r>
        <w:r>
          <w:fldChar w:fldCharType="end"/>
        </w:r>
      </w:hyperlink>
    </w:p>
    <w:p>
      <w:pPr>
        <w:pStyle w:val="TOC1"/>
        <w:tabs>
          <w:tab w:val="right" w:leader="dot" w:pos="8306"/>
        </w:tabs>
      </w:pPr>
      <w:hyperlink w:anchor="_Toc15599" w:history="1">
        <w:r>
          <w:rPr>
            <w:rFonts w:ascii="仿宋" w:eastAsia="仿宋" w:hAnsi="仿宋" w:cs="仿宋" w:hint="eastAsia"/>
            <w:lang w:eastAsia="zh-CN"/>
          </w:rPr>
          <w:t>十、氮肥项目人力资源管理</w:t>
        </w:r>
        <w:r>
          <w:tab/>
        </w:r>
        <w:r>
          <w:fldChar w:fldCharType="begin"/>
        </w:r>
        <w:r>
          <w:instrText xml:space="preserve"> PAGEREF _Toc15599 \h </w:instrText>
        </w:r>
        <w:r>
          <w:fldChar w:fldCharType="separate"/>
        </w:r>
        <w:r>
          <w:t>27</w:t>
        </w:r>
        <w:r>
          <w:fldChar w:fldCharType="end"/>
        </w:r>
      </w:hyperlink>
    </w:p>
    <w:p>
      <w:pPr>
        <w:pStyle w:val="TOC2"/>
        <w:tabs>
          <w:tab w:val="right" w:leader="dot" w:pos="8306"/>
        </w:tabs>
      </w:pPr>
      <w:hyperlink w:anchor="_Toc32403" w:history="1">
        <w:r>
          <w:rPr>
            <w:rFonts w:ascii="仿宋" w:eastAsia="仿宋" w:hAnsi="仿宋" w:cs="仿宋" w:hint="eastAsia"/>
            <w:lang w:eastAsia="zh-CN"/>
          </w:rPr>
          <w:t>(一)、建立健全的预算管理制度</w:t>
        </w:r>
        <w:r>
          <w:tab/>
        </w:r>
        <w:r>
          <w:fldChar w:fldCharType="begin"/>
        </w:r>
        <w:r>
          <w:instrText xml:space="preserve"> PAGEREF _Toc32403 \h </w:instrText>
        </w:r>
        <w:r>
          <w:fldChar w:fldCharType="separate"/>
        </w:r>
        <w:r>
          <w:t>27</w:t>
        </w:r>
        <w:r>
          <w:fldChar w:fldCharType="end"/>
        </w:r>
      </w:hyperlink>
    </w:p>
    <w:p>
      <w:pPr>
        <w:pStyle w:val="TOC2"/>
        <w:tabs>
          <w:tab w:val="right" w:leader="dot" w:pos="8306"/>
        </w:tabs>
      </w:pPr>
      <w:hyperlink w:anchor="_Toc12106" w:history="1">
        <w:r>
          <w:rPr>
            <w:rFonts w:ascii="仿宋" w:eastAsia="仿宋" w:hAnsi="仿宋" w:cs="仿宋" w:hint="eastAsia"/>
            <w:lang w:eastAsia="zh-CN"/>
          </w:rPr>
          <w:t>(二)、加强资金流动监控</w:t>
        </w:r>
        <w:r>
          <w:tab/>
        </w:r>
        <w:r>
          <w:fldChar w:fldCharType="begin"/>
        </w:r>
        <w:r>
          <w:instrText xml:space="preserve"> PAGEREF _Toc12106 \h </w:instrText>
        </w:r>
        <w:r>
          <w:fldChar w:fldCharType="separate"/>
        </w:r>
        <w:r>
          <w:t>29</w:t>
        </w:r>
        <w:r>
          <w:fldChar w:fldCharType="end"/>
        </w:r>
      </w:hyperlink>
    </w:p>
    <w:p>
      <w:pPr>
        <w:pStyle w:val="TOC2"/>
        <w:tabs>
          <w:tab w:val="right" w:leader="dot" w:pos="8306"/>
        </w:tabs>
      </w:pPr>
      <w:hyperlink w:anchor="_Toc30189" w:history="1">
        <w:r>
          <w:rPr>
            <w:rFonts w:ascii="仿宋" w:eastAsia="仿宋" w:hAnsi="仿宋" w:cs="仿宋" w:hint="eastAsia"/>
            <w:lang w:eastAsia="zh-CN"/>
          </w:rPr>
          <w:t>(三)、制定完善的风险控制机制</w:t>
        </w:r>
        <w:r>
          <w:tab/>
        </w:r>
        <w:r>
          <w:fldChar w:fldCharType="begin"/>
        </w:r>
        <w:r>
          <w:instrText xml:space="preserve"> PAGEREF _Toc30189 \h </w:instrText>
        </w:r>
        <w:r>
          <w:fldChar w:fldCharType="separate"/>
        </w:r>
        <w:r>
          <w:t>30</w:t>
        </w:r>
        <w:r>
          <w:fldChar w:fldCharType="end"/>
        </w:r>
      </w:hyperlink>
    </w:p>
    <w:p>
      <w:pPr>
        <w:pStyle w:val="TOC2"/>
        <w:tabs>
          <w:tab w:val="right" w:leader="dot" w:pos="8306"/>
        </w:tabs>
      </w:pPr>
      <w:hyperlink w:anchor="_Toc10910" w:history="1">
        <w:r>
          <w:rPr>
            <w:rFonts w:ascii="仿宋" w:eastAsia="仿宋" w:hAnsi="仿宋" w:cs="仿宋" w:hint="eastAsia"/>
            <w:lang w:eastAsia="zh-CN"/>
          </w:rPr>
          <w:t>(四)、优化成本管理</w:t>
        </w:r>
        <w:r>
          <w:tab/>
        </w:r>
        <w:r>
          <w:fldChar w:fldCharType="begin"/>
        </w:r>
        <w:r>
          <w:instrText xml:space="preserve"> PAGEREF _Toc10910 \h </w:instrText>
        </w:r>
        <w:r>
          <w:fldChar w:fldCharType="separate"/>
        </w:r>
        <w:r>
          <w:t>31</w:t>
        </w:r>
        <w:r>
          <w:fldChar w:fldCharType="end"/>
        </w:r>
      </w:hyperlink>
    </w:p>
    <w:p>
      <w:pPr>
        <w:pStyle w:val="TOC1"/>
        <w:tabs>
          <w:tab w:val="right" w:leader="dot" w:pos="8306"/>
        </w:tabs>
      </w:pPr>
      <w:hyperlink w:anchor="_Toc31218" w:history="1">
        <w:r>
          <w:rPr>
            <w:rFonts w:ascii="仿宋" w:eastAsia="仿宋" w:hAnsi="仿宋" w:cs="仿宋" w:hint="eastAsia"/>
            <w:lang w:eastAsia="zh-CN"/>
          </w:rPr>
          <w:t>十一、氮肥项目计划安排</w:t>
        </w:r>
        <w:r>
          <w:tab/>
        </w:r>
        <w:r>
          <w:fldChar w:fldCharType="begin"/>
        </w:r>
        <w:r>
          <w:instrText xml:space="preserve"> PAGEREF _Toc31218 \h </w:instrText>
        </w:r>
        <w:r>
          <w:fldChar w:fldCharType="separate"/>
        </w:r>
        <w:r>
          <w:t>33</w:t>
        </w:r>
        <w:r>
          <w:fldChar w:fldCharType="end"/>
        </w:r>
      </w:hyperlink>
    </w:p>
    <w:p>
      <w:pPr>
        <w:pStyle w:val="TOC2"/>
        <w:tabs>
          <w:tab w:val="right" w:leader="dot" w:pos="8306"/>
        </w:tabs>
      </w:pPr>
      <w:hyperlink w:anchor="_Toc28205" w:history="1">
        <w:r>
          <w:rPr>
            <w:rFonts w:ascii="仿宋" w:eastAsia="仿宋" w:hAnsi="仿宋" w:cs="仿宋" w:hint="eastAsia"/>
            <w:lang w:eastAsia="zh-CN"/>
          </w:rPr>
          <w:t>(一)、建设周期</w:t>
        </w:r>
        <w:r>
          <w:tab/>
        </w:r>
        <w:r>
          <w:fldChar w:fldCharType="begin"/>
        </w:r>
        <w:r>
          <w:instrText xml:space="preserve"> PAGEREF _Toc28205 \h </w:instrText>
        </w:r>
        <w:r>
          <w:fldChar w:fldCharType="separate"/>
        </w:r>
        <w:r>
          <w:t>33</w:t>
        </w:r>
        <w:r>
          <w:fldChar w:fldCharType="end"/>
        </w:r>
      </w:hyperlink>
    </w:p>
    <w:p>
      <w:pPr>
        <w:pStyle w:val="TOC2"/>
        <w:tabs>
          <w:tab w:val="right" w:leader="dot" w:pos="8306"/>
        </w:tabs>
      </w:pPr>
      <w:hyperlink w:anchor="_Toc11139" w:history="1">
        <w:r>
          <w:rPr>
            <w:rFonts w:ascii="仿宋" w:eastAsia="仿宋" w:hAnsi="仿宋" w:cs="仿宋" w:hint="eastAsia"/>
            <w:lang w:eastAsia="zh-CN"/>
          </w:rPr>
          <w:t>(二)、建设进度</w:t>
        </w:r>
        <w:r>
          <w:tab/>
        </w:r>
        <w:r>
          <w:fldChar w:fldCharType="begin"/>
        </w:r>
        <w:r>
          <w:instrText xml:space="preserve"> PAGEREF _Toc11139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053" w:history="1">
        <w:r>
          <w:rPr>
            <w:rFonts w:ascii="仿宋" w:eastAsia="仿宋" w:hAnsi="仿宋" w:cs="仿宋" w:hint="eastAsia"/>
            <w:lang w:eastAsia="zh-CN"/>
          </w:rPr>
          <w:t>(三)、进度安排注意事项</w:t>
        </w:r>
        <w:r>
          <w:tab/>
        </w:r>
        <w:r>
          <w:fldChar w:fldCharType="begin"/>
        </w:r>
        <w:r>
          <w:instrText xml:space="preserve"> PAGEREF _Toc9053 \h </w:instrText>
        </w:r>
        <w:r>
          <w:fldChar w:fldCharType="separate"/>
        </w:r>
        <w:r>
          <w:t>34</w:t>
        </w:r>
        <w:r>
          <w:fldChar w:fldCharType="end"/>
        </w:r>
      </w:hyperlink>
    </w:p>
    <w:p>
      <w:pPr>
        <w:pStyle w:val="TOC2"/>
        <w:tabs>
          <w:tab w:val="right" w:leader="dot" w:pos="8306"/>
        </w:tabs>
      </w:pPr>
      <w:hyperlink w:anchor="_Toc29291" w:history="1">
        <w:r>
          <w:rPr>
            <w:rFonts w:ascii="仿宋" w:eastAsia="仿宋" w:hAnsi="仿宋" w:cs="仿宋" w:hint="eastAsia"/>
            <w:lang w:eastAsia="zh-CN"/>
          </w:rPr>
          <w:t>(四)、人力资源配置</w:t>
        </w:r>
        <w:r>
          <w:tab/>
        </w:r>
        <w:r>
          <w:fldChar w:fldCharType="begin"/>
        </w:r>
        <w:r>
          <w:instrText xml:space="preserve"> PAGEREF _Toc29291 \h </w:instrText>
        </w:r>
        <w:r>
          <w:fldChar w:fldCharType="separate"/>
        </w:r>
        <w:r>
          <w:t>36</w:t>
        </w:r>
        <w:r>
          <w:fldChar w:fldCharType="end"/>
        </w:r>
      </w:hyperlink>
    </w:p>
    <w:p>
      <w:pPr>
        <w:pStyle w:val="TOC1"/>
        <w:tabs>
          <w:tab w:val="right" w:leader="dot" w:pos="8306"/>
        </w:tabs>
      </w:pPr>
      <w:hyperlink w:anchor="_Toc20189" w:history="1">
        <w:r>
          <w:rPr>
            <w:rFonts w:ascii="仿宋" w:eastAsia="仿宋" w:hAnsi="仿宋" w:cs="仿宋" w:hint="eastAsia"/>
            <w:lang w:eastAsia="zh-CN"/>
          </w:rPr>
          <w:t>十二、氮肥项目创新与研发</w:t>
        </w:r>
        <w:r>
          <w:tab/>
        </w:r>
        <w:r>
          <w:fldChar w:fldCharType="begin"/>
        </w:r>
        <w:r>
          <w:instrText xml:space="preserve"> PAGEREF _Toc20189 \h </w:instrText>
        </w:r>
        <w:r>
          <w:fldChar w:fldCharType="separate"/>
        </w:r>
        <w:r>
          <w:t>37</w:t>
        </w:r>
        <w:r>
          <w:fldChar w:fldCharType="end"/>
        </w:r>
      </w:hyperlink>
    </w:p>
    <w:p>
      <w:pPr>
        <w:pStyle w:val="TOC2"/>
        <w:tabs>
          <w:tab w:val="right" w:leader="dot" w:pos="8306"/>
        </w:tabs>
      </w:pPr>
      <w:hyperlink w:anchor="_Toc21608" w:history="1">
        <w:r>
          <w:rPr>
            <w:rFonts w:ascii="仿宋" w:eastAsia="仿宋" w:hAnsi="仿宋" w:cs="仿宋" w:hint="eastAsia"/>
            <w:lang w:eastAsia="zh-CN"/>
          </w:rPr>
          <w:t>(一)、创新策略与方向</w:t>
        </w:r>
        <w:r>
          <w:tab/>
        </w:r>
        <w:r>
          <w:fldChar w:fldCharType="begin"/>
        </w:r>
        <w:r>
          <w:instrText xml:space="preserve"> PAGEREF _Toc21608 \h </w:instrText>
        </w:r>
        <w:r>
          <w:fldChar w:fldCharType="separate"/>
        </w:r>
        <w:r>
          <w:t>37</w:t>
        </w:r>
        <w:r>
          <w:fldChar w:fldCharType="end"/>
        </w:r>
      </w:hyperlink>
    </w:p>
    <w:p>
      <w:pPr>
        <w:pStyle w:val="TOC2"/>
        <w:tabs>
          <w:tab w:val="right" w:leader="dot" w:pos="8306"/>
        </w:tabs>
      </w:pPr>
      <w:hyperlink w:anchor="_Toc19473" w:history="1">
        <w:r>
          <w:rPr>
            <w:rFonts w:ascii="仿宋" w:eastAsia="仿宋" w:hAnsi="仿宋" w:cs="仿宋" w:hint="eastAsia"/>
            <w:lang w:eastAsia="zh-CN"/>
          </w:rPr>
          <w:t>(二)、研发规划与投入</w:t>
        </w:r>
        <w:r>
          <w:tab/>
        </w:r>
        <w:r>
          <w:fldChar w:fldCharType="begin"/>
        </w:r>
        <w:r>
          <w:instrText xml:space="preserve"> PAGEREF _Toc19473 \h </w:instrText>
        </w:r>
        <w:r>
          <w:fldChar w:fldCharType="separate"/>
        </w:r>
        <w:r>
          <w:t>38</w:t>
        </w:r>
        <w:r>
          <w:fldChar w:fldCharType="end"/>
        </w:r>
      </w:hyperlink>
    </w:p>
    <w:p>
      <w:pPr>
        <w:pStyle w:val="TOC1"/>
        <w:tabs>
          <w:tab w:val="right" w:leader="dot" w:pos="8306"/>
        </w:tabs>
      </w:pPr>
      <w:hyperlink w:anchor="_Toc357" w:history="1">
        <w:r>
          <w:rPr>
            <w:rFonts w:ascii="仿宋" w:eastAsia="仿宋" w:hAnsi="仿宋" w:cs="仿宋" w:hint="eastAsia"/>
            <w:lang w:eastAsia="zh-CN"/>
          </w:rPr>
          <w:t>十三、营销与推广策略</w:t>
        </w:r>
        <w:r>
          <w:tab/>
        </w:r>
        <w:r>
          <w:fldChar w:fldCharType="begin"/>
        </w:r>
        <w:r>
          <w:instrText xml:space="preserve"> PAGEREF _Toc357 \h </w:instrText>
        </w:r>
        <w:r>
          <w:fldChar w:fldCharType="separate"/>
        </w:r>
        <w:r>
          <w:t>40</w:t>
        </w:r>
        <w:r>
          <w:fldChar w:fldCharType="end"/>
        </w:r>
      </w:hyperlink>
    </w:p>
    <w:p>
      <w:pPr>
        <w:pStyle w:val="TOC2"/>
        <w:tabs>
          <w:tab w:val="right" w:leader="dot" w:pos="8306"/>
        </w:tabs>
      </w:pPr>
      <w:hyperlink w:anchor="_Toc11506" w:history="1">
        <w:r>
          <w:rPr>
            <w:rFonts w:ascii="仿宋" w:eastAsia="仿宋" w:hAnsi="仿宋" w:cs="仿宋" w:hint="eastAsia"/>
            <w:lang w:eastAsia="zh-CN"/>
          </w:rPr>
          <w:t>(一)、产品/服务定位与特点</w:t>
        </w:r>
        <w:r>
          <w:tab/>
        </w:r>
        <w:r>
          <w:fldChar w:fldCharType="begin"/>
        </w:r>
        <w:r>
          <w:instrText xml:space="preserve"> PAGEREF _Toc11506 \h </w:instrText>
        </w:r>
        <w:r>
          <w:fldChar w:fldCharType="separate"/>
        </w:r>
        <w:r>
          <w:t>40</w:t>
        </w:r>
        <w:r>
          <w:fldChar w:fldCharType="end"/>
        </w:r>
      </w:hyperlink>
    </w:p>
    <w:p>
      <w:pPr>
        <w:pStyle w:val="TOC2"/>
        <w:tabs>
          <w:tab w:val="right" w:leader="dot" w:pos="8306"/>
        </w:tabs>
      </w:pPr>
      <w:hyperlink w:anchor="_Toc9826" w:history="1">
        <w:r>
          <w:rPr>
            <w:rFonts w:ascii="仿宋" w:eastAsia="仿宋" w:hAnsi="仿宋" w:cs="仿宋" w:hint="eastAsia"/>
            <w:lang w:eastAsia="zh-CN"/>
          </w:rPr>
          <w:t>(二)、市场定位与竞争分析</w:t>
        </w:r>
        <w:r>
          <w:tab/>
        </w:r>
        <w:r>
          <w:fldChar w:fldCharType="begin"/>
        </w:r>
        <w:r>
          <w:instrText xml:space="preserve"> PAGEREF _Toc9826 \h </w:instrText>
        </w:r>
        <w:r>
          <w:fldChar w:fldCharType="separate"/>
        </w:r>
        <w:r>
          <w:t>41</w:t>
        </w:r>
        <w:r>
          <w:fldChar w:fldCharType="end"/>
        </w:r>
      </w:hyperlink>
    </w:p>
    <w:p>
      <w:pPr>
        <w:pStyle w:val="TOC2"/>
        <w:tabs>
          <w:tab w:val="right" w:leader="dot" w:pos="8306"/>
        </w:tabs>
      </w:pPr>
      <w:hyperlink w:anchor="_Toc27065" w:history="1">
        <w:r>
          <w:rPr>
            <w:rFonts w:ascii="仿宋" w:eastAsia="仿宋" w:hAnsi="仿宋" w:cs="仿宋" w:hint="eastAsia"/>
            <w:lang w:eastAsia="zh-CN"/>
          </w:rPr>
          <w:t>(三)、营销渠道与策略</w:t>
        </w:r>
        <w:r>
          <w:tab/>
        </w:r>
        <w:r>
          <w:fldChar w:fldCharType="begin"/>
        </w:r>
        <w:r>
          <w:instrText xml:space="preserve"> PAGEREF _Toc27065 \h </w:instrText>
        </w:r>
        <w:r>
          <w:fldChar w:fldCharType="separate"/>
        </w:r>
        <w:r>
          <w:t>42</w:t>
        </w:r>
        <w:r>
          <w:fldChar w:fldCharType="end"/>
        </w:r>
      </w:hyperlink>
    </w:p>
    <w:p>
      <w:pPr>
        <w:pStyle w:val="TOC2"/>
        <w:tabs>
          <w:tab w:val="right" w:leader="dot" w:pos="8306"/>
        </w:tabs>
      </w:pPr>
      <w:hyperlink w:anchor="_Toc25839" w:history="1">
        <w:r>
          <w:rPr>
            <w:rFonts w:ascii="仿宋" w:eastAsia="仿宋" w:hAnsi="仿宋" w:cs="仿宋" w:hint="eastAsia"/>
            <w:lang w:eastAsia="zh-CN"/>
          </w:rPr>
          <w:t>(四)、推广与宣传活动</w:t>
        </w:r>
        <w:r>
          <w:tab/>
        </w:r>
        <w:r>
          <w:fldChar w:fldCharType="begin"/>
        </w:r>
        <w:r>
          <w:instrText xml:space="preserve"> PAGEREF _Toc25839 \h </w:instrText>
        </w:r>
        <w:r>
          <w:fldChar w:fldCharType="separate"/>
        </w:r>
        <w:r>
          <w:t>43</w:t>
        </w:r>
        <w:r>
          <w:fldChar w:fldCharType="end"/>
        </w:r>
      </w:hyperlink>
    </w:p>
    <w:p>
      <w:pPr>
        <w:pStyle w:val="TOC1"/>
        <w:tabs>
          <w:tab w:val="right" w:leader="dot" w:pos="8306"/>
        </w:tabs>
      </w:pPr>
      <w:hyperlink w:anchor="_Toc26381" w:history="1">
        <w:r>
          <w:rPr>
            <w:rFonts w:ascii="仿宋" w:eastAsia="仿宋" w:hAnsi="仿宋" w:cs="仿宋" w:hint="eastAsia"/>
            <w:lang w:eastAsia="zh-CN"/>
          </w:rPr>
          <w:t>十四、氮肥项目治理与监督</w:t>
        </w:r>
        <w:r>
          <w:tab/>
        </w:r>
        <w:r>
          <w:fldChar w:fldCharType="begin"/>
        </w:r>
        <w:r>
          <w:instrText xml:space="preserve"> PAGEREF _Toc26381 \h </w:instrText>
        </w:r>
        <w:r>
          <w:fldChar w:fldCharType="separate"/>
        </w:r>
        <w:r>
          <w:t>49</w:t>
        </w:r>
        <w:r>
          <w:fldChar w:fldCharType="end"/>
        </w:r>
      </w:hyperlink>
    </w:p>
    <w:p>
      <w:pPr>
        <w:pStyle w:val="TOC2"/>
        <w:tabs>
          <w:tab w:val="right" w:leader="dot" w:pos="8306"/>
        </w:tabs>
      </w:pPr>
      <w:hyperlink w:anchor="_Toc31520" w:history="1">
        <w:r>
          <w:rPr>
            <w:rFonts w:ascii="仿宋" w:eastAsia="仿宋" w:hAnsi="仿宋" w:cs="仿宋" w:hint="eastAsia"/>
            <w:lang w:eastAsia="zh-CN"/>
          </w:rPr>
          <w:t>(一)、氮肥项目治理结构</w:t>
        </w:r>
        <w:r>
          <w:tab/>
        </w:r>
        <w:r>
          <w:fldChar w:fldCharType="begin"/>
        </w:r>
        <w:r>
          <w:instrText xml:space="preserve"> PAGEREF _Toc31520 \h </w:instrText>
        </w:r>
        <w:r>
          <w:fldChar w:fldCharType="separate"/>
        </w:r>
        <w:r>
          <w:t>49</w:t>
        </w:r>
        <w:r>
          <w:fldChar w:fldCharType="end"/>
        </w:r>
      </w:hyperlink>
    </w:p>
    <w:p>
      <w:pPr>
        <w:pStyle w:val="TOC2"/>
        <w:tabs>
          <w:tab w:val="right" w:leader="dot" w:pos="8306"/>
        </w:tabs>
      </w:pPr>
      <w:hyperlink w:anchor="_Toc20117" w:history="1">
        <w:r>
          <w:rPr>
            <w:rFonts w:ascii="仿宋" w:eastAsia="仿宋" w:hAnsi="仿宋" w:cs="仿宋" w:hint="eastAsia"/>
            <w:lang w:eastAsia="zh-CN"/>
          </w:rPr>
          <w:t>(二)、监督与审计</w:t>
        </w:r>
        <w:r>
          <w:tab/>
        </w:r>
        <w:r>
          <w:fldChar w:fldCharType="begin"/>
        </w:r>
        <w:r>
          <w:instrText xml:space="preserve"> PAGEREF _Toc20117 \h </w:instrText>
        </w:r>
        <w:r>
          <w:fldChar w:fldCharType="separate"/>
        </w:r>
        <w:r>
          <w:t>50</w:t>
        </w:r>
        <w:r>
          <w:fldChar w:fldCharType="end"/>
        </w:r>
      </w:hyperlink>
    </w:p>
    <w:p>
      <w:pPr>
        <w:pStyle w:val="TOC1"/>
        <w:tabs>
          <w:tab w:val="right" w:leader="dot" w:pos="8306"/>
        </w:tabs>
      </w:pPr>
      <w:hyperlink w:anchor="_Toc18520" w:history="1">
        <w:r>
          <w:rPr>
            <w:rFonts w:ascii="仿宋" w:eastAsia="仿宋" w:hAnsi="仿宋" w:cs="仿宋" w:hint="eastAsia"/>
            <w:lang w:eastAsia="zh-CN"/>
          </w:rPr>
          <w:t>十五、氮肥项目实施时间节点</w:t>
        </w:r>
        <w:r>
          <w:tab/>
        </w:r>
        <w:r>
          <w:fldChar w:fldCharType="begin"/>
        </w:r>
        <w:r>
          <w:instrText xml:space="preserve"> PAGEREF _Toc18520 \h </w:instrText>
        </w:r>
        <w:r>
          <w:fldChar w:fldCharType="separate"/>
        </w:r>
        <w:r>
          <w:t>51</w:t>
        </w:r>
        <w:r>
          <w:fldChar w:fldCharType="end"/>
        </w:r>
      </w:hyperlink>
    </w:p>
    <w:p>
      <w:pPr>
        <w:pStyle w:val="TOC2"/>
        <w:tabs>
          <w:tab w:val="right" w:leader="dot" w:pos="8306"/>
        </w:tabs>
      </w:pPr>
      <w:hyperlink w:anchor="_Toc21785" w:history="1">
        <w:r>
          <w:rPr>
            <w:rFonts w:ascii="仿宋" w:eastAsia="仿宋" w:hAnsi="仿宋" w:cs="仿宋" w:hint="eastAsia"/>
            <w:lang w:eastAsia="zh-CN"/>
          </w:rPr>
          <w:t>(一)、氮肥项目启动阶段时间节点</w:t>
        </w:r>
        <w:r>
          <w:tab/>
        </w:r>
        <w:r>
          <w:fldChar w:fldCharType="begin"/>
        </w:r>
        <w:r>
          <w:instrText xml:space="preserve"> PAGEREF _Toc21785 \h </w:instrText>
        </w:r>
        <w:r>
          <w:fldChar w:fldCharType="separate"/>
        </w:r>
        <w:r>
          <w:t>51</w:t>
        </w:r>
        <w:r>
          <w:fldChar w:fldCharType="end"/>
        </w:r>
      </w:hyperlink>
    </w:p>
    <w:p>
      <w:pPr>
        <w:pStyle w:val="TOC2"/>
        <w:tabs>
          <w:tab w:val="right" w:leader="dot" w:pos="8306"/>
        </w:tabs>
      </w:pPr>
      <w:hyperlink w:anchor="_Toc32111" w:history="1">
        <w:r>
          <w:rPr>
            <w:rFonts w:ascii="仿宋" w:eastAsia="仿宋" w:hAnsi="仿宋" w:cs="仿宋" w:hint="eastAsia"/>
            <w:lang w:eastAsia="zh-CN"/>
          </w:rPr>
          <w:t>(二)、氮肥项目执行阶段时间节点</w:t>
        </w:r>
        <w:r>
          <w:tab/>
        </w:r>
        <w:r>
          <w:fldChar w:fldCharType="begin"/>
        </w:r>
        <w:r>
          <w:instrText xml:space="preserve"> PAGEREF _Toc32111 \h </w:instrText>
        </w:r>
        <w:r>
          <w:fldChar w:fldCharType="separate"/>
        </w:r>
        <w:r>
          <w:t>52</w:t>
        </w:r>
        <w:r>
          <w:fldChar w:fldCharType="end"/>
        </w:r>
      </w:hyperlink>
    </w:p>
    <w:p>
      <w:pPr>
        <w:pStyle w:val="TOC2"/>
        <w:tabs>
          <w:tab w:val="right" w:leader="dot" w:pos="8306"/>
        </w:tabs>
      </w:pPr>
      <w:hyperlink w:anchor="_Toc8846" w:history="1">
        <w:r>
          <w:rPr>
            <w:rFonts w:ascii="仿宋" w:eastAsia="仿宋" w:hAnsi="仿宋" w:cs="仿宋" w:hint="eastAsia"/>
            <w:lang w:eastAsia="zh-CN"/>
          </w:rPr>
          <w:t>(三)、氮肥项目完成阶段时间节点</w:t>
        </w:r>
        <w:r>
          <w:tab/>
        </w:r>
        <w:r>
          <w:fldChar w:fldCharType="begin"/>
        </w:r>
        <w:r>
          <w:instrText xml:space="preserve"> PAGEREF _Toc8846 \h </w:instrText>
        </w:r>
        <w:r>
          <w:fldChar w:fldCharType="separate"/>
        </w:r>
        <w:r>
          <w:t>53</w:t>
        </w:r>
        <w:r>
          <w:fldChar w:fldCharType="end"/>
        </w:r>
      </w:hyperlink>
    </w:p>
    <w:p>
      <w:pPr>
        <w:pStyle w:val="TOC1"/>
        <w:tabs>
          <w:tab w:val="right" w:leader="dot" w:pos="8306"/>
        </w:tabs>
      </w:pPr>
      <w:hyperlink w:anchor="_Toc31481" w:history="1">
        <w:r>
          <w:rPr>
            <w:rFonts w:ascii="仿宋" w:eastAsia="仿宋" w:hAnsi="仿宋" w:cs="仿宋" w:hint="eastAsia"/>
            <w:lang w:eastAsia="zh-CN"/>
          </w:rPr>
          <w:t>十六、氮肥项目变更管理</w:t>
        </w:r>
        <w:r>
          <w:tab/>
        </w:r>
        <w:r>
          <w:fldChar w:fldCharType="begin"/>
        </w:r>
        <w:r>
          <w:instrText xml:space="preserve"> PAGEREF _Toc31481 \h </w:instrText>
        </w:r>
        <w:r>
          <w:fldChar w:fldCharType="separate"/>
        </w:r>
        <w:r>
          <w:t>54</w:t>
        </w:r>
        <w:r>
          <w:fldChar w:fldCharType="end"/>
        </w:r>
      </w:hyperlink>
    </w:p>
    <w:p>
      <w:pPr>
        <w:pStyle w:val="TOC2"/>
        <w:tabs>
          <w:tab w:val="right" w:leader="dot" w:pos="8306"/>
        </w:tabs>
      </w:pPr>
      <w:hyperlink w:anchor="_Toc29648" w:history="1">
        <w:r>
          <w:rPr>
            <w:rFonts w:ascii="仿宋" w:eastAsia="仿宋" w:hAnsi="仿宋" w:cs="仿宋" w:hint="eastAsia"/>
            <w:lang w:eastAsia="zh-CN"/>
          </w:rPr>
          <w:t>(一)、变更申请与评估</w:t>
        </w:r>
        <w:r>
          <w:tab/>
        </w:r>
        <w:r>
          <w:fldChar w:fldCharType="begin"/>
        </w:r>
        <w:r>
          <w:instrText xml:space="preserve"> PAGEREF _Toc29648 \h </w:instrText>
        </w:r>
        <w:r>
          <w:fldChar w:fldCharType="separate"/>
        </w:r>
        <w:r>
          <w:t>54</w:t>
        </w:r>
        <w:r>
          <w:fldChar w:fldCharType="end"/>
        </w:r>
      </w:hyperlink>
    </w:p>
    <w:p>
      <w:pPr>
        <w:pStyle w:val="TOC2"/>
        <w:tabs>
          <w:tab w:val="right" w:leader="dot" w:pos="8306"/>
        </w:tabs>
      </w:pPr>
      <w:hyperlink w:anchor="_Toc14001" w:history="1">
        <w:r>
          <w:rPr>
            <w:rFonts w:ascii="仿宋" w:eastAsia="仿宋" w:hAnsi="仿宋" w:cs="仿宋" w:hint="eastAsia"/>
            <w:lang w:eastAsia="zh-CN"/>
          </w:rPr>
          <w:t>(二)、变更实施与控制</w:t>
        </w:r>
        <w:r>
          <w:tab/>
        </w:r>
        <w:r>
          <w:fldChar w:fldCharType="begin"/>
        </w:r>
        <w:r>
          <w:instrText xml:space="preserve"> PAGEREF _Toc14001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89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1924"/>
      <w:r>
        <w:rPr>
          <w:rFonts w:ascii="仿宋" w:eastAsia="仿宋" w:hAnsi="仿宋" w:cs="仿宋" w:hint="eastAsia"/>
          <w:lang w:eastAsia="zh-CN"/>
        </w:rPr>
        <w:t>(一)、氮肥行业分析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氮肥行业一直以来都是市场的关注焦点。行业内的发展趋势、竞争态势以及潜在机会都对氮肥项目的推进产生深远的影响。通过深入研究行业的整体概貌，我们将更好地理解行业的核心特征，为氮肥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氮肥行业，技术一直是推动创新和发展的关键因素。我们将对当前技术趋势进行详尽分析，包括但不限于人工智能、大数据应用、先进制造技术等。这有助于氮肥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氮肥项目成功的基础。我们将对主要竞争对手进行深入研究，包括其市场份额、产品特点、市场定位等。通过全面了解竞争对手的优势和劣势，氮肥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8009"/>
      <w:r>
        <w:rPr>
          <w:rFonts w:ascii="仿宋" w:eastAsia="仿宋" w:hAnsi="仿宋" w:cs="仿宋" w:hint="eastAsia"/>
          <w:sz w:val="28"/>
          <w:lang w:eastAsia="zh-CN"/>
        </w:rPr>
        <w:t>(二)、氮肥市场分析预测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通过对市场规模的深入调研，我们将预测氮肥市场未来的增长趋势。这包括市场的整体规模、各细分领域的发展趋势等。氮肥项目可以根据市场的扩张速度和潜在机会，制定更符合市场需求的发展策略。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了解消费者的需求是市场分析的核心。我们将通过调查研究，深入挖掘目标消费者的需求特点、购买习惯以及对产品和服务的期望。这有助于氮肥项目更好地定位目标市场，提供更符合消费者期待的解决方案。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氮肥项目实施过程中需要充分考虑的因素。我们将对市场风险进行全面评估，包括但不限于政策法规风险、市场竞争风险、技术变革风险等。通过对潜在风险的深入分析，氮肥项目可以制定相应的风险缓解策略，降低不确定性对氮肥项目的影响。</w:t>
      </w:r>
    </w:p>
    <w:p>
      <w:pPr>
        <w:pStyle w:val="Heading1"/>
        <w:ind w:firstLine="560" w:firstLineChars="200"/>
        <w:rPr>
          <w:rFonts w:ascii="仿宋" w:eastAsia="仿宋" w:hAnsi="仿宋" w:cs="仿宋" w:hint="eastAsia"/>
          <w:sz w:val="28"/>
          <w:lang w:eastAsia="zh-CN"/>
        </w:rPr>
      </w:pPr>
      <w:bookmarkStart w:id="5" w:name="_Toc3053"/>
      <w:r>
        <w:rPr>
          <w:rFonts w:ascii="仿宋" w:eastAsia="仿宋" w:hAnsi="仿宋" w:cs="仿宋" w:hint="eastAsia"/>
          <w:sz w:val="28"/>
          <w:lang w:eastAsia="zh-CN"/>
        </w:rPr>
        <w:t>二、氮肥项目建设背景及必要性分析</w:t>
      </w:r>
      <w:bookmarkEnd w:id="5"/>
    </w:p>
    <w:p>
      <w:pPr>
        <w:pStyle w:val="Heading2"/>
        <w:rPr>
          <w:rFonts w:ascii="仿宋" w:eastAsia="仿宋" w:hAnsi="仿宋" w:cs="仿宋" w:hint="eastAsia"/>
          <w:lang w:eastAsia="zh-CN"/>
        </w:rPr>
      </w:pPr>
      <w:bookmarkStart w:id="6" w:name="_Toc1193"/>
      <w:r>
        <w:rPr>
          <w:rFonts w:ascii="仿宋" w:eastAsia="仿宋" w:hAnsi="仿宋" w:cs="仿宋" w:hint="eastAsia"/>
          <w:lang w:eastAsia="zh-CN"/>
        </w:rPr>
        <w:t>(一)、氮肥项目背景分析</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氮肥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我们的背景分析将深入挖掘当前行业的发展趋势，通过对竞争态势的全面审视，找到氮肥项目在这个潮流中的定位。同时，我们将关注行业内涌现的新兴机遇，以便氮肥项目更好地融入行业发展的潮流中。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氮肥项目提供了强大的发展动力。我们将聚焦于行业内最新的技术发展趋势，包括但不限于人工智能、大数据分析、物联网等领域。通过深度的技术研究，我们将确保氮肥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氮肥项目发展的源泉。我们将投入更多的精力对市场需求进行深入剖析，超越表面的需求，深入挖掘潜在的市场痛点和机遇。通过对市场需求的细致了解，氮肥项目将更有针对性地设计解决方案，满足市场的多样化需求，从而更好地促进氮肥项目的可持续发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氮肥项目战略至关重要。我们将对竞争态势进行更为深入的分析，包括但不限于市场份额、产品特点、客户满意度等多个维度。通过深度的竞争分析，氮肥项目将能够更准确地把握市场脉搏，制定具有竞争力的氮肥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氮肥项目的发展具有直接的影响。我们将进行更为全面的法规和政策分析，了解行业发展中的潜在法律风险和合规挑战。通过充分了解和遵守相关法规，氮肥项目将确保在法律框架内合法合规运营，为氮肥项目的稳健发展提供有力支持。</w:t>
      </w:r>
    </w:p>
    <w:p>
      <w:pPr>
        <w:pStyle w:val="Heading2"/>
        <w:ind w:firstLine="560" w:firstLineChars="200"/>
        <w:rPr>
          <w:rFonts w:ascii="仿宋" w:eastAsia="仿宋" w:hAnsi="仿宋" w:cs="仿宋" w:hint="eastAsia"/>
          <w:sz w:val="28"/>
          <w:lang w:eastAsia="zh-CN"/>
        </w:rPr>
      </w:pPr>
      <w:bookmarkStart w:id="7" w:name="_Toc11687"/>
      <w:r>
        <w:rPr>
          <w:rFonts w:ascii="仿宋" w:eastAsia="仿宋" w:hAnsi="仿宋" w:cs="仿宋" w:hint="eastAsia"/>
          <w:sz w:val="28"/>
          <w:lang w:eastAsia="zh-CN"/>
        </w:rPr>
        <w:t>(二)、氮肥项目建设必要性分析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建设的迫切性源于对行业发展趋势的深刻洞察。我们正处于一个行业变革的时代，科技创新、数字化转型成为企业发展的关键动力。氮肥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建设不仅仅是为了跟上潮流，更是为了通过技术创新推动企业的持续发展。通过引入先进的技术和解决方案，氮肥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氮肥项目的建设成为必然选择，通过提高产品质量、拓展服务领域，从而在竞争中获得更多的机会。氮肥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氮肥项目建设的必要性体现在对客户需求更精准的满足。通过氮肥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建设的背后是对企业持续创新的追求。只有通过不断创新，企业才能在竞争中立于不败之地。氮肥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9336"/>
      <w:r>
        <w:rPr>
          <w:rFonts w:ascii="仿宋" w:eastAsia="仿宋" w:hAnsi="仿宋" w:cs="仿宋" w:hint="eastAsia"/>
          <w:sz w:val="28"/>
          <w:lang w:eastAsia="zh-CN"/>
        </w:rPr>
        <w:t>三、氮肥项目可持续发展</w:t>
      </w:r>
      <w:bookmarkEnd w:id="8"/>
    </w:p>
    <w:p>
      <w:pPr>
        <w:pStyle w:val="Heading2"/>
        <w:rPr>
          <w:rFonts w:ascii="仿宋" w:eastAsia="仿宋" w:hAnsi="仿宋" w:cs="仿宋" w:hint="eastAsia"/>
          <w:lang w:eastAsia="zh-CN"/>
        </w:rPr>
      </w:pPr>
      <w:bookmarkStart w:id="9" w:name="_Toc28677"/>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氮肥项目中，氮肥项目团队着眼于未来，明确了可持续发展的战略方向。制定的具体可持续发展目标包括降低资源使用、采用环保技术、最大化社会效益等。这一步骤不仅有助于氮肥项目在环保和社会责任方面达到最高标准，也为未来提供了明确的指引，确保氮肥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可持续实践的融入氮肥项目管理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氮肥项目管理周期。从氮肥项目规划开始，氮肥项目团队就考虑了环境和社会的因素。在执行阶段，氮肥项目团队积极推动绿色技术的应用，优化资源利用。此外，关注员工的社会责任，通过培训和沟通活动提高员工对可持续发展的认知，使他们能够在日常工作中践行可持续实践。这些举措不仅为氮肥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8188"/>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扎根于氮肥项目的可持续发展理念，我们深信环保与社会责任是氮肥项目成功的关键支柱。在氮肥项目的每一步，我们都致力于通过创新和实践，履行对环境和社会的坚定责任。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团队通过引入先进的环保技术、建立高效的废物处理系统以及推动能源节约措施，积极履行环保责任。定期的环保监测和评估确保氮肥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不仅致力于自身可持续发展，还注重对社会的回馈。通过支持社区氮肥项目、参与慈善事业、提供培训机会等方式，氮肥项目积极履行社会责任。与当地社区建立积极互动，关注员工的工作与生活平衡，以及员工的身心健康，是氮肥项目在社会责任层面的关键举措。这样的实践不仅增强了氮肥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6223"/>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32371"/>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的技术管理特点体现在其创新导向。通过引入最先进的技术趋势和解决方案，氮肥项目致力于提升科技含量、提高质量和效率水平。这意味着我们将采用最新的工具和方法，确保氮肥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氮肥项目技术管理的显著特征。通过整合不同领域的技术资源，我们实现了跨学科的协同工作。这有助于优化技术架构，提高整体效能。此外，整合性策略还促进了不同技术团队之间的紧密沟通和高效合作，确保氮肥项目各方面的技术都能得到协同发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氮肥项目所采用的技术。通过不断优化技术方案，氮肥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氮肥项目团队将在氮肥项目初期识别可能的技术风险，并采取相应的预防和应对措施。通过建立健全的风险评估机制，氮肥项目能够在实施过程中及时发现并解决潜在的技术问题，保障氮肥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通过这些独特的技术管理特点，我们确信在氮肥项目中，技术将成为氮肥项目成功的有力支持。这一深度剖析揭示了技术管理在氮肥项目实施中的关键作用，为氮肥项目的技术基础奠定了坚实的基础。</w:t>
      </w:r>
    </w:p>
    <w:p>
      <w:pPr>
        <w:pStyle w:val="Heading2"/>
        <w:ind w:firstLine="560" w:firstLineChars="200"/>
        <w:rPr>
          <w:rFonts w:ascii="仿宋" w:eastAsia="仿宋" w:hAnsi="仿宋" w:cs="仿宋" w:hint="eastAsia"/>
          <w:sz w:val="28"/>
          <w:lang w:eastAsia="zh-CN"/>
        </w:rPr>
      </w:pPr>
      <w:bookmarkStart w:id="13" w:name="_Toc10323"/>
      <w:r>
        <w:rPr>
          <w:rFonts w:ascii="仿宋" w:eastAsia="仿宋" w:hAnsi="仿宋" w:cs="仿宋" w:hint="eastAsia"/>
          <w:sz w:val="28"/>
          <w:lang w:eastAsia="zh-CN"/>
        </w:rPr>
        <w:t>(二)、氮肥项目工艺技术设计方案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氮肥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氮肥项目将严格按照相关行业规范要求进行组织。通过有效控制产品质量，氮肥项目将致力于为顾客提供优质的氮肥项目产品和良好的服务。这体现了氮肥项目对于生产活动合规性和质量标准的高度重视，为氮肥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氮肥项目注重生态效益和清洁生产原则。氮肥项目建设将紧密结合地方特色经济发展，与社会经济发展规划和区域环境保护规划方案相协调一致。通过与当地区域自然生态系统的结合，氮肥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氮肥项目产品具有多样化的客户需求和个性化的特点。因此，氮肥项目产品规格品种多样，且单批生产数量较小。为满足这一特点，氮肥项目承办单位将建设先进的柔性制造生产线。通过广泛应用柔性制造技术，氮肥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总体而言，氮肥项目采用的技术具有较高的技术含量和自动化水平，处于国内先进水平。这一技术选用不仅体现了对生产效率、质量和环境友好性的高标准要求，同时为氮肥项目的可持续发展奠定了坚实的基础。</w:t>
      </w:r>
    </w:p>
    <w:p>
      <w:pPr>
        <w:pStyle w:val="Heading2"/>
        <w:ind w:firstLine="560" w:firstLineChars="200"/>
        <w:rPr>
          <w:rFonts w:ascii="仿宋" w:eastAsia="仿宋" w:hAnsi="仿宋" w:cs="仿宋" w:hint="eastAsia"/>
          <w:sz w:val="28"/>
          <w:lang w:eastAsia="zh-CN"/>
        </w:rPr>
      </w:pPr>
      <w:bookmarkStart w:id="14" w:name="_Toc13903"/>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为确保氮肥项目的高效生产和技术实施，我们制定了一套精心设计的设备选型方案，以满足氮肥项目生产、质量和环保的要求。该方案的主要特点如下：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氮肥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针对氮肥项目产品的多样性和小批量生产的特点，我们将建设柔性制造生产线。通过在设备选型中考虑柔性制造技术，可以灵活应对不同产品规格和生产需求，实现生产线的高度灵活性和适应性。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6289"/>
      <w:r>
        <w:rPr>
          <w:rFonts w:ascii="仿宋" w:eastAsia="仿宋" w:hAnsi="仿宋" w:cs="仿宋" w:hint="eastAsia"/>
          <w:sz w:val="28"/>
          <w:lang w:eastAsia="zh-CN"/>
        </w:rPr>
        <w:t>五、氮肥项目概论</w:t>
      </w:r>
      <w:bookmarkEnd w:id="15"/>
    </w:p>
    <w:p>
      <w:pPr>
        <w:pStyle w:val="Heading2"/>
        <w:rPr>
          <w:rFonts w:ascii="仿宋" w:eastAsia="仿宋" w:hAnsi="仿宋" w:cs="仿宋" w:hint="eastAsia"/>
          <w:lang w:eastAsia="zh-CN"/>
        </w:rPr>
      </w:pPr>
      <w:bookmarkStart w:id="16" w:name="_Toc3830"/>
      <w:r>
        <w:rPr>
          <w:rFonts w:ascii="仿宋" w:eastAsia="仿宋" w:hAnsi="仿宋" w:cs="仿宋" w:hint="eastAsia"/>
          <w:lang w:eastAsia="zh-CN"/>
        </w:rPr>
        <w:t>(一)、氮肥项目概况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的起源追溯至对市场的深入洞察。市场的不断演变与变革为氮肥项目提供了难得的机遇。当前市场存在的需求缺口和变革的大环境共同构成了氮肥项目的背景。这个氮肥项目旨在充分利用市场机遇，填补行业中尚未满足的需求，为客户提供全新的解决方案。市场的变革和需求的增长使得这个氮肥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氮肥项目名称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氮肥项目正式命名为氮肥。这个名称不仅仅是一个标识，更代表了氮肥项目的核心理念和愿景。它蕴含着氮肥项目所要解决问题的关键字，具有强烈的表达和辨识度，为氮肥项目树立了鲜明的品牌形象。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氮肥项目目标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的核心目标是提供一种全新、高效的解决方案，满足客户日益增长的需求。氮肥项目追求的不仅仅是满足市场需求，更是在市场中获得卓越的竞争优势。通过不断提升产品或服务的质量和创新水平，氮肥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氮肥项目范围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全面涵盖了产品研发、制造、市场推广和售后服务，确保从产品设计到最终用户体验的全方位关注。这一全面的氮肥项目范围是为了确保氮肥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氮肥项目时间表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氮肥项目计划在未来18个月内完成，包括研发、测试、市场试点和正式推出等不同阶段。这个时间表的合理设计是为了确保氮肥项目各个阶段的顺利推进，以便按时交付高质量的成果。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氮肥项目预算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氮肥项目总预算估算为XX百万美元，主要分配在研发、市场推广、人员培训和运营等方面。这一充足的预算为氮肥项目提供了充足的资源，确保氮肥项目在各个方面都能取得优异的表现。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氮肥项目风险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氮肥项目可能面临的风险包括市场接受度低、技术难题、竞争激烈等。氮肥项目团队已经制定了相应的风险应对计划，通过前瞻性的风险管理，确保氮肥项目在面对不确定性时能够迅速做出应对。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氮肥项目团队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氮肥项目汇聚了一支经验丰富、多领域专业素养的核心团队，确保氮肥项目在各个方面都能拥有高水平的执行力。团队的协同作战是氮肥项目成功的关键因素之一。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氮肥项目背景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氮肥项目的背景根植于市场对更高效、创新产品的渴望，同时也受到科技发展对行业格局的深刻改变的影响。这为氮肥项目提供了广阔的发展空间和市场需求。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1.10 氮肥项目现状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截至目前，氮肥项目已完成市场调研和技术验证，取得了初步的成功。这为氮肥项目在未来的发展奠定了坚实的基础，为更远大的目标打下了坚实的基石。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0633"/>
      <w:r>
        <w:rPr>
          <w:rFonts w:ascii="仿宋" w:eastAsia="仿宋" w:hAnsi="仿宋" w:cs="仿宋" w:hint="eastAsia"/>
          <w:sz w:val="28"/>
          <w:lang w:eastAsia="zh-CN"/>
        </w:rPr>
        <w:t>(二)、氮肥项目目标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keyword》氮肥项目首要业务目标是在市场中占据有利地位，实现产品/服务的成功推广和销售。通过不断提升产品质量、创新性，氮肥项目追求成为行业中的领导者，赢得更多客户的青睐。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在科技迅速发展的时代，氮肥项目着眼于技术创新。通过持续的研发和技术升级，氮肥项目旨在推出更具创新性的产品或服务，以满足市场对新鲜、先进解决方案的需求。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为了建立可持续的客户关系，氮肥项目设定了客户满意度目标。通过提供卓越的产品质量和优质的客户服务，氮肥项目追求赢得客户的信任和忠诚度，确保他们的满意度达到行业领先水平。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氮肥项目注重社会责任和可持续发展。通过实施环保、社会责任氮肥项目，氮肥项目致力于在经济发展的同时保护环境，促进社会公平，实现可持续经营。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氮肥项目的团队是实现目标的核心驱动力。因此，氮肥项目设定了团队发展目标，包括提升团队成员的专业技能、培养领导力，以及搭建协同高效的团队工作氛围。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26698"/>
      <w:r>
        <w:rPr>
          <w:rFonts w:ascii="仿宋" w:eastAsia="仿宋" w:hAnsi="仿宋" w:cs="仿宋" w:hint="eastAsia"/>
          <w:sz w:val="28"/>
          <w:lang w:eastAsia="zh-CN"/>
        </w:rPr>
        <w:t>(三)、氮肥项目提出的理由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氮肥项目提出的理由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的提出源于对市场机遇的深刻洞察。当前市场中存在的需求缺口和行业发展趋势表明，有巨大的商业机会等待被开发。通过准确捕捉市场机遇，氮肥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的理念基于对技术创新的信仰。通过持续的研发和技术投入，氮肥项目有望推出更具创新性的产品或服务。在科技飞速发展的当下，氮肥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的提出是为了增强企业的行业竞争力。通过提升产品或服务的质量和独特性，氮肥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氮肥项目响应了消费者需求的变化。随着社会和科技的不断发展，消费者对产品和服务的需求也在发生变化。通过深入了解并及时回应消费者的新需求，氮肥项目将能够提供更符合市场潮流和客户期望的解决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https://d.book118.com/165011321120011100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氮肥项目规划设计纲要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氮肥项目规划设计纲要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氮肥项目规划设计纲要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氮肥项目规划设计纲要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氮肥项目规划设计纲要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氮肥项目规划设计纲要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氮肥项目规划设计纲要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氮肥项目规划设计纲要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氮肥项目规划设计纲要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氮肥项目规划设计纲要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氮肥项目规划设计纲要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氮肥项目规划设计纲要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氮肥项目规划设计纲要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氮肥项目规划设计纲要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氮肥项目规划设计纲要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氮肥项目规划设计纲要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氮肥项目规划设计纲要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513CAC"/>
    <w:rsid w:val="0D513CA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5011321120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2024-01-17T23:32:00Z</dcterms:created>
  <dcterms:modified xsi:type="dcterms:W3CDTF">2024-01-17T23:33:08Z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ED1C84F9AF0F4C04BDECFD2BEED263AA_11</vt:lpwstr>
  </property>
  <property fmtid="{D5CDD505-2E9C-101B-9397-08002B2CF9AE}" pid="3" name="KSOProductBuildVer">
    <vt:lpwstr>2052-12.1.0.16120</vt:lpwstr>
  </property>
</Properties>
</file>