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仿真花项目建设总纲及方案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0658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_Toc30658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83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_Toc1383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41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_Toc22141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76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_Toc26776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6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_Toc2016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85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_Toc14385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77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_Toc4077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791" w:history="1">
        <w:r>
          <w:rPr>
            <w:rFonts w:ascii="仿宋" w:eastAsia="仿宋" w:hAnsi="仿宋" w:cs="仿宋" w:hint="eastAsia"/>
            <w:lang w:eastAsia="zh-CN"/>
          </w:rPr>
          <w:t>二、财务管理与成本控制</w:t>
        </w:r>
        <w:r>
          <w:tab/>
        </w:r>
        <w:r>
          <w:fldChar w:fldCharType="begin"/>
        </w:r>
        <w:r>
          <w:instrText xml:space="preserve"> PAGEREF _Toc21791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26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_Toc19726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92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_Toc18592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869" w:history="1">
        <w:r>
          <w:rPr>
            <w:rFonts w:ascii="仿宋" w:eastAsia="仿宋" w:hAnsi="仿宋" w:cs="仿宋" w:hint="eastAsia"/>
            <w:lang w:eastAsia="zh-CN"/>
          </w:rPr>
          <w:t>三、项目选址研究</w:t>
        </w:r>
        <w:r>
          <w:tab/>
        </w:r>
        <w:r>
          <w:fldChar w:fldCharType="begin"/>
        </w:r>
        <w:r>
          <w:instrText xml:space="preserve"> PAGEREF _Toc15869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60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_Toc12060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2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_Toc3022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66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_Toc14966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62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_Toc8562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13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_Toc4113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60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_Toc9260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13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_Toc10213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947" w:history="1">
        <w:r>
          <w:rPr>
            <w:rFonts w:ascii="仿宋" w:eastAsia="仿宋" w:hAnsi="仿宋" w:cs="仿宋" w:hint="eastAsia"/>
            <w:lang w:eastAsia="zh-CN"/>
          </w:rPr>
          <w:t>四、建设风险评估分析</w:t>
        </w:r>
        <w:r>
          <w:tab/>
        </w:r>
        <w:r>
          <w:fldChar w:fldCharType="begin"/>
        </w:r>
        <w:r>
          <w:instrText xml:space="preserve"> PAGEREF _Toc31947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03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_Toc15703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92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_Toc24492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59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_Toc10159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35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_Toc29135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19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_Toc24419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25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_Toc23425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04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_Toc24204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13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_Toc23913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43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_Toc15943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343" w:history="1">
        <w:r>
          <w:rPr>
            <w:rFonts w:ascii="仿宋" w:eastAsia="仿宋" w:hAnsi="仿宋" w:cs="仿宋" w:hint="eastAsia"/>
            <w:lang w:eastAsia="zh-CN"/>
          </w:rPr>
          <w:t>五、社会影响分析</w:t>
        </w:r>
        <w:r>
          <w:tab/>
        </w:r>
        <w:r>
          <w:fldChar w:fldCharType="begin"/>
        </w:r>
        <w:r>
          <w:instrText xml:space="preserve"> PAGEREF _Toc25343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32" w:history="1">
        <w:r>
          <w:rPr>
            <w:rFonts w:ascii="仿宋" w:eastAsia="仿宋" w:hAnsi="仿宋" w:cs="仿宋" w:hint="eastAsia"/>
            <w:lang w:eastAsia="zh-CN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_Toc16332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53" w:history="1">
        <w:r>
          <w:rPr>
            <w:rFonts w:ascii="仿宋" w:eastAsia="仿宋" w:hAnsi="仿宋" w:cs="仿宋" w:hint="eastAsia"/>
            <w:lang w:eastAsia="zh-CN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_Toc9653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07" w:history="1">
        <w:r>
          <w:rPr>
            <w:rFonts w:ascii="仿宋" w:eastAsia="仿宋" w:hAnsi="仿宋" w:cs="仿宋" w:hint="eastAsia"/>
            <w:lang w:eastAsia="zh-CN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_Toc10107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051" w:history="1">
        <w:r>
          <w:rPr>
            <w:rFonts w:ascii="仿宋" w:eastAsia="仿宋" w:hAnsi="仿宋" w:cs="仿宋" w:hint="eastAsia"/>
            <w:lang w:eastAsia="zh-CN"/>
          </w:rPr>
          <w:t>六、项目监理与质量保证</w:t>
        </w:r>
        <w:r>
          <w:tab/>
        </w:r>
        <w:r>
          <w:fldChar w:fldCharType="begin"/>
        </w:r>
        <w:r>
          <w:instrText xml:space="preserve"> PAGEREF _Toc20051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01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_Toc16701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67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_Toc11867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98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_Toc24798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706" w:history="1">
        <w:r>
          <w:rPr>
            <w:rFonts w:ascii="仿宋" w:eastAsia="仿宋" w:hAnsi="仿宋" w:cs="仿宋" w:hint="eastAsia"/>
            <w:lang w:eastAsia="zh-CN"/>
          </w:rPr>
          <w:t>七、环境保护与绿色发展</w:t>
        </w:r>
        <w:r>
          <w:tab/>
        </w:r>
        <w:r>
          <w:fldChar w:fldCharType="begin"/>
        </w:r>
        <w:r>
          <w:instrText xml:space="preserve"> PAGEREF _Toc14706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5" w:history="1">
        <w:r>
          <w:rPr>
            <w:rFonts w:ascii="仿宋" w:eastAsia="仿宋" w:hAnsi="仿宋" w:cs="仿宋" w:hint="eastAsia"/>
            <w:lang w:eastAsia="zh-CN"/>
          </w:rPr>
          <w:t>(一)、环境保护措施</w:t>
        </w:r>
        <w:r>
          <w:tab/>
        </w:r>
        <w:r>
          <w:fldChar w:fldCharType="begin"/>
        </w:r>
        <w:r>
          <w:instrText xml:space="preserve"> PAGEREF _Toc1615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96" w:history="1">
        <w:r>
          <w:rPr>
            <w:rFonts w:ascii="仿宋" w:eastAsia="仿宋" w:hAnsi="仿宋" w:cs="仿宋" w:hint="eastAsia"/>
            <w:lang w:eastAsia="zh-CN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_Toc26396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704" w:history="1">
        <w:r>
          <w:rPr>
            <w:rFonts w:ascii="仿宋" w:eastAsia="仿宋" w:hAnsi="仿宋" w:cs="仿宋" w:hint="eastAsia"/>
            <w:lang w:eastAsia="zh-CN"/>
          </w:rPr>
          <w:t>八、土地利用与规划方案</w:t>
        </w:r>
        <w:r>
          <w:tab/>
        </w:r>
        <w:r>
          <w:fldChar w:fldCharType="begin"/>
        </w:r>
        <w:r>
          <w:instrText xml:space="preserve"> PAGEREF _Toc19704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63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_Toc10063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8038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_Toc18038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410" w:history="1">
        <w:r>
          <w:rPr>
            <w:rFonts w:ascii="仿宋" w:eastAsia="仿宋" w:hAnsi="仿宋" w:cs="仿宋" w:hint="eastAsia"/>
            <w:lang w:eastAsia="zh-CN"/>
          </w:rPr>
          <w:t>九、技术创新与产业升级</w:t>
        </w:r>
        <w:r>
          <w:tab/>
        </w:r>
        <w:r>
          <w:fldChar w:fldCharType="begin"/>
        </w:r>
        <w:r>
          <w:instrText xml:space="preserve"> PAGEREF _Toc10410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46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_Toc9346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37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_Toc25937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392" w:history="1">
        <w:r>
          <w:rPr>
            <w:rFonts w:ascii="仿宋" w:eastAsia="仿宋" w:hAnsi="仿宋" w:cs="仿宋" w:hint="eastAsia"/>
            <w:lang w:eastAsia="zh-CN"/>
          </w:rPr>
          <w:t>十、资金管理与财务规划</w:t>
        </w:r>
        <w:r>
          <w:tab/>
        </w:r>
        <w:r>
          <w:fldChar w:fldCharType="begin"/>
        </w:r>
        <w:r>
          <w:instrText xml:space="preserve"> PAGEREF _Toc29392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37" w:history="1">
        <w:r>
          <w:rPr>
            <w:rFonts w:ascii="仿宋" w:eastAsia="仿宋" w:hAnsi="仿宋" w:cs="仿宋" w:hint="eastAsia"/>
            <w:lang w:eastAsia="zh-CN"/>
          </w:rPr>
          <w:t>(一)、项目资金来源与筹措</w:t>
        </w:r>
        <w:r>
          <w:tab/>
        </w:r>
        <w:r>
          <w:fldChar w:fldCharType="begin"/>
        </w:r>
        <w:r>
          <w:instrText xml:space="preserve"> PAGEREF _Toc21437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20" w:history="1">
        <w:r>
          <w:rPr>
            <w:rFonts w:ascii="仿宋" w:eastAsia="仿宋" w:hAnsi="仿宋" w:cs="仿宋" w:hint="eastAsia"/>
            <w:lang w:eastAsia="zh-CN"/>
          </w:rPr>
          <w:t>(二)、资金使用与监管</w:t>
        </w:r>
        <w:r>
          <w:tab/>
        </w:r>
        <w:r>
          <w:fldChar w:fldCharType="begin"/>
        </w:r>
        <w:r>
          <w:instrText xml:space="preserve"> PAGEREF _Toc26920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56" w:history="1">
        <w:r>
          <w:rPr>
            <w:rFonts w:ascii="仿宋" w:eastAsia="仿宋" w:hAnsi="仿宋" w:cs="仿宋" w:hint="eastAsia"/>
            <w:lang w:eastAsia="zh-CN"/>
          </w:rPr>
          <w:t>(三)、财务规划与预测</w:t>
        </w:r>
        <w:r>
          <w:tab/>
        </w:r>
        <w:r>
          <w:fldChar w:fldCharType="begin"/>
        </w:r>
        <w:r>
          <w:instrText xml:space="preserve"> PAGEREF _Toc17156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328" w:history="1">
        <w:r>
          <w:rPr>
            <w:rFonts w:ascii="仿宋" w:eastAsia="仿宋" w:hAnsi="仿宋" w:cs="仿宋" w:hint="eastAsia"/>
            <w:lang w:eastAsia="zh-CN"/>
          </w:rPr>
          <w:t>十一、环境保护与治理方案</w:t>
        </w:r>
        <w:r>
          <w:tab/>
        </w:r>
        <w:r>
          <w:fldChar w:fldCharType="begin"/>
        </w:r>
        <w:r>
          <w:instrText xml:space="preserve"> PAGEREF _Toc24328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11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_Toc26211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93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_Toc30093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199" w:history="1">
        <w:r>
          <w:rPr>
            <w:rFonts w:ascii="仿宋" w:eastAsia="仿宋" w:hAnsi="仿宋" w:cs="仿宋" w:hint="eastAsia"/>
            <w:lang w:eastAsia="zh-CN"/>
          </w:rPr>
          <w:t>十二、安全与应急管理</w:t>
        </w:r>
        <w:r>
          <w:tab/>
        </w:r>
        <w:r>
          <w:fldChar w:fldCharType="begin"/>
        </w:r>
        <w:r>
          <w:instrText xml:space="preserve"> PAGEREF _Toc29199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50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_Toc29050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39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_Toc31639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112" w:history="1">
        <w:r>
          <w:rPr>
            <w:rFonts w:ascii="仿宋" w:eastAsia="仿宋" w:hAnsi="仿宋" w:cs="仿宋" w:hint="eastAsia"/>
            <w:lang w:eastAsia="zh-CN"/>
          </w:rPr>
          <w:t>十三、企业合规与伦理</w:t>
        </w:r>
        <w:r>
          <w:tab/>
        </w:r>
        <w:r>
          <w:fldChar w:fldCharType="begin"/>
        </w:r>
        <w:r>
          <w:instrText xml:space="preserve"> PAGEREF _Toc20112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06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_Toc8806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32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_Toc7832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02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_Toc26902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06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_Toc6606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968" w:history="1">
        <w:r>
          <w:rPr>
            <w:rFonts w:ascii="仿宋" w:eastAsia="仿宋" w:hAnsi="仿宋" w:cs="仿宋" w:hint="eastAsia"/>
            <w:lang w:eastAsia="zh-CN"/>
          </w:rPr>
          <w:t>十四、项目施工方案</w:t>
        </w:r>
        <w:r>
          <w:tab/>
        </w:r>
        <w:r>
          <w:fldChar w:fldCharType="begin"/>
        </w:r>
        <w:r>
          <w:instrText xml:space="preserve"> PAGEREF _Toc11968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96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_Toc13196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26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_Toc28526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11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_Toc23911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80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_Toc27980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343" w:history="1">
        <w:r>
          <w:rPr>
            <w:rFonts w:ascii="仿宋" w:eastAsia="仿宋" w:hAnsi="仿宋" w:cs="仿宋" w:hint="eastAsia"/>
            <w:lang w:eastAsia="zh-CN"/>
          </w:rPr>
          <w:t>十五、成果转化与推广应用</w:t>
        </w:r>
        <w:r>
          <w:tab/>
        </w:r>
        <w:r>
          <w:fldChar w:fldCharType="begin"/>
        </w:r>
        <w:r>
          <w:instrText xml:space="preserve"> PAGEREF _Toc13343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76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_Toc12376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10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_Toc27910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879" w:history="1">
        <w:r>
          <w:rPr>
            <w:rFonts w:ascii="仿宋" w:eastAsia="仿宋" w:hAnsi="仿宋" w:cs="仿宋" w:hint="eastAsia"/>
            <w:lang w:eastAsia="zh-CN"/>
          </w:rPr>
          <w:t>十六、法律法规与政策遵循</w:t>
        </w:r>
        <w:r>
          <w:tab/>
        </w:r>
        <w:r>
          <w:fldChar w:fldCharType="begin"/>
        </w:r>
        <w:r>
          <w:instrText xml:space="preserve"> PAGEREF _Toc30879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41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_Toc20441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91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_Toc24391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267" w:history="1">
        <w:r>
          <w:rPr>
            <w:rFonts w:ascii="仿宋" w:eastAsia="仿宋" w:hAnsi="仿宋" w:cs="仿宋" w:hint="eastAsia"/>
            <w:lang w:eastAsia="zh-CN"/>
          </w:rPr>
          <w:t>十七、合作与交流机制建立</w:t>
        </w:r>
        <w:r>
          <w:tab/>
        </w:r>
        <w:r>
          <w:fldChar w:fldCharType="begin"/>
        </w:r>
        <w:r>
          <w:instrText xml:space="preserve"> PAGEREF _Toc10267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5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_Toc1265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05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_Toc12905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0658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建设方案旨在规划与实施一个完整的项目，以解决特定问题或达成特定目标。本方案概述了项目的目标、范围、计划和实施策略，并提供了必要的资源和时间安排。请注意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383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2141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仿真花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仿真花项目将进行详细的生态影响评估，确保不会对当地的动植物种群和自然栖息地造成负面影响。如果项目地点附近有重要的生物栖息地或生态敏感区，项目将重新考虑建设地点或采取相应的保护措施。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仿真花项目将积极采用可持续材料，如再生塑料和生物降解材料，以减少对环境的影响。项目还将推行废物减量和回收计划，例如通过再利用工业废料或建立回收系统。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仿真花项目还将参与当地的环保活动和计划，如资助当地的环境保护项目或与社区合作进行环保宣传活动。通过这些活动，项目不仅能够提高自身的环境表现，还能在当地社区中树立积极的环保形象。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6776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仿真花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仿真花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仿真花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2016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仿真花项目将采用绿色屋顶和生态墙等环境友好型建筑设计，这些设计不仅有助于改善空气质量，还能为城市野生动植物提供栖息地。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仿真花项目将建立高效的废水处理系统，确保所有工业废水在排放前都经过适当处理，达到或超过环保标准。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仿真花项目将致力于使用清洁能源，如太阳能和风能，减少对化石燃料的依赖。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仿真花项目将举办环保教育研讨会，向员工和当地社区普及环保知识，提升对环境保护重要性的认识。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14385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在仿真花项目启动前，将进行一系列深入的地质调查，包括钻探和土壤取样，以深入了解项目区域的地层结构和土壤组成。特别是对于土壤的承载能力和地下水位的深度进行详细评估。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仿真花项目将通过地下水位监测系统定期检测水位变化，以预测和预防由高地下水位可能引起的地基问题。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仿真花项目将进行详尽的水文和地形分析，以识别可能的洪水和泥石流风险区。基于这些分析，项目将设计防洪设施，如提高地基、构建防洪墙和排水沟。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仿真花项目还将考虑建设排水系统，以减少地表水对土壤稳定性的影响。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完成初始的地质风险评估后，仿真花项目将安装长期地质监测设备，如倾斜仪、裂缝计和地下水位计，以持续监测地质条件的变化。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4077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仿真花项目将通过这些措施来适应和尊重特殊环境条件，确保项目的可持续发展，同时减少对环境的负面影响。这不仅有助于保护自然和文化遗产，还能提升项目在社会责任方面的表现和形象。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21791"/>
      <w:r>
        <w:rPr>
          <w:rFonts w:ascii="仿宋" w:eastAsia="仿宋" w:hAnsi="仿宋" w:cs="仿宋" w:hint="eastAsia"/>
          <w:sz w:val="28"/>
          <w:lang w:eastAsia="zh-CN"/>
        </w:rPr>
        <w:t>二、财务管理与成本控制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19726"/>
      <w:r>
        <w:rPr>
          <w:rFonts w:ascii="仿宋" w:eastAsia="仿宋" w:hAnsi="仿宋" w:cs="仿宋" w:hint="eastAsia"/>
          <w:lang w:eastAsia="zh-CN"/>
        </w:rPr>
        <w:t>(一)、财务管理体系建设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优化财务流程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致力于提高财务管理效率，其中关键在于对财务流程的精心设计和优化。引入高效的财务管理软件和信息化系统，实现自动化的财务数据处理，从而减轻手工操作负担，提高工作效率。同时，建立科学的财务审核机制，确保财务流程规范有序，整体财务管理水平得以提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精细预算管理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项目将建立完善的预算管理体系，目标在于全面了解项目的财务状况和资金运作情况。通过制定详实的年度财务预算，项目能够更有效地规划资源的使用和支出，降低经营风险。同时，设立预算执行监控机制，及时对比实际财务数据与预算计划，灵活调整经营策略，确保财务活动在合理轨道上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构建内部控制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加强对财务风险的管控，仿真花项目将建设完备的内部控制体系。通过明晰财务职责和权限，建立严密的财务核算和审计规章，降低潜在的财务误差和不当行为。同时，强化对关键财务环节的监管，如资金管理和成本控制，确保内部控制体系全方位、有效地运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精准资金风险管理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注重对资金风险的精准管理。通过建立完善的资金计划机制，实时监测项目的资金流向，主动防范潜在的资金风险。同时，加强与金融机构的协作，优化资金结构，以达到更低的资金成本。在面对市场波动和外部经济变化时，项目将采用灵活的资金应对策略，确保资金的安全性和流动性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18592"/>
      <w:r>
        <w:rPr>
          <w:rFonts w:ascii="仿宋" w:eastAsia="仿宋" w:hAnsi="仿宋" w:cs="仿宋" w:hint="eastAsia"/>
          <w:sz w:val="28"/>
          <w:lang w:eastAsia="zh-CN"/>
        </w:rPr>
        <w:t>(二)、成本控制措施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供应链优化： 我们通过与供应商建立紧密的合作关系，优化采购流程，降低原材料和物流成本。同时，通过合理的库存管理，减少库存占用资金，提高资金周转率。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生产效率提升： 我们持续关注生产流程，引入先进的生产技术和自动化设备，提高生产效率，降低人工成本。通过员工培训和技能提升，确保生产团队具备高效的操作技能。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成本核算和分析： 我们建立完善的成本核算系统，对各个环节的成本进行详细分析。通过精确的数据，及时发现和解决成本异常波动，确保成本控制在可控范围内。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https://d.book118.com/165031033300011114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仿真花项目建设总纲及方案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仿真花项目建设总纲及方案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仿真花项目建设总纲及方案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仿真花项目建设总纲及方案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仿真花项目建设总纲及方案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仿真花项目建设总纲及方案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仿真花项目建设总纲及方案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仿真花项目建设总纲及方案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仿真花项目建设总纲及方案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仿真花项目建设总纲及方案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仿真花项目建设总纲及方案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仿真花项目建设总纲及方案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CF058AC"/>
    <w:rsid w:val="4CF058A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165031033300011114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2024-02-23T06:39:00Z</dcterms:created>
  <dcterms:modified xsi:type="dcterms:W3CDTF">2024-02-23T06:39:55Z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B849FE9D5D764B15B6AE2F2D6A4E85E4_11</vt:lpwstr>
  </property>
  <property fmtid="{D5CDD505-2E9C-101B-9397-08002B2CF9AE}" pid="3" name="KSOProductBuildVer">
    <vt:lpwstr>2052-12.1.0.16250</vt:lpwstr>
  </property>
</Properties>
</file>